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8D" w:rsidRDefault="008F558D" w:rsidP="008F558D">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Dan Fisk [mailto:dfisk@university-lending.com]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07, 2011 10:43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w:t>
      </w:r>
    </w:p>
    <w:p w:rsidR="008F558D" w:rsidRDefault="008F558D" w:rsidP="008F558D"/>
    <w:p w:rsidR="008F558D" w:rsidRDefault="008F558D" w:rsidP="008F558D">
      <w:pPr>
        <w:pStyle w:val="NormalWeb"/>
        <w:spacing w:before="0" w:beforeAutospacing="0" w:after="0" w:afterAutospacing="0"/>
      </w:pPr>
      <w:r>
        <w:t>December 7, 2011</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bookmarkStart w:id="0" w:name="_GoBack"/>
      <w:bookmarkEnd w:id="0"/>
      <w:r>
        <w:t>Mr. Edward DeMarco</w:t>
      </w:r>
    </w:p>
    <w:p w:rsidR="008F558D" w:rsidRDefault="008F558D" w:rsidP="008F558D">
      <w:pPr>
        <w:pStyle w:val="NormalWeb"/>
        <w:spacing w:before="0" w:beforeAutospacing="0" w:after="0" w:afterAutospacing="0"/>
      </w:pPr>
      <w:r>
        <w:t>Acting Director</w:t>
      </w:r>
    </w:p>
    <w:p w:rsidR="008F558D" w:rsidRDefault="008F558D" w:rsidP="008F558D">
      <w:pPr>
        <w:pStyle w:val="NormalWeb"/>
        <w:spacing w:before="0" w:beforeAutospacing="0" w:after="0" w:afterAutospacing="0"/>
      </w:pPr>
      <w:r>
        <w:t>Federal Housing Finance Agency</w:t>
      </w:r>
    </w:p>
    <w:p w:rsidR="008F558D" w:rsidRDefault="008F558D" w:rsidP="008F558D">
      <w:pPr>
        <w:pStyle w:val="NormalWeb"/>
        <w:spacing w:before="0" w:beforeAutospacing="0" w:after="0" w:afterAutospacing="0"/>
      </w:pPr>
      <w:r>
        <w:t>1700 G Street, NW, 4th Floor</w:t>
      </w:r>
    </w:p>
    <w:p w:rsidR="008F558D" w:rsidRDefault="008F558D" w:rsidP="008F558D">
      <w:pPr>
        <w:pStyle w:val="NormalWeb"/>
        <w:spacing w:before="0" w:beforeAutospacing="0" w:after="0" w:afterAutospacing="0"/>
      </w:pPr>
      <w:r>
        <w:t>Washington, DC 20552</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1) What are the impacts of these proposals on the competitive landscape in origination and servicing markets, service to borrowers, and efficiency in secondary markets?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Fee for Service should be the structure for agency servicing going forward.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2) What are the benefits and/or the impediments to your business model of having a capitalized MSR asset?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We will be able to compete on a more level playing field for mortgage origination business.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a)      Does a capitalized MSR impede competition in the servicing and origination market?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Yes. We cannot hold a large amount of servicing rights since they are volatile and Wall Street hates volatility.  Volatility in earnings makes our bank an unattractive investment.  Since we </w:t>
      </w:r>
      <w:r>
        <w:lastRenderedPageBreak/>
        <w:t>have to sell most of the servicing rights we generate, these tend to accumulate at mega bank servicing</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b)      Does the impact vary across various business and interest rate cycles?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No.  The volatility of earnings caused by the ongoing mark to market of MSRs is bad, whether its income or loss volatility is bad.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c)      Does the impact vary across size of servicers and originators?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d)     Would greater transparency in MSR valuation improve the competitive landscape?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No.  Valuing MSRs is itself the problem that we need to fix.</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e)      What is the impact of a potential reduction in tax Safe Harbor?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This has no important to us.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f)       Should the servicer be required to hold a capitalized MSR asset (effectively be an IO investor) as a condition of performing servicing activities?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3) Should a lender’s excess IO remain contractually attached to the MSR, or would seller/servicers prefer to have the excess IO </w:t>
      </w:r>
      <w:proofErr w:type="gramStart"/>
      <w:r>
        <w:t>be</w:t>
      </w:r>
      <w:proofErr w:type="gramEnd"/>
      <w:r>
        <w:t xml:space="preserve"> a separate </w:t>
      </w:r>
      <w:proofErr w:type="spellStart"/>
      <w:r>
        <w:t>stand alone</w:t>
      </w:r>
      <w:proofErr w:type="spellEnd"/>
      <w:r>
        <w:t xml:space="preserve"> asset (unencumbered by the Enterprises)?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We feel that the excess IO could remain contractually attached to the MSR or be sold at any time.  Maximum flexibility is best.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a)      Does the impact from market-based pricing of the excess IO vary across size of servicers and originators?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w:t>
      </w:r>
      <w:r>
        <w:lastRenderedPageBreak/>
        <w:t>prevent these mega bank entities that use accounting fudges now to generate fake earnings, and solve this problem.</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b)      Does contractually separating the excess IO from the MSR create more liquidity and price transparency?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No I don’t see why that would.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c)      Is the flexibility to separate the operational activities (servicing) from the financial management activities (investing in and managing MSR/IO exposure), as outlined in the Fee for Service proposal, beneficial or harmful to the industry?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This would greatly benefit smaller institutions and over time greatly degrade the market share of the mega banks, which </w:t>
      </w:r>
      <w:proofErr w:type="gramStart"/>
      <w:r>
        <w:t>is</w:t>
      </w:r>
      <w:proofErr w:type="gramEnd"/>
      <w:r>
        <w:t xml:space="preserve"> a very good thing and a social good.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4) Would these proposals encourage greater investment in non-performing loan operations or abilities in a benign market cycle?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t>depressionary</w:t>
      </w:r>
      <w:proofErr w:type="spellEnd"/>
      <w:r>
        <w:t xml:space="preserve"> conditions (like now) and few programs during boom times.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a)      How does this impact the alignment between guarantor and servicer interests?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It helped a lot to align interests.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b)      Would this improve service to borrowers?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During </w:t>
      </w:r>
      <w:proofErr w:type="spellStart"/>
      <w:r>
        <w:t>depressionary</w:t>
      </w:r>
      <w:proofErr w:type="spellEnd"/>
      <w: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5) What would be the impact of the proposals on the TBA market if there were no MSR capitalization?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I believe that many more loans would be securitized by smaller and midsized institutions and the TBA market would therefore become much more liquid and </w:t>
      </w:r>
      <w:proofErr w:type="spellStart"/>
      <w:r>
        <w:t>tradeable</w:t>
      </w:r>
      <w:proofErr w:type="spellEnd"/>
      <w:r>
        <w: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a) To what degree might the net tangible benefit test and other suggested provisions help mitigate any potential negative impact on the TBA market? No opinion.</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b) What additional steps can we take to assure continued liquidity in the TBA market? No opinion.</w:t>
      </w:r>
    </w:p>
    <w:p w:rsidR="008F558D" w:rsidRDefault="008F558D" w:rsidP="008F558D">
      <w:pPr>
        <w:pStyle w:val="NormalWeb"/>
        <w:spacing w:before="0" w:beforeAutospacing="0" w:after="0" w:afterAutospacing="0"/>
      </w:pPr>
      <w:r>
        <w:lastRenderedPageBreak/>
        <w:t> </w:t>
      </w:r>
    </w:p>
    <w:p w:rsidR="008F558D" w:rsidRDefault="008F558D" w:rsidP="008F558D">
      <w:pPr>
        <w:pStyle w:val="NormalWeb"/>
        <w:spacing w:before="0" w:beforeAutospacing="0" w:after="0" w:afterAutospacing="0"/>
      </w:pPr>
      <w:r>
        <w:t xml:space="preserve">6) Should any of the following provisions that were proposed in the fee for service proposal be considered independent of any other changes to servicing compensation structure? </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a) Bifurcation of selling and servicing representations and warranties </w:t>
      </w:r>
      <w:proofErr w:type="gramStart"/>
      <w:r>
        <w:t>No</w:t>
      </w:r>
      <w:proofErr w:type="gramEnd"/>
      <w:r>
        <w:t xml:space="preserve">.  Imposing </w:t>
      </w:r>
      <w:proofErr w:type="spellStart"/>
      <w:r>
        <w:t>subservicers</w:t>
      </w:r>
      <w:proofErr w:type="spellEnd"/>
      <w:r>
        <w:t xml:space="preserve"> with additional reps and warranties would tend to decrease competition in that line of business which would not be good as you would again end up with a few mega </w:t>
      </w:r>
      <w:proofErr w:type="spellStart"/>
      <w:r>
        <w:t>subservicers</w:t>
      </w:r>
      <w:proofErr w:type="spellEnd"/>
      <w:r>
        <w: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b) A net tangible benefit test for streamlined refinances Yes.  Anything that helps people struggling to </w:t>
      </w:r>
      <w:proofErr w:type="spellStart"/>
      <w:r>
        <w:t>refi</w:t>
      </w:r>
      <w:proofErr w:type="spellEnd"/>
      <w:r>
        <w:t xml:space="preserve"> to lower rates is a good thing.</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c) Restriction of the amount of excess IO in a given pool No, maximum flexibility is good.</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 xml:space="preserve">d) Limitation of P&amp;I advance requirements Yes, this would help smaller players reduce risk in a </w:t>
      </w:r>
      <w:proofErr w:type="spellStart"/>
      <w:r>
        <w:t>blow out</w:t>
      </w:r>
      <w:proofErr w:type="spellEnd"/>
      <w:r>
        <w:t xml:space="preserve"> </w:t>
      </w:r>
      <w:proofErr w:type="spellStart"/>
      <w:r>
        <w:t>depressionary</w:t>
      </w:r>
      <w:proofErr w:type="spellEnd"/>
      <w:r>
        <w:t xml:space="preserve"> environment.</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8F558D" w:rsidRDefault="008F558D" w:rsidP="008F558D">
      <w:pPr>
        <w:pStyle w:val="NormalWeb"/>
        <w:spacing w:before="0" w:beforeAutospacing="0" w:after="0" w:afterAutospacing="0"/>
      </w:pPr>
      <w:r>
        <w:t> </w:t>
      </w:r>
    </w:p>
    <w:p w:rsidR="008F558D" w:rsidRDefault="008F558D" w:rsidP="008F558D">
      <w:pPr>
        <w:pStyle w:val="NormalWeb"/>
        <w:spacing w:before="0" w:beforeAutospacing="0" w:after="0" w:afterAutospacing="0"/>
      </w:pPr>
      <w:r>
        <w:t>Sincerely,</w:t>
      </w:r>
      <w:r>
        <w:br w:type="textWrapping" w:clear="all"/>
      </w:r>
      <w:r>
        <w:br/>
        <w:t xml:space="preserve">-- </w:t>
      </w:r>
    </w:p>
    <w:p w:rsidR="008F558D" w:rsidRDefault="008F558D" w:rsidP="008F558D">
      <w:pPr>
        <w:pStyle w:val="NormalWeb"/>
        <w:spacing w:before="0" w:beforeAutospacing="0" w:after="0" w:afterAutospacing="0"/>
      </w:pPr>
      <w:r>
        <w:rPr>
          <w:rFonts w:ascii="Calibri" w:hAnsi="Calibri" w:cs="Calibri"/>
          <w:b/>
          <w:bCs/>
        </w:rPr>
        <w:t>Dan Fisk</w:t>
      </w:r>
      <w:r>
        <w:br/>
      </w:r>
      <w:r>
        <w:rPr>
          <w:rFonts w:ascii="Calibri" w:hAnsi="Calibri" w:cs="Calibri"/>
        </w:rPr>
        <w:t>V.P. Residential Lending</w:t>
      </w:r>
      <w:r>
        <w:rPr>
          <w:rFonts w:ascii="Calibri" w:hAnsi="Calibri" w:cs="Calibri"/>
        </w:rPr>
        <w:br/>
        <w:t>734.741.5858 ext. 233 Office</w:t>
      </w:r>
      <w:r>
        <w:rPr>
          <w:rFonts w:ascii="Calibri" w:hAnsi="Calibri" w:cs="Calibri"/>
        </w:rPr>
        <w:br/>
      </w:r>
      <w:r>
        <w:rPr>
          <w:rFonts w:ascii="Calibri" w:hAnsi="Calibri" w:cs="Calibri"/>
          <w:b/>
          <w:bCs/>
        </w:rPr>
        <w:t>517.914.1871 Cell</w:t>
      </w:r>
    </w:p>
    <w:p w:rsidR="008F558D" w:rsidRDefault="008F558D" w:rsidP="008F558D">
      <w:pPr>
        <w:pStyle w:val="NormalWeb"/>
        <w:spacing w:before="0" w:beforeAutospacing="0" w:after="0" w:afterAutospacing="0"/>
      </w:pPr>
      <w:r>
        <w:rPr>
          <w:rFonts w:ascii="Calibri" w:hAnsi="Calibri" w:cs="Calibri"/>
          <w:sz w:val="18"/>
          <w:szCs w:val="18"/>
        </w:rPr>
        <w:t>NMLS #533513</w:t>
      </w:r>
      <w:r>
        <w:rPr>
          <w:rFonts w:ascii="Calibri" w:hAnsi="Calibri" w:cs="Calibri"/>
          <w:sz w:val="18"/>
          <w:szCs w:val="18"/>
        </w:rPr>
        <w:br/>
        <w:t>University Lending Group a division of</w:t>
      </w:r>
      <w:proofErr w:type="gramStart"/>
      <w:r>
        <w:rPr>
          <w:rFonts w:ascii="Calibri" w:hAnsi="Calibri" w:cs="Calibri"/>
          <w:sz w:val="18"/>
          <w:szCs w:val="18"/>
        </w:rPr>
        <w:t>:</w:t>
      </w:r>
      <w:proofErr w:type="gramEnd"/>
      <w:r>
        <w:br/>
      </w:r>
      <w:r>
        <w:rPr>
          <w:rFonts w:ascii="Calibri" w:hAnsi="Calibri" w:cs="Calibri"/>
          <w:b/>
          <w:bCs/>
        </w:rPr>
        <w:t>University Bank</w:t>
      </w:r>
      <w:r>
        <w:rPr>
          <w:rFonts w:ascii="Calibri" w:hAnsi="Calibri" w:cs="Calibri"/>
          <w:b/>
          <w:bCs/>
        </w:rPr>
        <w:br/>
        <w:t>2015 Washtenaw Ave.</w:t>
      </w:r>
      <w:r>
        <w:rPr>
          <w:rFonts w:ascii="Calibri" w:hAnsi="Calibri" w:cs="Calibri"/>
          <w:b/>
          <w:bCs/>
        </w:rPr>
        <w:br/>
        <w:t>Ann Arbor, MI 48104</w:t>
      </w: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8D"/>
    <w:rsid w:val="00181A07"/>
    <w:rsid w:val="008F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5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5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347B1-F130-4186-9E31-D0FFA7A6BCE4}"/>
</file>

<file path=customXml/itemProps2.xml><?xml version="1.0" encoding="utf-8"?>
<ds:datastoreItem xmlns:ds="http://schemas.openxmlformats.org/officeDocument/2006/customXml" ds:itemID="{CD543D45-6D20-429C-BFC1-65F502EA152A}"/>
</file>

<file path=customXml/itemProps3.xml><?xml version="1.0" encoding="utf-8"?>
<ds:datastoreItem xmlns:ds="http://schemas.openxmlformats.org/officeDocument/2006/customXml" ds:itemID="{4BF546E1-8029-47E3-B7A8-67F818EBFBB0}"/>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7215</Characters>
  <Application>Microsoft Office Word</Application>
  <DocSecurity>0</DocSecurity>
  <Lines>327</Lines>
  <Paragraphs>225</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2011-12-22T20:44:00Z</dcterms:created>
  <dcterms:modified xsi:type="dcterms:W3CDTF">2011-12-22T20:45:00Z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