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2A6" w:rsidRDefault="00DD34FA">
      <w:r>
        <w:t>Federal Housing Finance Agency</w:t>
      </w:r>
      <w:bookmarkStart w:id="0" w:name="_GoBack"/>
      <w:bookmarkEnd w:id="0"/>
    </w:p>
    <w:p w:rsidR="009A35B5" w:rsidRDefault="009A35B5">
      <w:r>
        <w:t>400 7</w:t>
      </w:r>
      <w:r w:rsidR="005E1191">
        <w:rPr>
          <w:vertAlign w:val="superscript"/>
        </w:rPr>
        <w:t>t</w:t>
      </w:r>
      <w:r w:rsidRPr="009A35B5">
        <w:rPr>
          <w:vertAlign w:val="superscript"/>
        </w:rPr>
        <w:t>h</w:t>
      </w:r>
      <w:r>
        <w:t xml:space="preserve"> Street, SW</w:t>
      </w:r>
    </w:p>
    <w:p w:rsidR="009A35B5" w:rsidRDefault="009A35B5">
      <w:r>
        <w:t>Washington DC 20024</w:t>
      </w:r>
    </w:p>
    <w:p w:rsidR="000402AC" w:rsidRDefault="000402AC"/>
    <w:p w:rsidR="007A100A" w:rsidRDefault="007A100A" w:rsidP="005E1191">
      <w:pPr>
        <w:jc w:val="right"/>
      </w:pPr>
    </w:p>
    <w:p w:rsidR="00DD34FA" w:rsidRPr="006E699D" w:rsidRDefault="007C393E" w:rsidP="005E1191">
      <w:pPr>
        <w:jc w:val="right"/>
      </w:pPr>
      <w:r>
        <w:t xml:space="preserve">February </w:t>
      </w:r>
      <w:r w:rsidR="00004A8A">
        <w:t>10</w:t>
      </w:r>
      <w:r>
        <w:t>, 2021</w:t>
      </w:r>
    </w:p>
    <w:p w:rsidR="00DD34FA" w:rsidRDefault="00DD34FA" w:rsidP="006E699D"/>
    <w:p w:rsidR="00DD34FA" w:rsidRPr="006E699D" w:rsidRDefault="00DD34FA" w:rsidP="006E699D">
      <w:r w:rsidRPr="006E699D">
        <w:t xml:space="preserve">Re:  Proposed Rule on Resolution Planning </w:t>
      </w:r>
      <w:r w:rsidR="00025E4D">
        <w:t>RIN-2590-AB13</w:t>
      </w:r>
    </w:p>
    <w:p w:rsidR="00DD34FA" w:rsidRPr="006E699D" w:rsidRDefault="00DD34FA" w:rsidP="006E699D"/>
    <w:p w:rsidR="003721DB" w:rsidRPr="006E699D" w:rsidRDefault="003721DB" w:rsidP="006E699D">
      <w:r w:rsidRPr="006E699D">
        <w:t xml:space="preserve">Acting as a private citizen, I have </w:t>
      </w:r>
      <w:r w:rsidR="00DD34FA" w:rsidRPr="006E699D">
        <w:t>examined the proposed rule in d</w:t>
      </w:r>
      <w:r w:rsidR="00BE1DDE" w:rsidRPr="006E699D">
        <w:t xml:space="preserve">epth.  </w:t>
      </w:r>
      <w:r w:rsidRPr="006E699D">
        <w:t>Between my seven years as CEO of Freddie Mac (2012 to 2019) and my prior banking experience, where I rose from a trainee to become Vice Chairman of JPMorgan Chase, I am very qualified to do such an examination.</w:t>
      </w:r>
    </w:p>
    <w:p w:rsidR="003721DB" w:rsidRPr="006E699D" w:rsidRDefault="003721DB" w:rsidP="006E699D"/>
    <w:p w:rsidR="00DD34FA" w:rsidRDefault="003721DB" w:rsidP="006E699D">
      <w:r w:rsidRPr="006E699D">
        <w:t xml:space="preserve">The results of </w:t>
      </w:r>
      <w:r w:rsidR="00681315">
        <w:t>my</w:t>
      </w:r>
      <w:r w:rsidR="0014383C">
        <w:t xml:space="preserve"> </w:t>
      </w:r>
      <w:r w:rsidRPr="006E699D">
        <w:t xml:space="preserve">examination are that the </w:t>
      </w:r>
      <w:r w:rsidR="00DD34FA" w:rsidRPr="006E699D">
        <w:t xml:space="preserve">proposed rule </w:t>
      </w:r>
      <w:r w:rsidRPr="006E699D">
        <w:t xml:space="preserve">needs a wholesale revision.  This is primarily because there are, at its core, two </w:t>
      </w:r>
      <w:r w:rsidR="004C6A0F">
        <w:t xml:space="preserve">major </w:t>
      </w:r>
      <w:r w:rsidRPr="006E699D">
        <w:t>design requirements that are demonstrably flawed and in error</w:t>
      </w:r>
      <w:r w:rsidR="009B18C7">
        <w:t>, i.e. at odds with the facts</w:t>
      </w:r>
      <w:r w:rsidRPr="006E699D">
        <w:t xml:space="preserve">.  </w:t>
      </w:r>
    </w:p>
    <w:p w:rsidR="006E699D" w:rsidRPr="006E699D" w:rsidRDefault="006E699D" w:rsidP="006E699D"/>
    <w:p w:rsidR="00BE1DDE" w:rsidRDefault="003721DB" w:rsidP="006E699D">
      <w:pPr>
        <w:ind w:left="720"/>
      </w:pPr>
      <w:r w:rsidRPr="006E699D">
        <w:rPr>
          <w:u w:val="single"/>
        </w:rPr>
        <w:t xml:space="preserve">Error #1:  The requirement that the resolution planning </w:t>
      </w:r>
      <w:r w:rsidRPr="00E122CB">
        <w:rPr>
          <w:i/>
          <w:u w:val="single"/>
        </w:rPr>
        <w:t>not</w:t>
      </w:r>
      <w:r w:rsidRPr="006E699D">
        <w:rPr>
          <w:u w:val="single"/>
        </w:rPr>
        <w:t xml:space="preserve"> include the support provided to </w:t>
      </w:r>
      <w:r w:rsidR="006E699D">
        <w:rPr>
          <w:u w:val="single"/>
        </w:rPr>
        <w:t xml:space="preserve">each </w:t>
      </w:r>
      <w:r w:rsidRPr="006E699D">
        <w:rPr>
          <w:u w:val="single"/>
        </w:rPr>
        <w:t xml:space="preserve">Government Sponsored Enterprise (GSE) by </w:t>
      </w:r>
      <w:r w:rsidR="006E699D">
        <w:rPr>
          <w:u w:val="single"/>
        </w:rPr>
        <w:t>its</w:t>
      </w:r>
      <w:r w:rsidR="00BE1DDE" w:rsidRPr="006E699D">
        <w:rPr>
          <w:u w:val="single"/>
        </w:rPr>
        <w:t xml:space="preserve"> Preferred Stock Purchase Agreement (PSPA)</w:t>
      </w:r>
      <w:r w:rsidRPr="006E699D">
        <w:rPr>
          <w:u w:val="single"/>
        </w:rPr>
        <w:t>.</w:t>
      </w:r>
      <w:r w:rsidRPr="006E699D">
        <w:t xml:space="preserve">  While short of a full faith and credit guarantee,</w:t>
      </w:r>
      <w:r w:rsidR="006E699D">
        <w:t xml:space="preserve"> each </w:t>
      </w:r>
      <w:r w:rsidRPr="006E699D">
        <w:t xml:space="preserve">PSPA is a legally binding </w:t>
      </w:r>
      <w:r w:rsidR="00681315">
        <w:t>contract</w:t>
      </w:r>
      <w:r w:rsidRPr="006E699D">
        <w:t xml:space="preserve"> by which the Federal government is committed to providing very strong support to the two GSEs.  </w:t>
      </w:r>
      <w:r w:rsidR="006E699D" w:rsidRPr="006E699D">
        <w:t xml:space="preserve">The proposed rule specifies that this support is </w:t>
      </w:r>
      <w:r w:rsidR="009B18C7">
        <w:t xml:space="preserve">nevertheless </w:t>
      </w:r>
      <w:r w:rsidR="006E699D" w:rsidRPr="006E699D">
        <w:t>to be ignored</w:t>
      </w:r>
      <w:r w:rsidR="009B18C7">
        <w:t xml:space="preserve"> as somehow just a perception in the minds of investors</w:t>
      </w:r>
      <w:r w:rsidR="006E699D" w:rsidRPr="006E699D">
        <w:t xml:space="preserve">, which is contrary to the </w:t>
      </w:r>
      <w:r w:rsidR="00681315">
        <w:t xml:space="preserve">undeniable </w:t>
      </w:r>
      <w:r w:rsidR="006E699D">
        <w:t xml:space="preserve">legal </w:t>
      </w:r>
      <w:r w:rsidR="006E699D" w:rsidRPr="006E699D">
        <w:t xml:space="preserve">right of each GSE to benefit from its PSPA.  </w:t>
      </w:r>
      <w:r w:rsidR="000A41E2">
        <w:t xml:space="preserve">Any conclusions reached by such an analysis will be materially distorted and wrong as they will not reflect the reality of that considerable support.  </w:t>
      </w:r>
    </w:p>
    <w:p w:rsidR="006E699D" w:rsidRDefault="006E699D" w:rsidP="006E699D">
      <w:pPr>
        <w:ind w:left="720"/>
      </w:pPr>
    </w:p>
    <w:p w:rsidR="006E699D" w:rsidRDefault="006E699D" w:rsidP="006E699D">
      <w:pPr>
        <w:ind w:left="720"/>
      </w:pPr>
      <w:r w:rsidRPr="000A41E2">
        <w:rPr>
          <w:u w:val="single"/>
        </w:rPr>
        <w:t xml:space="preserve">Error #2:  The requirement that </w:t>
      </w:r>
      <w:r w:rsidR="000A41E2" w:rsidRPr="000A41E2">
        <w:rPr>
          <w:u w:val="single"/>
        </w:rPr>
        <w:t>each</w:t>
      </w:r>
      <w:r w:rsidRPr="000A41E2">
        <w:rPr>
          <w:u w:val="single"/>
        </w:rPr>
        <w:t xml:space="preserve"> GSE</w:t>
      </w:r>
      <w:r w:rsidR="000A41E2" w:rsidRPr="000A41E2">
        <w:rPr>
          <w:u w:val="single"/>
        </w:rPr>
        <w:t xml:space="preserve">’s resolution plan state how its affiliated Limited Life Regulated Entity (LLRE) will </w:t>
      </w:r>
      <w:r w:rsidRPr="000A41E2">
        <w:rPr>
          <w:u w:val="single"/>
        </w:rPr>
        <w:t>continu</w:t>
      </w:r>
      <w:r w:rsidR="000A41E2" w:rsidRPr="000A41E2">
        <w:rPr>
          <w:u w:val="single"/>
        </w:rPr>
        <w:t xml:space="preserve">e </w:t>
      </w:r>
      <w:r w:rsidRPr="000A41E2">
        <w:rPr>
          <w:u w:val="single"/>
        </w:rPr>
        <w:t xml:space="preserve">operations to </w:t>
      </w:r>
      <w:r w:rsidR="000A41E2" w:rsidRPr="000A41E2">
        <w:rPr>
          <w:u w:val="single"/>
        </w:rPr>
        <w:t xml:space="preserve">enable </w:t>
      </w:r>
      <w:r w:rsidRPr="000A41E2">
        <w:rPr>
          <w:u w:val="single"/>
        </w:rPr>
        <w:t xml:space="preserve">the national housing markets </w:t>
      </w:r>
      <w:r w:rsidR="000A41E2" w:rsidRPr="000A41E2">
        <w:rPr>
          <w:u w:val="single"/>
        </w:rPr>
        <w:t xml:space="preserve">to still function normally, but specifically </w:t>
      </w:r>
      <w:r w:rsidR="004C6A0F">
        <w:rPr>
          <w:u w:val="single"/>
        </w:rPr>
        <w:t>requiring</w:t>
      </w:r>
      <w:r w:rsidR="000A41E2">
        <w:rPr>
          <w:u w:val="single"/>
        </w:rPr>
        <w:t xml:space="preserve"> that </w:t>
      </w:r>
      <w:r w:rsidR="000A41E2" w:rsidRPr="000A41E2">
        <w:rPr>
          <w:u w:val="single"/>
        </w:rPr>
        <w:t xml:space="preserve">no PSPA or </w:t>
      </w:r>
      <w:r w:rsidR="009A35B5">
        <w:rPr>
          <w:u w:val="single"/>
        </w:rPr>
        <w:t>other form of extraordinary</w:t>
      </w:r>
      <w:r w:rsidR="000A41E2" w:rsidRPr="000A41E2">
        <w:rPr>
          <w:u w:val="single"/>
        </w:rPr>
        <w:t xml:space="preserve"> government support</w:t>
      </w:r>
      <w:r w:rsidR="000A41E2">
        <w:rPr>
          <w:u w:val="single"/>
        </w:rPr>
        <w:t xml:space="preserve"> </w:t>
      </w:r>
      <w:r w:rsidR="004C6A0F">
        <w:rPr>
          <w:u w:val="single"/>
        </w:rPr>
        <w:t>be</w:t>
      </w:r>
      <w:r w:rsidR="000A41E2">
        <w:rPr>
          <w:u w:val="single"/>
        </w:rPr>
        <w:t xml:space="preserve"> available to benefit the LLRE</w:t>
      </w:r>
      <w:r w:rsidR="000A41E2" w:rsidRPr="000A41E2">
        <w:rPr>
          <w:u w:val="single"/>
        </w:rPr>
        <w:t>.</w:t>
      </w:r>
      <w:r w:rsidR="000A41E2">
        <w:t xml:space="preserve">  This is an impossibility – the entire business model of the GSEs and the agency mortgage-backed securities (MBS) markets is predicated upon enough government support so that the MBS </w:t>
      </w:r>
      <w:r w:rsidR="00681315">
        <w:t>issued by the GSEs are</w:t>
      </w:r>
      <w:r w:rsidR="000A41E2">
        <w:t xml:space="preserve"> perceived by investors as having nil credit risk, but only interest rate and liquidity risks.  If there is to be no PSPA </w:t>
      </w:r>
      <w:r w:rsidR="00681315">
        <w:t>(</w:t>
      </w:r>
      <w:r w:rsidR="000A41E2">
        <w:t xml:space="preserve">or </w:t>
      </w:r>
      <w:r w:rsidR="00B64C78">
        <w:t>alternative extraordinary</w:t>
      </w:r>
      <w:r w:rsidR="00681315">
        <w:t>)</w:t>
      </w:r>
      <w:r w:rsidR="00B64C78">
        <w:t xml:space="preserve"> </w:t>
      </w:r>
      <w:r w:rsidR="000A41E2">
        <w:t xml:space="preserve">support to the MBS that the GSEs issue, investors </w:t>
      </w:r>
      <w:r w:rsidR="00681315">
        <w:t>have made it clear that they wil</w:t>
      </w:r>
      <w:r w:rsidR="00B43C88">
        <w:t xml:space="preserve">l no longer </w:t>
      </w:r>
      <w:r w:rsidR="00681315">
        <w:t xml:space="preserve">perceive nil credit risk, and thus </w:t>
      </w:r>
      <w:r w:rsidR="000A41E2">
        <w:t>will functionally stop purchasing the</w:t>
      </w:r>
      <w:r w:rsidR="00681315">
        <w:t xml:space="preserve"> securities.  This</w:t>
      </w:r>
      <w:r w:rsidR="000A41E2">
        <w:t xml:space="preserve"> in turn will require the GSEs to stop purchasing mortgages from primary </w:t>
      </w:r>
      <w:r w:rsidR="00B43C88">
        <w:t xml:space="preserve">market </w:t>
      </w:r>
      <w:r w:rsidR="000A41E2">
        <w:t>lenders.  This is completely understood b</w:t>
      </w:r>
      <w:r w:rsidR="000A41E2" w:rsidRPr="005E1191">
        <w:rPr>
          <w:i/>
        </w:rPr>
        <w:t xml:space="preserve">y all </w:t>
      </w:r>
      <w:r w:rsidR="000A41E2">
        <w:t xml:space="preserve">participants in the agency MBS markets.  </w:t>
      </w:r>
    </w:p>
    <w:p w:rsidR="006E699D" w:rsidRDefault="006E699D" w:rsidP="006E699D"/>
    <w:p w:rsidR="00DD34FA" w:rsidRDefault="004C6A0F">
      <w:r>
        <w:t>These two errors mean that the proposed rule is critically and fundamentally flawed, and – as stated above – needs wholesale replacement.</w:t>
      </w:r>
    </w:p>
    <w:p w:rsidR="004C6A0F" w:rsidRDefault="004C6A0F"/>
    <w:p w:rsidR="00953A77" w:rsidRDefault="004C6A0F">
      <w:r>
        <w:lastRenderedPageBreak/>
        <w:t xml:space="preserve">In addition, </w:t>
      </w:r>
      <w:r w:rsidR="00953A77">
        <w:t>I have three other significant concerns about the proposed rule:</w:t>
      </w:r>
    </w:p>
    <w:p w:rsidR="00953A77" w:rsidRDefault="00953A77"/>
    <w:p w:rsidR="004C6A0F" w:rsidRDefault="00953A77" w:rsidP="00953A77">
      <w:pPr>
        <w:ind w:left="720"/>
      </w:pPr>
      <w:r>
        <w:t xml:space="preserve">One, </w:t>
      </w:r>
      <w:r w:rsidR="004C6A0F">
        <w:t xml:space="preserve">many clauses of the proposal are </w:t>
      </w:r>
      <w:r w:rsidR="00B64C78">
        <w:t>unusually</w:t>
      </w:r>
      <w:r w:rsidR="004C6A0F">
        <w:t xml:space="preserve"> vague as to how they will operate, which </w:t>
      </w:r>
      <w:r w:rsidR="00B64C78">
        <w:t>is inconsistent</w:t>
      </w:r>
      <w:r w:rsidR="005E1191">
        <w:t xml:space="preserve"> with </w:t>
      </w:r>
      <w:r w:rsidR="00B43C88">
        <w:t>quality</w:t>
      </w:r>
      <w:r w:rsidR="00B64C78">
        <w:t xml:space="preserve"> </w:t>
      </w:r>
      <w:r w:rsidR="004C6A0F">
        <w:t>regulation.  An example would be the determination of what assets, in receivership, would be placed into an LLRE versus left</w:t>
      </w:r>
      <w:r w:rsidR="00B43C88">
        <w:t xml:space="preserve"> </w:t>
      </w:r>
      <w:r w:rsidR="004C6A0F">
        <w:t xml:space="preserve">in a bankrupt estate </w:t>
      </w:r>
      <w:r w:rsidR="00B43C88">
        <w:t>to be liquidated</w:t>
      </w:r>
      <w:r w:rsidR="0014383C">
        <w:t xml:space="preserve">.  This is </w:t>
      </w:r>
      <w:r w:rsidR="004C6A0F">
        <w:t xml:space="preserve">an incredibly important aspect of the resolution plan but one where the proposed rule leaves it </w:t>
      </w:r>
      <w:r w:rsidR="00B64C78">
        <w:t xml:space="preserve">fully </w:t>
      </w:r>
      <w:r w:rsidR="004C6A0F">
        <w:t xml:space="preserve">to future </w:t>
      </w:r>
      <w:r w:rsidR="00E122CB">
        <w:t xml:space="preserve">qualitative </w:t>
      </w:r>
      <w:r w:rsidR="004C6A0F">
        <w:t xml:space="preserve">judgments by the FHFA with seemingly no </w:t>
      </w:r>
      <w:r w:rsidR="0014383C">
        <w:t>obvious</w:t>
      </w:r>
      <w:r w:rsidR="004C6A0F">
        <w:t xml:space="preserve"> constraint upon its decisions.  The FHFA should be materially more specific in this and other components of the proposed rule</w:t>
      </w:r>
      <w:r w:rsidR="00B64C78">
        <w:t xml:space="preserve"> to provide reasonable transparency to the public of how resolution planning would actually operate.</w:t>
      </w:r>
    </w:p>
    <w:p w:rsidR="004C6A0F" w:rsidRDefault="004C6A0F"/>
    <w:p w:rsidR="004C6A0F" w:rsidRDefault="00953A77" w:rsidP="00953A77">
      <w:pPr>
        <w:ind w:left="720"/>
      </w:pPr>
      <w:r>
        <w:t>Two, t</w:t>
      </w:r>
      <w:r w:rsidR="004C6A0F">
        <w:t>he value of this living will resolution planning is, for a GSE</w:t>
      </w:r>
      <w:r w:rsidR="0014383C">
        <w:t xml:space="preserve"> as compared to a large </w:t>
      </w:r>
      <w:r w:rsidR="005E1191">
        <w:t xml:space="preserve">and systemically-important </w:t>
      </w:r>
      <w:r w:rsidR="0014383C">
        <w:t>bank</w:t>
      </w:r>
      <w:r w:rsidR="004C6A0F">
        <w:t xml:space="preserve">, </w:t>
      </w:r>
      <w:r w:rsidR="00B64C78">
        <w:t>v</w:t>
      </w:r>
      <w:r w:rsidR="004C6A0F">
        <w:t xml:space="preserve">ery modest.  A GSE has an </w:t>
      </w:r>
      <w:r w:rsidR="00B64C78">
        <w:t xml:space="preserve">ultra-simple </w:t>
      </w:r>
      <w:r w:rsidR="004C6A0F">
        <w:t>corporate structure as compared to a large bank and also has a dramatically superior liquidity profile</w:t>
      </w:r>
      <w:r w:rsidR="0014383C">
        <w:t xml:space="preserve"> (</w:t>
      </w:r>
      <w:r w:rsidR="004C6A0F">
        <w:t>as about 90% of its balance sheet is funded by “pass-through” MBS</w:t>
      </w:r>
      <w:r w:rsidR="0014383C">
        <w:t>)</w:t>
      </w:r>
      <w:r w:rsidR="004C6A0F">
        <w:t xml:space="preserve">.  Yet, the proposed rule calls for a major effort to meet </w:t>
      </w:r>
      <w:r w:rsidR="0014383C">
        <w:t>its</w:t>
      </w:r>
      <w:r w:rsidR="004C6A0F">
        <w:t xml:space="preserve"> requirements, taking years and </w:t>
      </w:r>
      <w:r w:rsidR="007C393E">
        <w:t>necessitating</w:t>
      </w:r>
      <w:r w:rsidR="004C6A0F">
        <w:t xml:space="preserve">, I estimate, thousands of pages of submissions each.  </w:t>
      </w:r>
      <w:r w:rsidR="0014383C">
        <w:t xml:space="preserve">The two should be put into balance so that complying with the resolution planning regulation </w:t>
      </w:r>
      <w:r w:rsidR="00B64C78">
        <w:t xml:space="preserve">has a cost </w:t>
      </w:r>
      <w:r w:rsidR="00B43C88">
        <w:t>scaled to</w:t>
      </w:r>
      <w:r w:rsidR="00B64C78">
        <w:t xml:space="preserve"> the </w:t>
      </w:r>
      <w:r w:rsidR="009B18C7">
        <w:t xml:space="preserve">very modest </w:t>
      </w:r>
      <w:r w:rsidR="00B64C78">
        <w:t>value of the regulation, which i</w:t>
      </w:r>
      <w:r w:rsidR="009B18C7">
        <w:t>s currently not the case</w:t>
      </w:r>
      <w:r w:rsidR="00B64C78">
        <w:t xml:space="preserve">.  </w:t>
      </w:r>
    </w:p>
    <w:p w:rsidR="00953A77" w:rsidRDefault="00953A77" w:rsidP="00953A77">
      <w:pPr>
        <w:ind w:left="720"/>
      </w:pPr>
    </w:p>
    <w:p w:rsidR="00953A77" w:rsidRDefault="00953A77" w:rsidP="00953A77">
      <w:pPr>
        <w:ind w:left="720"/>
      </w:pPr>
      <w:r>
        <w:t xml:space="preserve">And three, certain aspects of the rule seem to run counter to Congressional intent as expressed in the legislation establishing the two GSEs, known as their “charters.”  </w:t>
      </w:r>
    </w:p>
    <w:p w:rsidR="0014383C" w:rsidRDefault="0014383C"/>
    <w:p w:rsidR="00953A77" w:rsidRPr="00E122CB" w:rsidRDefault="0014383C" w:rsidP="00E122C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t xml:space="preserve">All of these points are made in greater depth and with more supporting detail and explanation in </w:t>
      </w:r>
      <w:r w:rsidR="00953A77">
        <w:t xml:space="preserve">a </w:t>
      </w:r>
      <w:r>
        <w:t>paper</w:t>
      </w:r>
      <w:r w:rsidR="00953A77">
        <w:t xml:space="preserve"> I </w:t>
      </w:r>
      <w:r w:rsidR="00F2359C">
        <w:t xml:space="preserve">recently </w:t>
      </w:r>
      <w:r w:rsidR="00953A77">
        <w:t>wrote</w:t>
      </w:r>
      <w:r>
        <w:t xml:space="preserve">, reflecting my personal views, </w:t>
      </w:r>
      <w:r w:rsidR="00953A77">
        <w:t xml:space="preserve">that was </w:t>
      </w:r>
      <w:r>
        <w:t>published via Harvard’s Joint Center for Housing Studies</w:t>
      </w:r>
      <w:r w:rsidR="00953A77">
        <w:t xml:space="preserve">: </w:t>
      </w:r>
      <w:r>
        <w:t xml:space="preserve"> </w:t>
      </w:r>
      <w:hyperlink r:id="rId8" w:tgtFrame="_blank" w:history="1">
        <w:r w:rsidRPr="00DD34FA">
          <w:rPr>
            <w:rFonts w:ascii="Arial" w:eastAsia="Times New Roman" w:hAnsi="Arial" w:cs="Arial"/>
            <w:color w:val="6DC6DD"/>
            <w:sz w:val="23"/>
            <w:szCs w:val="23"/>
            <w:u w:val="single"/>
          </w:rPr>
          <w:t>The FHFA’s Proposed GSE 'Living Will' Rule: Fatally Flawed and Unusually Vague</w:t>
        </w:r>
        <w:r w:rsidRPr="00DD34FA">
          <w:rPr>
            <w:rFonts w:ascii="Arial" w:eastAsia="Times New Roman" w:hAnsi="Arial" w:cs="Arial"/>
            <w:i/>
            <w:iCs/>
            <w:color w:val="6DC6DD"/>
            <w:sz w:val="23"/>
            <w:szCs w:val="23"/>
            <w:u w:val="single"/>
          </w:rPr>
          <w:t>.</w:t>
        </w:r>
      </w:hyperlink>
      <w:r>
        <w:rPr>
          <w:rFonts w:ascii="Helvetica" w:eastAsia="Times New Roman" w:hAnsi="Helvetica" w:cs="Times New Roman"/>
          <w:color w:val="606060"/>
          <w:sz w:val="23"/>
          <w:szCs w:val="23"/>
        </w:rPr>
        <w:t xml:space="preserve">  </w:t>
      </w:r>
      <w:r w:rsidR="00E122CB">
        <w:rPr>
          <w:rFonts w:eastAsia="Times New Roman" w:cstheme="minorHAnsi"/>
          <w:color w:val="000000" w:themeColor="text1"/>
          <w:sz w:val="22"/>
          <w:szCs w:val="22"/>
        </w:rPr>
        <w:t>I incorporate it by reference</w:t>
      </w:r>
      <w:r w:rsidR="00827A72">
        <w:rPr>
          <w:rFonts w:eastAsia="Times New Roman" w:cstheme="minorHAnsi"/>
          <w:color w:val="000000" w:themeColor="text1"/>
          <w:sz w:val="22"/>
          <w:szCs w:val="22"/>
        </w:rPr>
        <w:t xml:space="preserve"> at </w:t>
      </w:r>
      <w:hyperlink r:id="rId9" w:history="1">
        <w:r w:rsidR="00827A72" w:rsidRPr="00B16152">
          <w:rPr>
            <w:rStyle w:val="Hyperlink"/>
            <w:rFonts w:eastAsia="Times New Roman" w:cstheme="minorHAnsi"/>
            <w:sz w:val="22"/>
            <w:szCs w:val="22"/>
          </w:rPr>
          <w:t>https://www.jchs.harvard.edu/research-areas/working-papers/fhfas-proposed-gse-living-will-rule-fatally-flawed-and-unusually</w:t>
        </w:r>
      </w:hyperlink>
      <w:r w:rsidR="00827A72">
        <w:rPr>
          <w:rFonts w:eastAsia="Times New Roman" w:cstheme="minorHAnsi"/>
          <w:color w:val="000000" w:themeColor="text1"/>
          <w:sz w:val="22"/>
          <w:szCs w:val="22"/>
        </w:rPr>
        <w:t xml:space="preserve">.  </w:t>
      </w:r>
    </w:p>
    <w:p w:rsidR="00953A77" w:rsidRDefault="00953A77">
      <w:pPr>
        <w:rPr>
          <w:rFonts w:ascii="Helvetica" w:eastAsia="Times New Roman" w:hAnsi="Helvetica" w:cs="Times New Roman"/>
          <w:color w:val="000000" w:themeColor="text1"/>
          <w:sz w:val="23"/>
          <w:szCs w:val="23"/>
        </w:rPr>
      </w:pPr>
    </w:p>
    <w:p w:rsidR="00953A77" w:rsidRDefault="00953A77">
      <w:pPr>
        <w:rPr>
          <w:rFonts w:ascii="Helvetica" w:eastAsia="Times New Roman" w:hAnsi="Helvetica" w:cs="Times New Roman"/>
          <w:color w:val="000000" w:themeColor="text1"/>
          <w:sz w:val="23"/>
          <w:szCs w:val="23"/>
        </w:rPr>
      </w:pPr>
    </w:p>
    <w:p w:rsidR="00953A77" w:rsidRDefault="00E122CB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E122CB">
        <w:rPr>
          <w:rFonts w:eastAsia="Times New Roman" w:cstheme="minorHAnsi"/>
          <w:color w:val="000000" w:themeColor="text1"/>
          <w:sz w:val="22"/>
          <w:szCs w:val="22"/>
        </w:rPr>
        <w:t>Sincerely</w:t>
      </w:r>
      <w:r w:rsidR="007C393E">
        <w:rPr>
          <w:rFonts w:eastAsia="Times New Roman" w:cstheme="minorHAnsi"/>
          <w:color w:val="000000" w:themeColor="text1"/>
          <w:sz w:val="22"/>
          <w:szCs w:val="22"/>
        </w:rPr>
        <w:t xml:space="preserve">, </w:t>
      </w:r>
    </w:p>
    <w:p w:rsidR="00E122CB" w:rsidRPr="00E122CB" w:rsidRDefault="00E122CB">
      <w:pPr>
        <w:rPr>
          <w:rFonts w:eastAsia="Times New Roman" w:cstheme="minorHAnsi"/>
          <w:color w:val="000000" w:themeColor="text1"/>
          <w:sz w:val="22"/>
          <w:szCs w:val="22"/>
        </w:rPr>
      </w:pPr>
    </w:p>
    <w:p w:rsidR="00953A77" w:rsidRPr="00E122CB" w:rsidRDefault="00953A77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E122CB">
        <w:rPr>
          <w:rFonts w:eastAsia="Times New Roman" w:cstheme="minorHAnsi"/>
          <w:color w:val="000000" w:themeColor="text1"/>
          <w:sz w:val="22"/>
          <w:szCs w:val="22"/>
        </w:rPr>
        <w:t>Donald H. Layton</w:t>
      </w:r>
    </w:p>
    <w:p w:rsidR="0014383C" w:rsidRDefault="0014383C"/>
    <w:p w:rsidR="0014383C" w:rsidRDefault="0014383C"/>
    <w:p w:rsidR="00DD34FA" w:rsidRPr="00DD34FA" w:rsidRDefault="00DD34FA" w:rsidP="00DD34FA">
      <w:pPr>
        <w:rPr>
          <w:rFonts w:ascii="Times New Roman" w:eastAsia="Times New Roman" w:hAnsi="Times New Roman" w:cs="Times New Roman"/>
        </w:rPr>
      </w:pPr>
    </w:p>
    <w:p w:rsidR="00DD34FA" w:rsidRDefault="00DD34FA"/>
    <w:p w:rsidR="00953A77" w:rsidRDefault="00953A77"/>
    <w:sectPr w:rsidR="00953A77" w:rsidSect="00495CF5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89" w:rsidRDefault="00392589" w:rsidP="00953A77">
      <w:r>
        <w:separator/>
      </w:r>
    </w:p>
  </w:endnote>
  <w:endnote w:type="continuationSeparator" w:id="0">
    <w:p w:rsidR="00392589" w:rsidRDefault="00392589" w:rsidP="0095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200597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53A77" w:rsidRDefault="00953A77" w:rsidP="00953A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53A77" w:rsidRDefault="00953A77" w:rsidP="00953A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24612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53A77" w:rsidRDefault="00953A77" w:rsidP="00953A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53A77" w:rsidRDefault="00953A77" w:rsidP="00953A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89" w:rsidRDefault="00392589" w:rsidP="00953A77">
      <w:r>
        <w:separator/>
      </w:r>
    </w:p>
  </w:footnote>
  <w:footnote w:type="continuationSeparator" w:id="0">
    <w:p w:rsidR="00392589" w:rsidRDefault="00392589" w:rsidP="0095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73EA"/>
    <w:multiLevelType w:val="hybridMultilevel"/>
    <w:tmpl w:val="57D2A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5808"/>
    <w:multiLevelType w:val="hybridMultilevel"/>
    <w:tmpl w:val="91A87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80A3D"/>
    <w:multiLevelType w:val="multilevel"/>
    <w:tmpl w:val="08AC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FA"/>
    <w:rsid w:val="00004A8A"/>
    <w:rsid w:val="00025E4D"/>
    <w:rsid w:val="000402AC"/>
    <w:rsid w:val="000A41E2"/>
    <w:rsid w:val="0014383C"/>
    <w:rsid w:val="001F4EE4"/>
    <w:rsid w:val="003721DB"/>
    <w:rsid w:val="00392589"/>
    <w:rsid w:val="00495CF5"/>
    <w:rsid w:val="004C6A0F"/>
    <w:rsid w:val="005E1191"/>
    <w:rsid w:val="00681315"/>
    <w:rsid w:val="006E699D"/>
    <w:rsid w:val="007729D9"/>
    <w:rsid w:val="007A100A"/>
    <w:rsid w:val="007C393E"/>
    <w:rsid w:val="00827A72"/>
    <w:rsid w:val="008C7B81"/>
    <w:rsid w:val="00934C1D"/>
    <w:rsid w:val="00953A77"/>
    <w:rsid w:val="009A35B5"/>
    <w:rsid w:val="009B18C7"/>
    <w:rsid w:val="009C312D"/>
    <w:rsid w:val="00A93D86"/>
    <w:rsid w:val="00AC3EA6"/>
    <w:rsid w:val="00B43C88"/>
    <w:rsid w:val="00B64C78"/>
    <w:rsid w:val="00BE1DDE"/>
    <w:rsid w:val="00D23639"/>
    <w:rsid w:val="00DD34FA"/>
    <w:rsid w:val="00E122CB"/>
    <w:rsid w:val="00F2359C"/>
    <w:rsid w:val="00F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D8AE"/>
  <w14:defaultImageDpi w14:val="32767"/>
  <w15:chartTrackingRefBased/>
  <w15:docId w15:val="{E5E77E2A-F861-984A-85F7-2694A062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4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D34FA"/>
  </w:style>
  <w:style w:type="character" w:styleId="Hyperlink">
    <w:name w:val="Hyperlink"/>
    <w:basedOn w:val="DefaultParagraphFont"/>
    <w:uiPriority w:val="99"/>
    <w:unhideWhenUsed/>
    <w:rsid w:val="00DD34F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34FA"/>
    <w:rPr>
      <w:i/>
      <w:iCs/>
    </w:rPr>
  </w:style>
  <w:style w:type="paragraph" w:styleId="ListParagraph">
    <w:name w:val="List Paragraph"/>
    <w:basedOn w:val="Normal"/>
    <w:uiPriority w:val="34"/>
    <w:qFormat/>
    <w:rsid w:val="00BE1D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3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77"/>
  </w:style>
  <w:style w:type="character" w:styleId="PageNumber">
    <w:name w:val="page number"/>
    <w:basedOn w:val="DefaultParagraphFont"/>
    <w:uiPriority w:val="99"/>
    <w:semiHidden/>
    <w:unhideWhenUsed/>
    <w:rsid w:val="00953A77"/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827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vard.us7.list-manage.com/track/click?u=32bdef9ad4f5c24e42bebf634&amp;id=933ebc19d6&amp;e=d6fb725d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chs.harvard.edu/research-areas/working-papers/fhfas-proposed-gse-living-will-rule-fatally-flawed-and-unusually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D02DA-04EF-144F-8E10-08024CD01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4E1B9-0513-4CC4-8906-6941CA3C7290}"/>
</file>

<file path=customXml/itemProps3.xml><?xml version="1.0" encoding="utf-8"?>
<ds:datastoreItem xmlns:ds="http://schemas.openxmlformats.org/officeDocument/2006/customXml" ds:itemID="{B47E5C67-6F1E-46CB-9E47-B72CA1001CC7}"/>
</file>

<file path=customXml/itemProps4.xml><?xml version="1.0" encoding="utf-8"?>
<ds:datastoreItem xmlns:ds="http://schemas.openxmlformats.org/officeDocument/2006/customXml" ds:itemID="{D0DC8205-B5CA-48AB-AE3F-6040D3A169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Layton</dc:creator>
  <cp:keywords/>
  <dc:description/>
  <cp:lastModifiedBy>Donald Layton</cp:lastModifiedBy>
  <cp:revision>2</cp:revision>
  <cp:lastPrinted>2021-02-10T01:29:00Z</cp:lastPrinted>
  <dcterms:created xsi:type="dcterms:W3CDTF">2021-02-10T11:36:00Z</dcterms:created>
  <dcterms:modified xsi:type="dcterms:W3CDTF">2021-02-10T11:36:00Z</dcterms:modified>
</cp:coreProperties>
</file>