
<file path=[Content_Types].xml><?xml version="1.0" encoding="utf-8"?>
<Types xmlns="http://schemas.openxmlformats.org/package/2006/content-types">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56B9" w14:textId="77777777" w:rsidR="00302312" w:rsidRDefault="00302312" w:rsidP="00302312">
      <w:pPr>
        <w:spacing w:after="0"/>
        <w:ind w:right="2"/>
        <w:jc w:val="center"/>
      </w:pPr>
      <w:r>
        <w:rPr>
          <w:b/>
          <w:sz w:val="28"/>
        </w:rPr>
        <w:t xml:space="preserve">AEI Housing Center </w:t>
      </w:r>
    </w:p>
    <w:p w14:paraId="1A59D180" w14:textId="77777777" w:rsidR="00302312" w:rsidRDefault="00302312" w:rsidP="00302312">
      <w:pPr>
        <w:pStyle w:val="Heading1"/>
        <w:spacing w:after="1" w:line="258" w:lineRule="auto"/>
        <w:ind w:left="3267" w:right="3209"/>
        <w:jc w:val="center"/>
      </w:pPr>
      <w:r>
        <w:rPr>
          <w:i w:val="0"/>
          <w:sz w:val="22"/>
        </w:rPr>
        <w:t xml:space="preserve">American Enterprise Institute 1789 Massachusetts Ave NW Washington, DC 20036 </w:t>
      </w:r>
    </w:p>
    <w:p w14:paraId="02C6CA42" w14:textId="77777777" w:rsidR="00302312" w:rsidRDefault="00302312" w:rsidP="00302312">
      <w:pPr>
        <w:spacing w:after="0"/>
        <w:ind w:left="48"/>
        <w:jc w:val="center"/>
      </w:pPr>
      <w:r>
        <w:t xml:space="preserve"> </w:t>
      </w:r>
    </w:p>
    <w:p w14:paraId="1F4A06A4" w14:textId="3503BE55" w:rsidR="00302312" w:rsidRDefault="00E100CC" w:rsidP="00302312">
      <w:pPr>
        <w:spacing w:after="158"/>
        <w:jc w:val="center"/>
      </w:pPr>
      <w:r>
        <w:t>January 4</w:t>
      </w:r>
      <w:r w:rsidR="00302312" w:rsidRPr="00E100CC">
        <w:t>, 2021</w:t>
      </w:r>
      <w:r w:rsidR="00302312">
        <w:t xml:space="preserve"> </w:t>
      </w:r>
    </w:p>
    <w:p w14:paraId="75ED920D" w14:textId="77777777" w:rsidR="00302312" w:rsidRDefault="00302312" w:rsidP="00302312">
      <w:r>
        <w:t xml:space="preserve"> </w:t>
      </w:r>
    </w:p>
    <w:p w14:paraId="3608F0B6" w14:textId="77777777" w:rsidR="00302312" w:rsidRDefault="00302312" w:rsidP="00302312">
      <w:pPr>
        <w:ind w:left="-5" w:right="46"/>
      </w:pPr>
      <w:r w:rsidRPr="00BF3BFF">
        <w:t>Enterprise Regulatory Capital Framework</w:t>
      </w:r>
    </w:p>
    <w:p w14:paraId="100756DA" w14:textId="77777777" w:rsidR="00302312" w:rsidRDefault="00302312" w:rsidP="00302312">
      <w:pPr>
        <w:ind w:left="-5" w:right="46"/>
      </w:pPr>
      <w:r>
        <w:t xml:space="preserve">Federal Housing Finance Agency </w:t>
      </w:r>
    </w:p>
    <w:p w14:paraId="049BAFC8" w14:textId="73E9EE3B" w:rsidR="00302312" w:rsidRDefault="00EA106D" w:rsidP="00302312">
      <w:pPr>
        <w:ind w:left="-5" w:right="46"/>
      </w:pPr>
      <w:r>
        <w:t xml:space="preserve">Proposed: October </w:t>
      </w:r>
      <w:bookmarkStart w:id="0" w:name="_GoBack"/>
      <w:bookmarkEnd w:id="0"/>
      <w:r w:rsidR="00302312">
        <w:t xml:space="preserve">9, 2020 </w:t>
      </w:r>
    </w:p>
    <w:p w14:paraId="63B3432D" w14:textId="32EF5CCC" w:rsidR="00302312" w:rsidRDefault="00302312" w:rsidP="00302312">
      <w:pPr>
        <w:ind w:left="-5" w:right="46"/>
      </w:pPr>
      <w:r>
        <w:t>Comment Period Closes: January 8,</w:t>
      </w:r>
      <w:r>
        <w:rPr>
          <w:vertAlign w:val="superscript"/>
        </w:rPr>
        <w:t xml:space="preserve"> </w:t>
      </w:r>
      <w:r>
        <w:t xml:space="preserve">2021 </w:t>
      </w:r>
    </w:p>
    <w:p w14:paraId="6F25060A" w14:textId="2492C1F7" w:rsidR="00302312" w:rsidRDefault="00302312" w:rsidP="00302312">
      <w:pPr>
        <w:ind w:left="-5" w:right="46"/>
      </w:pPr>
      <w:r>
        <w:t xml:space="preserve">Submitted: </w:t>
      </w:r>
      <w:r w:rsidR="00E100CC">
        <w:t>January 4</w:t>
      </w:r>
      <w:r w:rsidRPr="00E100CC">
        <w:t>, 2021</w:t>
      </w:r>
    </w:p>
    <w:p w14:paraId="7A658EA9" w14:textId="6B5C8F8D" w:rsidR="00302312" w:rsidRDefault="00302312" w:rsidP="00302312">
      <w:pPr>
        <w:ind w:left="-5" w:right="46"/>
      </w:pPr>
      <w:r>
        <w:t xml:space="preserve">Document No.: FR Doc </w:t>
      </w:r>
      <w:r w:rsidRPr="005C0F93">
        <w:t>2020-</w:t>
      </w:r>
      <w:r>
        <w:t>23452</w:t>
      </w:r>
    </w:p>
    <w:p w14:paraId="251EF24A" w14:textId="18EEB54C" w:rsidR="00302312" w:rsidRDefault="00302312" w:rsidP="00302312">
      <w:pPr>
        <w:ind w:left="-5" w:right="46"/>
      </w:pPr>
      <w:r>
        <w:t>RIN-2590-AA17</w:t>
      </w:r>
    </w:p>
    <w:p w14:paraId="2F41D554" w14:textId="72A6D820" w:rsidR="00302312" w:rsidRDefault="00302312" w:rsidP="00302312">
      <w:pPr>
        <w:ind w:left="-5" w:right="46"/>
      </w:pPr>
      <w:r>
        <w:t xml:space="preserve">Re.: New </w:t>
      </w:r>
      <w:r w:rsidRPr="005C0F93">
        <w:t xml:space="preserve">Enterprise </w:t>
      </w:r>
      <w:r>
        <w:t>Activities</w:t>
      </w:r>
    </w:p>
    <w:p w14:paraId="0BA1C632" w14:textId="77777777" w:rsidR="00302312" w:rsidRDefault="00302312" w:rsidP="00302312">
      <w:pPr>
        <w:spacing w:after="0"/>
        <w:ind w:left="-5" w:right="46"/>
      </w:pPr>
      <w:r>
        <w:t xml:space="preserve">Dear Sir/Madam: </w:t>
      </w:r>
    </w:p>
    <w:p w14:paraId="583D1500" w14:textId="77777777" w:rsidR="00302312" w:rsidRDefault="00302312" w:rsidP="00302312">
      <w:pPr>
        <w:spacing w:after="0"/>
      </w:pPr>
      <w:r>
        <w:t xml:space="preserve"> </w:t>
      </w:r>
    </w:p>
    <w:p w14:paraId="3A5B7A9D" w14:textId="3152D0BC" w:rsidR="00302312" w:rsidRDefault="00302312" w:rsidP="00302312">
      <w:pPr>
        <w:ind w:left="-5" w:right="46"/>
      </w:pPr>
      <w:r>
        <w:t xml:space="preserve">Thank you for the opportunity to comment on </w:t>
      </w:r>
      <w:r w:rsidRPr="005C0F93">
        <w:t xml:space="preserve">FHFA’s proposed rulemaking </w:t>
      </w:r>
      <w:r>
        <w:t xml:space="preserve">for New </w:t>
      </w:r>
      <w:r w:rsidRPr="005C0F93">
        <w:t xml:space="preserve">Enterprise </w:t>
      </w:r>
      <w:r>
        <w:t>Activities.</w:t>
      </w:r>
      <w:r w:rsidRPr="005C0F93">
        <w:t xml:space="preserve">  We recommend that FHFA </w:t>
      </w:r>
      <w:r>
        <w:t xml:space="preserve">make explicit reference to controlling provisions of the Enterprises’ charters. </w:t>
      </w:r>
    </w:p>
    <w:p w14:paraId="627BBC2A" w14:textId="77777777" w:rsidR="00302312" w:rsidRDefault="00302312" w:rsidP="00302312">
      <w:pPr>
        <w:ind w:left="-5" w:right="46"/>
      </w:pPr>
      <w:r>
        <w:t xml:space="preserve">It would be a pleasure to discuss this recommendation further with you at your convenience, should you so desire.  Thank you again for the chance to participate in this timely rulemaking. </w:t>
      </w:r>
    </w:p>
    <w:p w14:paraId="3FEE7D03" w14:textId="77777777" w:rsidR="00302312" w:rsidRDefault="00302312" w:rsidP="00302312">
      <w:pPr>
        <w:ind w:left="-5" w:right="46"/>
      </w:pPr>
      <w:r>
        <w:t xml:space="preserve">Yours respectfully, </w:t>
      </w:r>
    </w:p>
    <w:tbl>
      <w:tblPr>
        <w:tblStyle w:val="TableGrid"/>
        <w:tblW w:w="9114" w:type="dxa"/>
        <w:tblInd w:w="0" w:type="dxa"/>
        <w:tblLook w:val="04A0" w:firstRow="1" w:lastRow="0" w:firstColumn="1" w:lastColumn="0" w:noHBand="0" w:noVBand="1"/>
      </w:tblPr>
      <w:tblGrid>
        <w:gridCol w:w="4185"/>
        <w:gridCol w:w="347"/>
        <w:gridCol w:w="347"/>
        <w:gridCol w:w="4235"/>
      </w:tblGrid>
      <w:tr w:rsidR="00302312" w14:paraId="6FCB710B" w14:textId="77777777" w:rsidTr="00F10AE7">
        <w:trPr>
          <w:trHeight w:val="3108"/>
        </w:trPr>
        <w:tc>
          <w:tcPr>
            <w:tcW w:w="4185" w:type="dxa"/>
            <w:tcBorders>
              <w:top w:val="nil"/>
              <w:left w:val="nil"/>
              <w:bottom w:val="nil"/>
              <w:right w:val="nil"/>
            </w:tcBorders>
          </w:tcPr>
          <w:p w14:paraId="3B3EA931" w14:textId="77777777" w:rsidR="00302312" w:rsidRDefault="00302312" w:rsidP="00F10AE7">
            <w:pPr>
              <w:framePr w:hSpace="180" w:wrap="around" w:vAnchor="text" w:hAnchor="margin" w:y="330"/>
              <w:tabs>
                <w:tab w:val="center" w:pos="2160"/>
                <w:tab w:val="center" w:pos="2881"/>
                <w:tab w:val="center" w:pos="3601"/>
              </w:tabs>
              <w:spacing w:line="259" w:lineRule="auto"/>
            </w:pPr>
            <w:r>
              <w:t xml:space="preserve">Edward J. Pinto  </w:t>
            </w:r>
            <w:r>
              <w:tab/>
              <w:t xml:space="preserve"> </w:t>
            </w:r>
            <w:r>
              <w:tab/>
              <w:t xml:space="preserve"> </w:t>
            </w:r>
            <w:r>
              <w:tab/>
              <w:t xml:space="preserve"> </w:t>
            </w:r>
          </w:p>
          <w:p w14:paraId="6DED931E" w14:textId="6C057BE9" w:rsidR="00302312" w:rsidRDefault="00302312" w:rsidP="00F10AE7">
            <w:pPr>
              <w:framePr w:hSpace="180" w:wrap="around" w:vAnchor="text" w:hAnchor="margin" w:y="330"/>
              <w:spacing w:line="272" w:lineRule="auto"/>
            </w:pPr>
            <w:r>
              <w:t xml:space="preserve">Resident fellow, American Enterprise Institute Director, AEI Housing Center </w:t>
            </w:r>
          </w:p>
          <w:p w14:paraId="4E31C954" w14:textId="77777777" w:rsidR="00302312" w:rsidRDefault="00EA106D" w:rsidP="00F10AE7">
            <w:pPr>
              <w:framePr w:hSpace="180" w:wrap="around" w:vAnchor="text" w:hAnchor="margin" w:y="330"/>
              <w:tabs>
                <w:tab w:val="center" w:pos="2881"/>
                <w:tab w:val="center" w:pos="3601"/>
              </w:tabs>
              <w:spacing w:after="11" w:line="259" w:lineRule="auto"/>
            </w:pPr>
            <w:hyperlink r:id="rId7" w:history="1">
              <w:r w:rsidR="00302312" w:rsidRPr="00FC3C9F">
                <w:rPr>
                  <w:rStyle w:val="Hyperlink"/>
                  <w:u w:color="0563C1"/>
                </w:rPr>
                <w:t>pintoedward1@gmail.com</w:t>
              </w:r>
            </w:hyperlink>
            <w:r w:rsidR="00302312">
              <w:rPr>
                <w:color w:val="0563C1"/>
                <w:u w:val="single" w:color="0563C1"/>
              </w:rPr>
              <w:t xml:space="preserve"> </w:t>
            </w:r>
            <w:r w:rsidR="00302312">
              <w:t xml:space="preserve">  </w:t>
            </w:r>
            <w:r w:rsidR="00302312">
              <w:tab/>
              <w:t xml:space="preserve"> </w:t>
            </w:r>
            <w:r w:rsidR="00302312">
              <w:tab/>
              <w:t xml:space="preserve"> </w:t>
            </w:r>
          </w:p>
          <w:p w14:paraId="670576DA" w14:textId="77777777" w:rsidR="00302312" w:rsidRDefault="00302312" w:rsidP="00F10AE7">
            <w:pPr>
              <w:framePr w:hSpace="180" w:wrap="around" w:vAnchor="text" w:hAnchor="margin" w:y="330"/>
              <w:tabs>
                <w:tab w:val="center" w:pos="2160"/>
                <w:tab w:val="center" w:pos="2881"/>
                <w:tab w:val="center" w:pos="3601"/>
              </w:tabs>
              <w:spacing w:line="259" w:lineRule="auto"/>
            </w:pPr>
            <w:r>
              <w:t>240-423-2848</w:t>
            </w:r>
          </w:p>
          <w:p w14:paraId="57AD7325" w14:textId="77777777" w:rsidR="00302312" w:rsidRDefault="00302312" w:rsidP="00F10AE7">
            <w:pPr>
              <w:framePr w:hSpace="180" w:wrap="around" w:vAnchor="text" w:hAnchor="margin" w:y="330"/>
              <w:tabs>
                <w:tab w:val="center" w:pos="2160"/>
                <w:tab w:val="center" w:pos="2881"/>
                <w:tab w:val="center" w:pos="3601"/>
              </w:tabs>
              <w:spacing w:line="259" w:lineRule="auto"/>
            </w:pPr>
            <w:r>
              <w:t xml:space="preserve"> </w:t>
            </w:r>
            <w:r>
              <w:tab/>
              <w:t xml:space="preserve"> </w:t>
            </w:r>
            <w:r>
              <w:tab/>
              <w:t xml:space="preserve"> </w:t>
            </w:r>
            <w:r>
              <w:tab/>
              <w:t xml:space="preserve"> </w:t>
            </w:r>
          </w:p>
          <w:p w14:paraId="466FA861" w14:textId="23C7D2E5" w:rsidR="00302312" w:rsidRDefault="00302312" w:rsidP="00F10AE7">
            <w:pPr>
              <w:framePr w:hSpace="180" w:wrap="around" w:vAnchor="text" w:hAnchor="margin" w:y="330"/>
              <w:spacing w:line="259" w:lineRule="auto"/>
            </w:pPr>
            <w:r>
              <w:t xml:space="preserve"> </w:t>
            </w:r>
          </w:p>
        </w:tc>
        <w:tc>
          <w:tcPr>
            <w:tcW w:w="347" w:type="dxa"/>
            <w:tcBorders>
              <w:top w:val="nil"/>
              <w:left w:val="nil"/>
              <w:bottom w:val="nil"/>
              <w:right w:val="nil"/>
            </w:tcBorders>
          </w:tcPr>
          <w:p w14:paraId="449B7139" w14:textId="77777777" w:rsidR="00302312" w:rsidRDefault="00302312" w:rsidP="00F10AE7">
            <w:pPr>
              <w:framePr w:hSpace="180" w:wrap="around" w:vAnchor="text" w:hAnchor="margin" w:y="330"/>
              <w:spacing w:line="259" w:lineRule="auto"/>
            </w:pPr>
            <w:r>
              <w:t xml:space="preserve"> </w:t>
            </w:r>
          </w:p>
          <w:p w14:paraId="1A536556" w14:textId="77777777" w:rsidR="00302312" w:rsidRDefault="00302312" w:rsidP="00F10AE7">
            <w:pPr>
              <w:framePr w:hSpace="180" w:wrap="around" w:vAnchor="text" w:hAnchor="margin" w:y="330"/>
              <w:spacing w:line="259" w:lineRule="auto"/>
            </w:pPr>
            <w:r>
              <w:t xml:space="preserve"> </w:t>
            </w:r>
          </w:p>
          <w:p w14:paraId="0C634E9D" w14:textId="77777777" w:rsidR="00302312" w:rsidRDefault="00302312" w:rsidP="00F10AE7">
            <w:pPr>
              <w:framePr w:hSpace="180" w:wrap="around" w:vAnchor="text" w:hAnchor="margin" w:y="330"/>
              <w:spacing w:line="259" w:lineRule="auto"/>
            </w:pPr>
            <w:r>
              <w:t xml:space="preserve"> </w:t>
            </w:r>
          </w:p>
          <w:p w14:paraId="58CBA39E" w14:textId="77777777" w:rsidR="00302312" w:rsidRDefault="00302312" w:rsidP="00F10AE7">
            <w:pPr>
              <w:framePr w:hSpace="180" w:wrap="around" w:vAnchor="text" w:hAnchor="margin" w:y="330"/>
              <w:spacing w:line="259" w:lineRule="auto"/>
            </w:pPr>
            <w:r>
              <w:t xml:space="preserve"> </w:t>
            </w:r>
          </w:p>
          <w:p w14:paraId="1750C249" w14:textId="77777777" w:rsidR="00302312" w:rsidRDefault="00302312" w:rsidP="00F10AE7">
            <w:pPr>
              <w:framePr w:hSpace="180" w:wrap="around" w:vAnchor="text" w:hAnchor="margin" w:y="330"/>
              <w:spacing w:line="259" w:lineRule="auto"/>
            </w:pPr>
            <w:r>
              <w:t xml:space="preserve"> </w:t>
            </w:r>
          </w:p>
          <w:p w14:paraId="103A34DA" w14:textId="77777777" w:rsidR="00302312" w:rsidRDefault="00302312" w:rsidP="00F10AE7">
            <w:pPr>
              <w:framePr w:hSpace="180" w:wrap="around" w:vAnchor="text" w:hAnchor="margin" w:y="330"/>
              <w:spacing w:line="259" w:lineRule="auto"/>
            </w:pPr>
            <w:r>
              <w:t xml:space="preserve"> </w:t>
            </w:r>
          </w:p>
        </w:tc>
        <w:tc>
          <w:tcPr>
            <w:tcW w:w="347" w:type="dxa"/>
            <w:tcBorders>
              <w:top w:val="nil"/>
              <w:left w:val="nil"/>
              <w:bottom w:val="nil"/>
              <w:right w:val="nil"/>
            </w:tcBorders>
            <w:vAlign w:val="bottom"/>
          </w:tcPr>
          <w:p w14:paraId="240A49DE" w14:textId="77777777" w:rsidR="00302312" w:rsidRDefault="00302312" w:rsidP="00F10AE7">
            <w:pPr>
              <w:framePr w:hSpace="180" w:wrap="around" w:vAnchor="text" w:hAnchor="margin" w:y="330"/>
              <w:spacing w:line="259" w:lineRule="auto"/>
              <w:ind w:right="18"/>
              <w:jc w:val="center"/>
            </w:pPr>
            <w:r>
              <w:rPr>
                <w:b/>
                <w:i/>
                <w:sz w:val="24"/>
              </w:rPr>
              <w:t xml:space="preserve"> </w:t>
            </w:r>
          </w:p>
        </w:tc>
        <w:tc>
          <w:tcPr>
            <w:tcW w:w="4235" w:type="dxa"/>
            <w:tcBorders>
              <w:top w:val="nil"/>
              <w:left w:val="nil"/>
              <w:bottom w:val="nil"/>
              <w:right w:val="nil"/>
            </w:tcBorders>
          </w:tcPr>
          <w:p w14:paraId="62235A05" w14:textId="77777777" w:rsidR="00302312" w:rsidRPr="007046B2" w:rsidRDefault="00302312" w:rsidP="00F10AE7">
            <w:pPr>
              <w:framePr w:hSpace="180" w:wrap="around" w:vAnchor="text" w:hAnchor="margin" w:y="330"/>
              <w:spacing w:line="259" w:lineRule="auto"/>
              <w:rPr>
                <w:lang w:val="es-CO"/>
              </w:rPr>
            </w:pPr>
          </w:p>
          <w:p w14:paraId="1CF14AB3" w14:textId="77777777" w:rsidR="00302312" w:rsidRDefault="00302312" w:rsidP="00302312">
            <w:pPr>
              <w:framePr w:hSpace="180" w:wrap="around" w:vAnchor="text" w:hAnchor="margin" w:y="330"/>
            </w:pPr>
          </w:p>
        </w:tc>
      </w:tr>
    </w:tbl>
    <w:p w14:paraId="132CD9A5" w14:textId="77777777" w:rsidR="00302312" w:rsidRDefault="00302312">
      <w:pPr>
        <w:rPr>
          <w:rFonts w:cstheme="minorHAnsi"/>
          <w:sz w:val="24"/>
          <w:szCs w:val="24"/>
        </w:rPr>
      </w:pPr>
    </w:p>
    <w:p w14:paraId="5CE8C326" w14:textId="77777777" w:rsidR="00E100CC" w:rsidRDefault="00E100CC">
      <w:pPr>
        <w:rPr>
          <w:rFonts w:cstheme="minorHAnsi"/>
          <w:sz w:val="24"/>
          <w:szCs w:val="24"/>
        </w:rPr>
      </w:pPr>
    </w:p>
    <w:p w14:paraId="0565B782" w14:textId="1D4AE2BA" w:rsidR="001736BB" w:rsidRDefault="001736BB">
      <w:pPr>
        <w:rPr>
          <w:rFonts w:cstheme="minorHAnsi"/>
          <w:sz w:val="24"/>
          <w:szCs w:val="24"/>
        </w:rPr>
      </w:pPr>
      <w:r w:rsidRPr="001736BB">
        <w:rPr>
          <w:rFonts w:cstheme="minorHAnsi"/>
          <w:sz w:val="24"/>
          <w:szCs w:val="24"/>
        </w:rPr>
        <w:t>FHFA PROPOSED RULE FOR NEW ENTERPRISE ACTIVITIES</w:t>
      </w:r>
      <w:r>
        <w:rPr>
          <w:rFonts w:cstheme="minorHAnsi"/>
          <w:sz w:val="24"/>
          <w:szCs w:val="24"/>
        </w:rPr>
        <w:t xml:space="preserve"> </w:t>
      </w:r>
    </w:p>
    <w:p w14:paraId="6ED58882" w14:textId="77777777" w:rsidR="006B5F93" w:rsidRPr="001463E6" w:rsidRDefault="006B5F93" w:rsidP="006B5F93">
      <w:pPr>
        <w:autoSpaceDE w:val="0"/>
        <w:autoSpaceDN w:val="0"/>
        <w:adjustRightInd w:val="0"/>
        <w:spacing w:after="0" w:line="240" w:lineRule="auto"/>
        <w:rPr>
          <w:rFonts w:cstheme="minorHAnsi"/>
          <w:color w:val="231F20"/>
          <w:sz w:val="24"/>
          <w:szCs w:val="24"/>
        </w:rPr>
      </w:pPr>
      <w:r>
        <w:rPr>
          <w:rFonts w:cstheme="minorHAnsi"/>
          <w:color w:val="231F20"/>
          <w:sz w:val="24"/>
          <w:szCs w:val="24"/>
        </w:rPr>
        <w:lastRenderedPageBreak/>
        <w:t xml:space="preserve">FHFA’s </w:t>
      </w:r>
      <w:r w:rsidRPr="001463E6">
        <w:rPr>
          <w:rFonts w:cstheme="minorHAnsi"/>
          <w:color w:val="231F20"/>
          <w:sz w:val="24"/>
          <w:szCs w:val="24"/>
        </w:rPr>
        <w:t>proposed rule would describe a new product as any new activity that FHFA determines merits public notice and comment on matters of compliance with the applicable sections of an Enterprise’s authorizing statute, safety and soundness, or public interest. The public interest factors that would be considered by FHFA include any activities that:</w:t>
      </w:r>
    </w:p>
    <w:p w14:paraId="10E2D7BE" w14:textId="77777777" w:rsidR="006B5F93" w:rsidRPr="001463E6" w:rsidRDefault="006B5F93" w:rsidP="006B5F93">
      <w:pPr>
        <w:pStyle w:val="ListParagraph"/>
        <w:numPr>
          <w:ilvl w:val="0"/>
          <w:numId w:val="2"/>
        </w:numPr>
        <w:autoSpaceDE w:val="0"/>
        <w:autoSpaceDN w:val="0"/>
        <w:adjustRightInd w:val="0"/>
        <w:spacing w:after="0" w:line="240" w:lineRule="auto"/>
        <w:rPr>
          <w:rFonts w:cstheme="minorHAnsi"/>
          <w:color w:val="231F20"/>
          <w:sz w:val="24"/>
          <w:szCs w:val="24"/>
        </w:rPr>
      </w:pPr>
      <w:r w:rsidRPr="001463E6">
        <w:rPr>
          <w:rFonts w:cstheme="minorHAnsi"/>
          <w:color w:val="231F20"/>
          <w:sz w:val="24"/>
          <w:szCs w:val="24"/>
        </w:rPr>
        <w:t>Advance any of the purposes of the Enterprise under the applicable authorizing statute;</w:t>
      </w:r>
    </w:p>
    <w:p w14:paraId="697B58E1" w14:textId="77777777" w:rsidR="006B5F93" w:rsidRPr="001463E6" w:rsidRDefault="006B5F93" w:rsidP="006B5F93">
      <w:pPr>
        <w:pStyle w:val="ListParagraph"/>
        <w:numPr>
          <w:ilvl w:val="0"/>
          <w:numId w:val="2"/>
        </w:numPr>
        <w:autoSpaceDE w:val="0"/>
        <w:autoSpaceDN w:val="0"/>
        <w:adjustRightInd w:val="0"/>
        <w:spacing w:after="0" w:line="240" w:lineRule="auto"/>
        <w:rPr>
          <w:rFonts w:cstheme="minorHAnsi"/>
          <w:color w:val="231F20"/>
          <w:sz w:val="24"/>
          <w:szCs w:val="24"/>
        </w:rPr>
      </w:pPr>
      <w:r w:rsidRPr="001463E6">
        <w:rPr>
          <w:rFonts w:cstheme="minorHAnsi"/>
          <w:color w:val="231F20"/>
          <w:sz w:val="24"/>
          <w:szCs w:val="24"/>
        </w:rPr>
        <w:t>Serve underserved markets or further fair housing and/or fair lending;</w:t>
      </w:r>
    </w:p>
    <w:p w14:paraId="3C0DAD2B" w14:textId="77777777" w:rsidR="006B5F93" w:rsidRPr="001463E6" w:rsidRDefault="006B5F93" w:rsidP="006B5F93">
      <w:pPr>
        <w:pStyle w:val="ListParagraph"/>
        <w:numPr>
          <w:ilvl w:val="0"/>
          <w:numId w:val="2"/>
        </w:numPr>
        <w:autoSpaceDE w:val="0"/>
        <w:autoSpaceDN w:val="0"/>
        <w:adjustRightInd w:val="0"/>
        <w:spacing w:after="0" w:line="240" w:lineRule="auto"/>
        <w:rPr>
          <w:rFonts w:cstheme="minorHAnsi"/>
          <w:color w:val="231F20"/>
          <w:sz w:val="24"/>
          <w:szCs w:val="24"/>
        </w:rPr>
      </w:pPr>
      <w:r w:rsidRPr="001463E6">
        <w:rPr>
          <w:rFonts w:cstheme="minorHAnsi"/>
          <w:color w:val="231F20"/>
          <w:sz w:val="24"/>
          <w:szCs w:val="24"/>
        </w:rPr>
        <w:t>Could be supplied by other market participants and/or promotes or stifles competition;</w:t>
      </w:r>
    </w:p>
    <w:p w14:paraId="73B92701" w14:textId="77777777" w:rsidR="006B5F93" w:rsidRPr="001463E6" w:rsidRDefault="006B5F93" w:rsidP="006B5F93">
      <w:pPr>
        <w:pStyle w:val="ListParagraph"/>
        <w:numPr>
          <w:ilvl w:val="0"/>
          <w:numId w:val="2"/>
        </w:numPr>
        <w:autoSpaceDE w:val="0"/>
        <w:autoSpaceDN w:val="0"/>
        <w:adjustRightInd w:val="0"/>
        <w:spacing w:after="0" w:line="240" w:lineRule="auto"/>
        <w:rPr>
          <w:rFonts w:cstheme="minorHAnsi"/>
          <w:color w:val="231F20"/>
          <w:sz w:val="24"/>
          <w:szCs w:val="24"/>
        </w:rPr>
      </w:pPr>
      <w:r w:rsidRPr="001463E6">
        <w:rPr>
          <w:rFonts w:cstheme="minorHAnsi"/>
          <w:color w:val="231F20"/>
          <w:sz w:val="24"/>
          <w:szCs w:val="24"/>
        </w:rPr>
        <w:t>Overcome natural market barriers or inefficiencies;</w:t>
      </w:r>
    </w:p>
    <w:p w14:paraId="211A5025" w14:textId="77777777" w:rsidR="006B5F93" w:rsidRPr="001463E6" w:rsidRDefault="006B5F93" w:rsidP="006B5F93">
      <w:pPr>
        <w:pStyle w:val="ListParagraph"/>
        <w:numPr>
          <w:ilvl w:val="0"/>
          <w:numId w:val="2"/>
        </w:numPr>
        <w:autoSpaceDE w:val="0"/>
        <w:autoSpaceDN w:val="0"/>
        <w:adjustRightInd w:val="0"/>
        <w:spacing w:after="0" w:line="240" w:lineRule="auto"/>
        <w:rPr>
          <w:rFonts w:cstheme="minorHAnsi"/>
          <w:color w:val="231F20"/>
          <w:sz w:val="24"/>
          <w:szCs w:val="24"/>
        </w:rPr>
      </w:pPr>
      <w:r w:rsidRPr="001463E6">
        <w:rPr>
          <w:rFonts w:cstheme="minorHAnsi"/>
          <w:color w:val="231F20"/>
          <w:sz w:val="24"/>
          <w:szCs w:val="24"/>
        </w:rPr>
        <w:t>Raise or mitigate systemic risks to the mortgage, mortgage finance, or other financial markets; and</w:t>
      </w:r>
    </w:p>
    <w:p w14:paraId="09815BCF" w14:textId="77777777" w:rsidR="006B5F93" w:rsidRPr="001463E6" w:rsidRDefault="006B5F93" w:rsidP="006B5F93">
      <w:pPr>
        <w:pStyle w:val="ListParagraph"/>
        <w:numPr>
          <w:ilvl w:val="0"/>
          <w:numId w:val="2"/>
        </w:numPr>
        <w:rPr>
          <w:rFonts w:cstheme="minorHAnsi"/>
          <w:sz w:val="24"/>
          <w:szCs w:val="24"/>
        </w:rPr>
      </w:pPr>
      <w:r w:rsidRPr="001463E6">
        <w:rPr>
          <w:rFonts w:cstheme="minorHAnsi"/>
          <w:color w:val="231F20"/>
          <w:sz w:val="24"/>
          <w:szCs w:val="24"/>
        </w:rPr>
        <w:t>Involve other factors as determined appropriate by the Director.</w:t>
      </w:r>
    </w:p>
    <w:p w14:paraId="6E2244BF" w14:textId="0CE0C694" w:rsidR="00576123" w:rsidRPr="006B5F93" w:rsidRDefault="006B5F93" w:rsidP="00576123">
      <w:pPr>
        <w:rPr>
          <w:bCs/>
        </w:rPr>
      </w:pPr>
      <w:r w:rsidRPr="006B5F93">
        <w:rPr>
          <w:bCs/>
        </w:rPr>
        <w:t xml:space="preserve">The </w:t>
      </w:r>
      <w:r>
        <w:rPr>
          <w:bCs/>
        </w:rPr>
        <w:t xml:space="preserve">above definition </w:t>
      </w:r>
      <w:r w:rsidRPr="006B5F93">
        <w:rPr>
          <w:bCs/>
        </w:rPr>
        <w:t xml:space="preserve">should </w:t>
      </w:r>
      <w:r>
        <w:rPr>
          <w:bCs/>
        </w:rPr>
        <w:t>make e</w:t>
      </w:r>
      <w:r w:rsidRPr="006B5F93">
        <w:rPr>
          <w:bCs/>
        </w:rPr>
        <w:t xml:space="preserve">xplicit </w:t>
      </w:r>
      <w:r>
        <w:rPr>
          <w:bCs/>
        </w:rPr>
        <w:t xml:space="preserve">reference to relevant </w:t>
      </w:r>
      <w:r w:rsidRPr="006B5F93">
        <w:rPr>
          <w:bCs/>
        </w:rPr>
        <w:t>charter provisions.</w:t>
      </w:r>
      <w:r>
        <w:rPr>
          <w:bCs/>
        </w:rPr>
        <w:t xml:space="preserve"> For example, </w:t>
      </w:r>
      <w:r w:rsidR="00576123" w:rsidRPr="006B5F93">
        <w:rPr>
          <w:bCs/>
        </w:rPr>
        <w:t>Fannie Mae’s Charter (12 U.S.C. 1719) provides:</w:t>
      </w:r>
    </w:p>
    <w:p w14:paraId="33B445E1" w14:textId="77777777" w:rsidR="00576123" w:rsidRDefault="00576123" w:rsidP="00576123">
      <w:pPr>
        <w:ind w:left="720"/>
      </w:pPr>
      <w:r w:rsidRPr="00665847">
        <w:t xml:space="preserve">“… the operations of the corporation under this section shall be confined so far as practicable, to mortgages which are deemed by the corporation to be of such </w:t>
      </w:r>
      <w:r w:rsidRPr="00665847">
        <w:rPr>
          <w:b/>
          <w:bCs/>
        </w:rPr>
        <w:t>quality</w:t>
      </w:r>
      <w:r w:rsidRPr="00665847">
        <w:t xml:space="preserve">, type, and class as to meet, generally, the </w:t>
      </w:r>
      <w:r w:rsidRPr="00665847">
        <w:rPr>
          <w:b/>
          <w:bCs/>
        </w:rPr>
        <w:t>purchase standards imposed by private institutional mortgage investors</w:t>
      </w:r>
      <w:r w:rsidRPr="00665847">
        <w:t>.  In the interest of assuring sound operation, the</w:t>
      </w:r>
      <w:r w:rsidRPr="00665847">
        <w:rPr>
          <w:b/>
          <w:bCs/>
        </w:rPr>
        <w:t xml:space="preserve"> prices to be paid</w:t>
      </w:r>
      <w:r w:rsidRPr="00665847">
        <w:t xml:space="preserve"> by the corporation for mortgages purchased in its secondary market operations under this section, should be established, from time to time, </w:t>
      </w:r>
      <w:r w:rsidRPr="00665847">
        <w:rPr>
          <w:b/>
          <w:bCs/>
        </w:rPr>
        <w:t>within the range of market prices for the particular class of mortgages involved</w:t>
      </w:r>
      <w:r w:rsidRPr="00665847">
        <w:t xml:space="preserve">, as determined by the corporation. </w:t>
      </w:r>
      <w:r w:rsidRPr="00665847">
        <w:rPr>
          <w:b/>
          <w:bCs/>
        </w:rPr>
        <w:t>The volume of the corporation’s purchases</w:t>
      </w:r>
      <w:r w:rsidRPr="00665847">
        <w:t xml:space="preserve"> and sales, and </w:t>
      </w:r>
      <w:r w:rsidRPr="00665847">
        <w:rPr>
          <w:b/>
          <w:bCs/>
        </w:rPr>
        <w:t>the establishment of the purchase prices, sale prices, and charges or fees</w:t>
      </w:r>
      <w:r w:rsidRPr="00665847">
        <w:t xml:space="preserve">, in its secondary market operations under this section, should be determined by the corporation from time to time, and such determinations should be consistent with the objectives that such purchases and </w:t>
      </w:r>
      <w:r w:rsidRPr="00665847">
        <w:rPr>
          <w:b/>
          <w:bCs/>
        </w:rPr>
        <w:t>sales should be effected only at such prices and on such terms as will reasonably prevent excessive use of the corporation’s facilities</w:t>
      </w:r>
      <w:r w:rsidRPr="00665847">
        <w:t xml:space="preserve">,…” </w:t>
      </w:r>
      <w:r>
        <w:t>(</w:t>
      </w:r>
      <w:r>
        <w:rPr>
          <w:b/>
        </w:rPr>
        <w:t>bolding</w:t>
      </w:r>
      <w:r w:rsidRPr="00665847">
        <w:rPr>
          <w:b/>
          <w:bCs/>
        </w:rPr>
        <w:t xml:space="preserve"> added</w:t>
      </w:r>
      <w:r>
        <w:rPr>
          <w:b/>
          <w:bCs/>
        </w:rPr>
        <w:t>)</w:t>
      </w:r>
      <w:r w:rsidRPr="00665847">
        <w:t xml:space="preserve">. </w:t>
      </w:r>
    </w:p>
    <w:p w14:paraId="25E99132" w14:textId="77777777" w:rsidR="00576123" w:rsidRDefault="00576123" w:rsidP="00576123">
      <w:r>
        <w:t xml:space="preserve">Over the last few decades Fannie Mae’s business operations have been designed and implemented so as to assure, rather than prevent, the excessive use of its facilities. This has been accomplished through liberal pricing and lending terms in direct contravention of its charter.  </w:t>
      </w:r>
    </w:p>
    <w:p w14:paraId="0C73F772" w14:textId="77777777" w:rsidR="00576123" w:rsidRDefault="00576123" w:rsidP="00576123">
      <w:r>
        <w:t xml:space="preserve">Rather than </w:t>
      </w:r>
      <w:r w:rsidRPr="00FB6328">
        <w:t>m</w:t>
      </w:r>
      <w:r>
        <w:t>e</w:t>
      </w:r>
      <w:r w:rsidRPr="00FB6328">
        <w:t>et</w:t>
      </w:r>
      <w:r>
        <w:t>ing</w:t>
      </w:r>
      <w:r w:rsidRPr="00FB6328">
        <w:t xml:space="preserve">, “generally, the </w:t>
      </w:r>
      <w:r w:rsidRPr="00FB6328">
        <w:rPr>
          <w:bCs/>
        </w:rPr>
        <w:t>purchase standards imposed by private institutional mortgage investors</w:t>
      </w:r>
      <w:r>
        <w:rPr>
          <w:bCs/>
        </w:rPr>
        <w:t>,</w:t>
      </w:r>
      <w:r w:rsidRPr="00FB6328">
        <w:rPr>
          <w:bCs/>
        </w:rPr>
        <w:t>”</w:t>
      </w:r>
      <w:r>
        <w:rPr>
          <w:bCs/>
        </w:rPr>
        <w:t xml:space="preserve"> it has instead operated in a manner designed to maximize the use of its facilities.  One result of this “excessive use” has been that it has operated pro-cyclically during housing booms, thereby helping to support unsustainable home price increases, particularly for entry-level buyers.     </w:t>
      </w:r>
    </w:p>
    <w:p w14:paraId="57E88071" w14:textId="77777777" w:rsidR="00576123" w:rsidRPr="00FB6328" w:rsidRDefault="00576123" w:rsidP="00576123">
      <w:r w:rsidRPr="00FB6328">
        <w:rPr>
          <w:bCs/>
        </w:rPr>
        <w:t>Th</w:t>
      </w:r>
      <w:r>
        <w:rPr>
          <w:bCs/>
        </w:rPr>
        <w:t xml:space="preserve">is </w:t>
      </w:r>
      <w:r w:rsidRPr="00FB6328">
        <w:rPr>
          <w:bCs/>
        </w:rPr>
        <w:t xml:space="preserve">constitutes a </w:t>
      </w:r>
      <w:r w:rsidRPr="00FB6328">
        <w:rPr>
          <w:bCs/>
          <w:i/>
          <w:iCs/>
        </w:rPr>
        <w:t>prima facie</w:t>
      </w:r>
      <w:r w:rsidRPr="00FB6328">
        <w:rPr>
          <w:bCs/>
        </w:rPr>
        <w:t xml:space="preserve"> violation of the Fannie Mae Charter</w:t>
      </w:r>
      <w:r>
        <w:rPr>
          <w:bCs/>
        </w:rPr>
        <w:t>, one that FHFA has the regulatory power to address</w:t>
      </w:r>
      <w:r w:rsidRPr="00FB6328">
        <w:rPr>
          <w:bCs/>
        </w:rPr>
        <w:t>.</w:t>
      </w:r>
    </w:p>
    <w:p w14:paraId="0D945974" w14:textId="77777777" w:rsidR="00576123" w:rsidRPr="00BE0848" w:rsidRDefault="00576123" w:rsidP="00576123">
      <w:pPr>
        <w:rPr>
          <w:b/>
        </w:rPr>
      </w:pPr>
      <w:r>
        <w:rPr>
          <w:b/>
        </w:rPr>
        <w:t xml:space="preserve">Example: </w:t>
      </w:r>
      <w:r w:rsidRPr="00BE0848">
        <w:rPr>
          <w:b/>
        </w:rPr>
        <w:t>Comparison of GSE and Portfolio Lending Standards at Loan Limit</w:t>
      </w:r>
    </w:p>
    <w:p w14:paraId="0F3867EC" w14:textId="77777777" w:rsidR="00576123" w:rsidRDefault="00576123" w:rsidP="00576123">
      <w:r>
        <w:t xml:space="preserve">The following analysis and fact pattern constitutes a </w:t>
      </w:r>
      <w:r w:rsidRPr="00FB6328">
        <w:rPr>
          <w:bCs/>
          <w:i/>
          <w:iCs/>
        </w:rPr>
        <w:t>prima facie</w:t>
      </w:r>
      <w:r>
        <w:t xml:space="preserve"> Charter violation.</w:t>
      </w:r>
    </w:p>
    <w:p w14:paraId="01F785BB" w14:textId="77777777" w:rsidR="00576123" w:rsidRDefault="00576123" w:rsidP="00576123">
      <w:pPr>
        <w:pStyle w:val="ListParagraph"/>
        <w:numPr>
          <w:ilvl w:val="0"/>
          <w:numId w:val="3"/>
        </w:numPr>
      </w:pPr>
      <w:r>
        <w:t>The chart below shows that borrowers are actively bunching at the GSE loan limit.</w:t>
      </w:r>
    </w:p>
    <w:p w14:paraId="0FD204DE" w14:textId="77777777" w:rsidR="00576123" w:rsidRDefault="00576123" w:rsidP="00576123">
      <w:pPr>
        <w:pStyle w:val="ListParagraph"/>
        <w:numPr>
          <w:ilvl w:val="0"/>
          <w:numId w:val="3"/>
        </w:numPr>
      </w:pPr>
      <w:r>
        <w:t xml:space="preserve">This continued bunching is a sign that many of these loans benefit from either underwriting quality or pricing liberality, both of which are Charter violations.  </w:t>
      </w:r>
    </w:p>
    <w:p w14:paraId="07117965" w14:textId="77777777" w:rsidR="00576123" w:rsidRDefault="00576123" w:rsidP="00576123">
      <w:pPr>
        <w:pStyle w:val="ListParagraph"/>
        <w:numPr>
          <w:ilvl w:val="1"/>
          <w:numId w:val="3"/>
        </w:numPr>
      </w:pPr>
      <w:r>
        <w:lastRenderedPageBreak/>
        <w:t>A recent study found no pricing liberality.  GSE prices paid for such loans are below the price paid by “private institutional mortgage investors” (meaning that GSE rates are higher).</w:t>
      </w:r>
      <w:r>
        <w:rPr>
          <w:rStyle w:val="FootnoteReference"/>
        </w:rPr>
        <w:footnoteReference w:id="1"/>
      </w:r>
      <w:r>
        <w:t xml:space="preserve"> The GSE’s rate disadvantage since 2014 has been around a quarter basis point </w:t>
      </w:r>
      <w:r w:rsidRPr="002D2873">
        <w:rPr>
          <w:i/>
        </w:rPr>
        <w:t>after controlling</w:t>
      </w:r>
      <w:r>
        <w:t xml:space="preserve"> for borrower risk characteristics.</w:t>
      </w:r>
      <w:r>
        <w:rPr>
          <w:rStyle w:val="FootnoteReference"/>
        </w:rPr>
        <w:footnoteReference w:id="2"/>
      </w:r>
    </w:p>
    <w:p w14:paraId="446AB969" w14:textId="77777777" w:rsidR="00576123" w:rsidRDefault="00576123" w:rsidP="00576123">
      <w:pPr>
        <w:pStyle w:val="ListParagraph"/>
        <w:numPr>
          <w:ilvl w:val="1"/>
          <w:numId w:val="3"/>
        </w:numPr>
      </w:pPr>
      <w:r>
        <w:t xml:space="preserve">This same study found that these GSE loans did not have the same quality as to meet “the purchase standards imposed by private institutional mortgage investors”. </w:t>
      </w:r>
    </w:p>
    <w:p w14:paraId="4D57C0F1" w14:textId="77777777" w:rsidR="00576123" w:rsidRDefault="00576123" w:rsidP="00576123">
      <w:pPr>
        <w:pStyle w:val="ListParagraph"/>
        <w:numPr>
          <w:ilvl w:val="0"/>
          <w:numId w:val="3"/>
        </w:numPr>
      </w:pPr>
      <w:r>
        <w:t>To assess this quality liberality, the table compares the credit characteristics of GSE loans at the conforming loan limit to jumbo portfolio loans. The table shows that the “credit box” for jumbo portfolio loans is indeed smaller than that for GSE loans at the loan limit. In particular, only 4 percent of jumbo portfolio loans have DTIs above 43 percent, compared with nearly one-fifth of GSE loans at the limit. The Qualified Mortgage (QM) rules implemented in 2014 by the Consumer Financial Protection Bureau provide lenders with a strong incentive to cap the DTIs on jumbo loans at 43 percent. Among other important risk factors, the table shows that GSE loans at the limit are substantially more likely than jumbo portfolio loans to have credit scores below 720 (6 percent for jumbo vs 23 percent for GSE at the limit) or LTVs above 90 percent (4 percent for jumbo vs 15 percent for GSE at the limit) or at least one of the 3 risk characteristics describe above (12 percent for jumbo vs 55 percent for GSE at the limit)</w:t>
      </w:r>
    </w:p>
    <w:p w14:paraId="3A91C88D" w14:textId="77777777" w:rsidR="00576123" w:rsidRDefault="00576123" w:rsidP="00576123">
      <w:pPr>
        <w:pStyle w:val="ListParagraph"/>
        <w:numPr>
          <w:ilvl w:val="0"/>
          <w:numId w:val="3"/>
        </w:numPr>
      </w:pPr>
      <w:r>
        <w:t>This comparison implies that some GSE borrowers could not have obtained a jumbo portfolio loan, which helps explain continued bunching at the loan limit, but also is evidence of differential quality standards between the GSEs and the private sector.</w:t>
      </w:r>
    </w:p>
    <w:p w14:paraId="05C78B63" w14:textId="77777777" w:rsidR="00576123" w:rsidRPr="00AD4A27" w:rsidRDefault="00576123" w:rsidP="00576123">
      <w:pPr>
        <w:pStyle w:val="ListParagraph"/>
        <w:numPr>
          <w:ilvl w:val="0"/>
          <w:numId w:val="3"/>
        </w:numPr>
        <w:rPr>
          <w:bCs/>
        </w:rPr>
      </w:pPr>
      <w:r>
        <w:t>These findings explain the conundrum why on the one hand the GSE pricing is below the one provided by private institutional mortgage investors, yet on the other hand why so many borrowers are bunch together and pay the higher GSE rate. The reason is that the GSEs are offering the “</w:t>
      </w:r>
      <w:r w:rsidRPr="00D16F7C">
        <w:rPr>
          <w:b/>
          <w:bCs/>
        </w:rPr>
        <w:t>quality</w:t>
      </w:r>
      <w:r w:rsidRPr="00665847">
        <w:t>, type, and class</w:t>
      </w:r>
      <w:r>
        <w:t>” of loans that DO NOT “</w:t>
      </w:r>
      <w:r w:rsidRPr="00665847">
        <w:t xml:space="preserve">meet, generally, the </w:t>
      </w:r>
      <w:r w:rsidRPr="00D16F7C">
        <w:rPr>
          <w:b/>
          <w:bCs/>
        </w:rPr>
        <w:t>purchase standards imposed by private institutional mortgage investors</w:t>
      </w:r>
      <w:r>
        <w:rPr>
          <w:b/>
          <w:bCs/>
        </w:rPr>
        <w:t xml:space="preserve">.” </w:t>
      </w:r>
      <w:r w:rsidRPr="00AD4A27">
        <w:rPr>
          <w:bCs/>
        </w:rPr>
        <w:t>This is evidenced by the fact that 55</w:t>
      </w:r>
      <w:r>
        <w:rPr>
          <w:bCs/>
        </w:rPr>
        <w:t xml:space="preserve"> percent</w:t>
      </w:r>
      <w:r w:rsidRPr="00AD4A27">
        <w:rPr>
          <w:bCs/>
        </w:rPr>
        <w:t xml:space="preserve"> of the GSE loans have one or more of the three characteristics described above and listed in the chart below, compared to only </w:t>
      </w:r>
      <w:r>
        <w:rPr>
          <w:bCs/>
        </w:rPr>
        <w:t xml:space="preserve">12 percent for private institutional investors. </w:t>
      </w:r>
    </w:p>
    <w:p w14:paraId="533B175A" w14:textId="77777777" w:rsidR="00576123" w:rsidRDefault="00576123" w:rsidP="00576123">
      <w:pPr>
        <w:pStyle w:val="ListParagraph"/>
        <w:numPr>
          <w:ilvl w:val="0"/>
          <w:numId w:val="3"/>
        </w:numPr>
      </w:pPr>
      <w:r>
        <w:rPr>
          <w:bCs/>
        </w:rPr>
        <w:t xml:space="preserve">Because the </w:t>
      </w:r>
      <w:r w:rsidRPr="0091194A">
        <w:rPr>
          <w:bCs/>
        </w:rPr>
        <w:t xml:space="preserve">underwriting standards currently in use by the GSEs are not </w:t>
      </w:r>
      <w:r>
        <w:rPr>
          <w:bCs/>
        </w:rPr>
        <w:t xml:space="preserve">generally </w:t>
      </w:r>
      <w:r w:rsidRPr="0091194A">
        <w:rPr>
          <w:bCs/>
        </w:rPr>
        <w:t xml:space="preserve">offered by private investors, </w:t>
      </w:r>
      <w:r>
        <w:rPr>
          <w:bCs/>
        </w:rPr>
        <w:t>the outcome is an</w:t>
      </w:r>
      <w:r w:rsidRPr="0091194A">
        <w:rPr>
          <w:bCs/>
        </w:rPr>
        <w:t xml:space="preserve"> unnatural result where the GSEs </w:t>
      </w:r>
      <w:r>
        <w:rPr>
          <w:bCs/>
        </w:rPr>
        <w:t xml:space="preserve">can </w:t>
      </w:r>
      <w:r w:rsidRPr="0091194A">
        <w:rPr>
          <w:bCs/>
        </w:rPr>
        <w:t>outcompete the private sector despite offering higher rates</w:t>
      </w:r>
      <w:r>
        <w:rPr>
          <w:bCs/>
        </w:rPr>
        <w:t xml:space="preserve">.  This is </w:t>
      </w:r>
      <w:r w:rsidRPr="00FB6328">
        <w:rPr>
          <w:bCs/>
          <w:i/>
          <w:iCs/>
        </w:rPr>
        <w:t>prima facie</w:t>
      </w:r>
      <w:r>
        <w:t xml:space="preserve"> evidence of a Charter violation—Fannie is using quality reductions to allow for excessive use of its facilities.</w:t>
      </w:r>
    </w:p>
    <w:p w14:paraId="02C1976D" w14:textId="77777777" w:rsidR="00E100CC" w:rsidRDefault="00E100CC" w:rsidP="00576123">
      <w:pPr>
        <w:spacing w:after="0"/>
        <w:rPr>
          <w:i/>
        </w:rPr>
      </w:pPr>
    </w:p>
    <w:p w14:paraId="059465C0" w14:textId="77777777" w:rsidR="00E100CC" w:rsidRDefault="00E100CC" w:rsidP="00576123">
      <w:pPr>
        <w:spacing w:after="0"/>
        <w:rPr>
          <w:i/>
        </w:rPr>
      </w:pPr>
    </w:p>
    <w:p w14:paraId="6BFA2732" w14:textId="77777777" w:rsidR="00E100CC" w:rsidRDefault="00E100CC" w:rsidP="00576123">
      <w:pPr>
        <w:spacing w:after="0"/>
        <w:rPr>
          <w:i/>
        </w:rPr>
      </w:pPr>
    </w:p>
    <w:p w14:paraId="0B9F6B09" w14:textId="77777777" w:rsidR="00E100CC" w:rsidRDefault="00E100CC" w:rsidP="00576123">
      <w:pPr>
        <w:spacing w:after="0"/>
        <w:rPr>
          <w:i/>
        </w:rPr>
      </w:pPr>
    </w:p>
    <w:p w14:paraId="2ABA6122" w14:textId="77777777" w:rsidR="00E100CC" w:rsidRDefault="00E100CC" w:rsidP="00576123">
      <w:pPr>
        <w:spacing w:after="0"/>
        <w:rPr>
          <w:i/>
        </w:rPr>
      </w:pPr>
    </w:p>
    <w:p w14:paraId="1AB5734F" w14:textId="77777777" w:rsidR="00E100CC" w:rsidRDefault="00E100CC" w:rsidP="00576123">
      <w:pPr>
        <w:spacing w:after="0"/>
        <w:rPr>
          <w:i/>
        </w:rPr>
      </w:pPr>
    </w:p>
    <w:p w14:paraId="1CFBAEFD" w14:textId="4B2D0F6C" w:rsidR="00576123" w:rsidRPr="00CE7C1B" w:rsidRDefault="00576123" w:rsidP="00576123">
      <w:pPr>
        <w:spacing w:after="0"/>
        <w:rPr>
          <w:i/>
        </w:rPr>
      </w:pPr>
      <w:r w:rsidRPr="00CE7C1B">
        <w:rPr>
          <w:i/>
        </w:rPr>
        <w:t>Distribution of 2014-2018 GSE loan amounts relative to the conforming loan limit</w:t>
      </w:r>
    </w:p>
    <w:p w14:paraId="7E74EAD6" w14:textId="77777777" w:rsidR="00576123" w:rsidRDefault="00576123" w:rsidP="00576123">
      <w:r>
        <w:rPr>
          <w:noProof/>
        </w:rPr>
        <w:drawing>
          <wp:inline distT="0" distB="0" distL="0" distR="0" wp14:anchorId="660BE4B2" wp14:editId="7B5E4D0A">
            <wp:extent cx="5667375" cy="2800350"/>
            <wp:effectExtent l="0" t="0" r="0" b="0"/>
            <wp:docPr id="1"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620628" w14:textId="77777777" w:rsidR="00576123" w:rsidRPr="00BE0848" w:rsidRDefault="00576123" w:rsidP="00576123">
      <w:pPr>
        <w:rPr>
          <w:sz w:val="20"/>
          <w:szCs w:val="20"/>
        </w:rPr>
      </w:pPr>
      <w:r w:rsidRPr="00BE0848">
        <w:rPr>
          <w:sz w:val="20"/>
          <w:szCs w:val="20"/>
        </w:rPr>
        <w:t xml:space="preserve">Note: Distribution is for 1-unit, primary owner-occupied, 30-year fixed-rate home purchase loans. The right-most bar contains GSE loans larger than 98 percent of the applicable conforming loan limit. </w:t>
      </w:r>
    </w:p>
    <w:p w14:paraId="59931475" w14:textId="77777777" w:rsidR="00576123" w:rsidRDefault="00576123" w:rsidP="00576123">
      <w:pPr>
        <w:spacing w:after="0"/>
        <w:rPr>
          <w:i/>
        </w:rPr>
      </w:pPr>
      <w:r w:rsidRPr="00CE7C1B">
        <w:rPr>
          <w:i/>
        </w:rPr>
        <w:t>Distribution of 2014-2018 GSE loan amounts relative to the conforming loan limit</w:t>
      </w:r>
    </w:p>
    <w:p w14:paraId="7A84A3DE" w14:textId="77777777" w:rsidR="00576123" w:rsidRPr="00CE7C1B" w:rsidRDefault="00576123" w:rsidP="00576123">
      <w:pPr>
        <w:spacing w:after="0"/>
        <w:rPr>
          <w:i/>
        </w:rPr>
      </w:pPr>
    </w:p>
    <w:tbl>
      <w:tblPr>
        <w:tblW w:w="7319" w:type="dxa"/>
        <w:tblCellMar>
          <w:left w:w="0" w:type="dxa"/>
          <w:right w:w="0" w:type="dxa"/>
        </w:tblCellMar>
        <w:tblLook w:val="04A0" w:firstRow="1" w:lastRow="0" w:firstColumn="1" w:lastColumn="0" w:noHBand="0" w:noVBand="1"/>
      </w:tblPr>
      <w:tblGrid>
        <w:gridCol w:w="2780"/>
        <w:gridCol w:w="2340"/>
        <w:gridCol w:w="2199"/>
      </w:tblGrid>
      <w:tr w:rsidR="00576123" w:rsidRPr="00665847" w14:paraId="135E79A7" w14:textId="77777777" w:rsidTr="001240AE">
        <w:trPr>
          <w:trHeight w:val="144"/>
        </w:trPr>
        <w:tc>
          <w:tcPr>
            <w:tcW w:w="7319" w:type="dxa"/>
            <w:gridSpan w:val="3"/>
            <w:tcBorders>
              <w:top w:val="single" w:sz="8" w:space="0" w:color="000000"/>
              <w:left w:val="single" w:sz="8" w:space="0" w:color="000000"/>
              <w:bottom w:val="single" w:sz="8" w:space="0" w:color="000000"/>
              <w:right w:val="single" w:sz="8" w:space="0" w:color="000000"/>
            </w:tcBorders>
            <w:shd w:val="clear" w:color="auto" w:fill="5B9BD5"/>
            <w:tcMar>
              <w:top w:w="15" w:type="dxa"/>
              <w:left w:w="15" w:type="dxa"/>
              <w:bottom w:w="0" w:type="dxa"/>
              <w:right w:w="15" w:type="dxa"/>
            </w:tcMar>
            <w:vAlign w:val="center"/>
            <w:hideMark/>
          </w:tcPr>
          <w:p w14:paraId="4D8F73E8" w14:textId="77777777" w:rsidR="00576123" w:rsidRPr="00665847" w:rsidRDefault="00576123" w:rsidP="001240AE">
            <w:pPr>
              <w:spacing w:after="0"/>
            </w:pPr>
            <w:r w:rsidRPr="00665847">
              <w:rPr>
                <w:b/>
                <w:bCs/>
              </w:rPr>
              <w:t>Percent of 2014-201</w:t>
            </w:r>
            <w:r>
              <w:rPr>
                <w:b/>
                <w:bCs/>
              </w:rPr>
              <w:t>8</w:t>
            </w:r>
            <w:r w:rsidRPr="00665847">
              <w:rPr>
                <w:b/>
                <w:bCs/>
              </w:rPr>
              <w:t xml:space="preserve"> home purchase loans with:</w:t>
            </w:r>
          </w:p>
        </w:tc>
      </w:tr>
      <w:tr w:rsidR="00576123" w:rsidRPr="00665847" w14:paraId="1E9AD91D" w14:textId="77777777" w:rsidTr="001240AE">
        <w:trPr>
          <w:trHeight w:val="243"/>
        </w:trPr>
        <w:tc>
          <w:tcPr>
            <w:tcW w:w="2780" w:type="dxa"/>
            <w:tcBorders>
              <w:top w:val="single" w:sz="8" w:space="0" w:color="000000"/>
              <w:left w:val="single" w:sz="8" w:space="0" w:color="000000"/>
              <w:bottom w:val="single" w:sz="8" w:space="0" w:color="FFFFFF"/>
              <w:right w:val="single" w:sz="8" w:space="0" w:color="FFFFFF"/>
            </w:tcBorders>
            <w:shd w:val="clear" w:color="auto" w:fill="5B9BD5"/>
            <w:tcMar>
              <w:top w:w="15" w:type="dxa"/>
              <w:left w:w="15" w:type="dxa"/>
              <w:bottom w:w="0" w:type="dxa"/>
              <w:right w:w="15" w:type="dxa"/>
            </w:tcMar>
            <w:vAlign w:val="center"/>
            <w:hideMark/>
          </w:tcPr>
          <w:p w14:paraId="2A6DC480" w14:textId="77777777" w:rsidR="00576123" w:rsidRPr="00665847" w:rsidRDefault="00576123" w:rsidP="001240AE">
            <w:pPr>
              <w:spacing w:after="0"/>
            </w:pPr>
          </w:p>
        </w:tc>
        <w:tc>
          <w:tcPr>
            <w:tcW w:w="2340" w:type="dxa"/>
            <w:tcBorders>
              <w:top w:val="single" w:sz="8" w:space="0" w:color="000000"/>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50182B41" w14:textId="77777777" w:rsidR="00576123" w:rsidRPr="00665847" w:rsidRDefault="00576123" w:rsidP="001240AE">
            <w:pPr>
              <w:spacing w:after="0"/>
            </w:pPr>
            <w:r w:rsidRPr="00665847">
              <w:t>GSE at the loan limit</w:t>
            </w:r>
          </w:p>
        </w:tc>
        <w:tc>
          <w:tcPr>
            <w:tcW w:w="2199" w:type="dxa"/>
            <w:tcBorders>
              <w:top w:val="single" w:sz="8" w:space="0" w:color="000000"/>
              <w:left w:val="single" w:sz="8" w:space="0" w:color="FFFFFF"/>
              <w:bottom w:val="single" w:sz="8" w:space="0" w:color="FFFFFF"/>
              <w:right w:val="single" w:sz="8" w:space="0" w:color="000000"/>
            </w:tcBorders>
            <w:shd w:val="clear" w:color="auto" w:fill="D2DEEF"/>
            <w:tcMar>
              <w:top w:w="15" w:type="dxa"/>
              <w:left w:w="15" w:type="dxa"/>
              <w:bottom w:w="0" w:type="dxa"/>
              <w:right w:w="15" w:type="dxa"/>
            </w:tcMar>
            <w:vAlign w:val="center"/>
            <w:hideMark/>
          </w:tcPr>
          <w:p w14:paraId="4A4044C3" w14:textId="77777777" w:rsidR="00576123" w:rsidRPr="00665847" w:rsidRDefault="00576123" w:rsidP="001240AE">
            <w:pPr>
              <w:spacing w:after="0"/>
            </w:pPr>
            <w:r w:rsidRPr="00665847">
              <w:t>All jumbo portfolio</w:t>
            </w:r>
          </w:p>
        </w:tc>
      </w:tr>
      <w:tr w:rsidR="00576123" w:rsidRPr="00665847" w14:paraId="3DEF7987" w14:textId="77777777" w:rsidTr="001240AE">
        <w:trPr>
          <w:trHeight w:val="150"/>
        </w:trPr>
        <w:tc>
          <w:tcPr>
            <w:tcW w:w="2780" w:type="dxa"/>
            <w:tcBorders>
              <w:top w:val="single" w:sz="8" w:space="0" w:color="FFFFFF"/>
              <w:left w:val="single" w:sz="8" w:space="0" w:color="000000"/>
              <w:bottom w:val="single" w:sz="8" w:space="0" w:color="FFFFFF"/>
              <w:right w:val="single" w:sz="8" w:space="0" w:color="FFFFFF"/>
            </w:tcBorders>
            <w:shd w:val="clear" w:color="auto" w:fill="5B9BD5"/>
            <w:tcMar>
              <w:top w:w="15" w:type="dxa"/>
              <w:left w:w="15" w:type="dxa"/>
              <w:bottom w:w="0" w:type="dxa"/>
              <w:right w:w="15" w:type="dxa"/>
            </w:tcMar>
            <w:vAlign w:val="center"/>
            <w:hideMark/>
          </w:tcPr>
          <w:p w14:paraId="3587F312" w14:textId="77777777" w:rsidR="00576123" w:rsidRPr="00665847" w:rsidRDefault="00576123" w:rsidP="001240AE">
            <w:pPr>
              <w:spacing w:after="0"/>
            </w:pPr>
            <w:r w:rsidRPr="00665847">
              <w:rPr>
                <w:b/>
                <w:bCs/>
              </w:rPr>
              <w:t>DTI &gt; 43%</w:t>
            </w:r>
          </w:p>
        </w:tc>
        <w:tc>
          <w:tcPr>
            <w:tcW w:w="23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3B84C298" w14:textId="77777777" w:rsidR="00576123" w:rsidRPr="00665847" w:rsidRDefault="00576123" w:rsidP="001240AE">
            <w:pPr>
              <w:spacing w:after="0"/>
            </w:pPr>
            <w:r>
              <w:t>19</w:t>
            </w:r>
          </w:p>
        </w:tc>
        <w:tc>
          <w:tcPr>
            <w:tcW w:w="2199" w:type="dxa"/>
            <w:tcBorders>
              <w:top w:val="single" w:sz="8" w:space="0" w:color="FFFFFF"/>
              <w:left w:val="single" w:sz="8" w:space="0" w:color="FFFFFF"/>
              <w:bottom w:val="single" w:sz="8" w:space="0" w:color="FFFFFF"/>
              <w:right w:val="single" w:sz="8" w:space="0" w:color="000000"/>
            </w:tcBorders>
            <w:shd w:val="clear" w:color="auto" w:fill="EAEFF7"/>
            <w:tcMar>
              <w:top w:w="15" w:type="dxa"/>
              <w:left w:w="15" w:type="dxa"/>
              <w:bottom w:w="0" w:type="dxa"/>
              <w:right w:w="15" w:type="dxa"/>
            </w:tcMar>
            <w:vAlign w:val="center"/>
            <w:hideMark/>
          </w:tcPr>
          <w:p w14:paraId="6F2A1EE0" w14:textId="77777777" w:rsidR="00576123" w:rsidRPr="00665847" w:rsidRDefault="00576123" w:rsidP="001240AE">
            <w:pPr>
              <w:spacing w:after="0"/>
            </w:pPr>
            <w:r w:rsidRPr="00665847">
              <w:t>4</w:t>
            </w:r>
          </w:p>
        </w:tc>
      </w:tr>
      <w:tr w:rsidR="00576123" w:rsidRPr="00665847" w14:paraId="5613AA52" w14:textId="77777777" w:rsidTr="001240AE">
        <w:trPr>
          <w:trHeight w:val="165"/>
        </w:trPr>
        <w:tc>
          <w:tcPr>
            <w:tcW w:w="2780" w:type="dxa"/>
            <w:tcBorders>
              <w:top w:val="single" w:sz="8" w:space="0" w:color="FFFFFF"/>
              <w:left w:val="single" w:sz="8" w:space="0" w:color="000000"/>
              <w:bottom w:val="single" w:sz="8" w:space="0" w:color="FFFFFF"/>
              <w:right w:val="single" w:sz="8" w:space="0" w:color="FFFFFF"/>
            </w:tcBorders>
            <w:shd w:val="clear" w:color="auto" w:fill="5B9BD5"/>
            <w:tcMar>
              <w:top w:w="15" w:type="dxa"/>
              <w:left w:w="15" w:type="dxa"/>
              <w:bottom w:w="0" w:type="dxa"/>
              <w:right w:w="15" w:type="dxa"/>
            </w:tcMar>
            <w:vAlign w:val="center"/>
            <w:hideMark/>
          </w:tcPr>
          <w:p w14:paraId="2715F727" w14:textId="77777777" w:rsidR="00576123" w:rsidRPr="00665847" w:rsidRDefault="00576123" w:rsidP="001240AE">
            <w:pPr>
              <w:spacing w:after="0"/>
            </w:pPr>
            <w:r w:rsidRPr="00665847">
              <w:rPr>
                <w:b/>
                <w:bCs/>
              </w:rPr>
              <w:t>Credit score &lt; 720</w:t>
            </w:r>
          </w:p>
        </w:tc>
        <w:tc>
          <w:tcPr>
            <w:tcW w:w="234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14:paraId="10B7551C" w14:textId="77777777" w:rsidR="00576123" w:rsidRPr="00665847" w:rsidRDefault="00576123" w:rsidP="001240AE">
            <w:pPr>
              <w:spacing w:after="0"/>
            </w:pPr>
            <w:r>
              <w:t>23</w:t>
            </w:r>
          </w:p>
        </w:tc>
        <w:tc>
          <w:tcPr>
            <w:tcW w:w="2199" w:type="dxa"/>
            <w:tcBorders>
              <w:top w:val="single" w:sz="8" w:space="0" w:color="FFFFFF"/>
              <w:left w:val="single" w:sz="8" w:space="0" w:color="FFFFFF"/>
              <w:bottom w:val="single" w:sz="8" w:space="0" w:color="FFFFFF"/>
              <w:right w:val="single" w:sz="8" w:space="0" w:color="000000"/>
            </w:tcBorders>
            <w:shd w:val="clear" w:color="auto" w:fill="D2DEEF"/>
            <w:tcMar>
              <w:top w:w="15" w:type="dxa"/>
              <w:left w:w="15" w:type="dxa"/>
              <w:bottom w:w="0" w:type="dxa"/>
              <w:right w:w="15" w:type="dxa"/>
            </w:tcMar>
            <w:vAlign w:val="center"/>
            <w:hideMark/>
          </w:tcPr>
          <w:p w14:paraId="6448C0A7" w14:textId="77777777" w:rsidR="00576123" w:rsidRPr="00665847" w:rsidRDefault="00576123" w:rsidP="001240AE">
            <w:pPr>
              <w:spacing w:after="0"/>
            </w:pPr>
            <w:r>
              <w:t>6</w:t>
            </w:r>
          </w:p>
        </w:tc>
      </w:tr>
      <w:tr w:rsidR="00576123" w:rsidRPr="00665847" w14:paraId="317CDC2C" w14:textId="77777777" w:rsidTr="001240AE">
        <w:trPr>
          <w:trHeight w:val="150"/>
        </w:trPr>
        <w:tc>
          <w:tcPr>
            <w:tcW w:w="2780" w:type="dxa"/>
            <w:tcBorders>
              <w:top w:val="single" w:sz="8" w:space="0" w:color="FFFFFF"/>
              <w:left w:val="single" w:sz="8" w:space="0" w:color="000000"/>
              <w:bottom w:val="single" w:sz="8" w:space="0" w:color="FFFFFF"/>
              <w:right w:val="single" w:sz="8" w:space="0" w:color="FFFFFF"/>
            </w:tcBorders>
            <w:shd w:val="clear" w:color="auto" w:fill="5B9BD5"/>
            <w:tcMar>
              <w:top w:w="15" w:type="dxa"/>
              <w:left w:w="15" w:type="dxa"/>
              <w:bottom w:w="0" w:type="dxa"/>
              <w:right w:w="15" w:type="dxa"/>
            </w:tcMar>
            <w:vAlign w:val="center"/>
            <w:hideMark/>
          </w:tcPr>
          <w:p w14:paraId="4B79FBF5" w14:textId="77777777" w:rsidR="00576123" w:rsidRPr="00665847" w:rsidRDefault="00576123" w:rsidP="001240AE">
            <w:pPr>
              <w:spacing w:after="0"/>
            </w:pPr>
            <w:r w:rsidRPr="00665847">
              <w:rPr>
                <w:b/>
                <w:bCs/>
              </w:rPr>
              <w:t>LTV &gt; 90%</w:t>
            </w:r>
          </w:p>
        </w:tc>
        <w:tc>
          <w:tcPr>
            <w:tcW w:w="23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21C3BCA0" w14:textId="77777777" w:rsidR="00576123" w:rsidRPr="00665847" w:rsidRDefault="00576123" w:rsidP="001240AE">
            <w:pPr>
              <w:spacing w:after="0"/>
            </w:pPr>
            <w:r>
              <w:t>15</w:t>
            </w:r>
          </w:p>
        </w:tc>
        <w:tc>
          <w:tcPr>
            <w:tcW w:w="2199" w:type="dxa"/>
            <w:tcBorders>
              <w:top w:val="single" w:sz="8" w:space="0" w:color="FFFFFF"/>
              <w:left w:val="single" w:sz="8" w:space="0" w:color="FFFFFF"/>
              <w:bottom w:val="single" w:sz="8" w:space="0" w:color="FFFFFF"/>
              <w:right w:val="single" w:sz="8" w:space="0" w:color="000000"/>
            </w:tcBorders>
            <w:shd w:val="clear" w:color="auto" w:fill="EAEFF7"/>
            <w:tcMar>
              <w:top w:w="15" w:type="dxa"/>
              <w:left w:w="15" w:type="dxa"/>
              <w:bottom w:w="0" w:type="dxa"/>
              <w:right w:w="15" w:type="dxa"/>
            </w:tcMar>
            <w:vAlign w:val="center"/>
            <w:hideMark/>
          </w:tcPr>
          <w:p w14:paraId="6D27F8B3" w14:textId="77777777" w:rsidR="00576123" w:rsidRPr="00665847" w:rsidRDefault="00576123" w:rsidP="001240AE">
            <w:pPr>
              <w:spacing w:after="0"/>
            </w:pPr>
            <w:r w:rsidRPr="00665847">
              <w:t>4</w:t>
            </w:r>
          </w:p>
        </w:tc>
      </w:tr>
      <w:tr w:rsidR="00576123" w:rsidRPr="00665847" w14:paraId="29249E2E" w14:textId="77777777" w:rsidTr="001240AE">
        <w:trPr>
          <w:trHeight w:val="150"/>
        </w:trPr>
        <w:tc>
          <w:tcPr>
            <w:tcW w:w="2780" w:type="dxa"/>
            <w:tcBorders>
              <w:top w:val="single" w:sz="8" w:space="0" w:color="FFFFFF"/>
              <w:left w:val="single" w:sz="8" w:space="0" w:color="000000"/>
              <w:bottom w:val="single" w:sz="8" w:space="0" w:color="000000"/>
              <w:right w:val="single" w:sz="8" w:space="0" w:color="FFFFFF"/>
            </w:tcBorders>
            <w:shd w:val="clear" w:color="auto" w:fill="5B9BD5"/>
            <w:tcMar>
              <w:top w:w="15" w:type="dxa"/>
              <w:left w:w="15" w:type="dxa"/>
              <w:bottom w:w="0" w:type="dxa"/>
              <w:right w:w="15" w:type="dxa"/>
            </w:tcMar>
            <w:vAlign w:val="center"/>
          </w:tcPr>
          <w:p w14:paraId="1E174241" w14:textId="77777777" w:rsidR="00576123" w:rsidRPr="00665847" w:rsidRDefault="00576123" w:rsidP="001240AE">
            <w:pPr>
              <w:spacing w:after="0"/>
              <w:rPr>
                <w:b/>
                <w:bCs/>
              </w:rPr>
            </w:pPr>
            <w:r>
              <w:rPr>
                <w:b/>
                <w:bCs/>
              </w:rPr>
              <w:t>At least one of the above 3</w:t>
            </w:r>
          </w:p>
        </w:tc>
        <w:tc>
          <w:tcPr>
            <w:tcW w:w="2340" w:type="dxa"/>
            <w:tcBorders>
              <w:top w:val="single" w:sz="8" w:space="0" w:color="FFFFFF"/>
              <w:left w:val="single" w:sz="8" w:space="0" w:color="FFFFFF"/>
              <w:bottom w:val="single" w:sz="8" w:space="0" w:color="000000"/>
              <w:right w:val="single" w:sz="8" w:space="0" w:color="FFFFFF"/>
            </w:tcBorders>
            <w:shd w:val="clear" w:color="auto" w:fill="EAEFF7"/>
            <w:tcMar>
              <w:top w:w="15" w:type="dxa"/>
              <w:left w:w="15" w:type="dxa"/>
              <w:bottom w:w="0" w:type="dxa"/>
              <w:right w:w="15" w:type="dxa"/>
            </w:tcMar>
            <w:vAlign w:val="center"/>
          </w:tcPr>
          <w:p w14:paraId="7D5568EA" w14:textId="77777777" w:rsidR="00576123" w:rsidRDefault="00576123" w:rsidP="001240AE">
            <w:pPr>
              <w:spacing w:after="0"/>
            </w:pPr>
            <w:r>
              <w:t>55</w:t>
            </w:r>
          </w:p>
        </w:tc>
        <w:tc>
          <w:tcPr>
            <w:tcW w:w="2199" w:type="dxa"/>
            <w:tcBorders>
              <w:top w:val="single" w:sz="8" w:space="0" w:color="FFFFFF"/>
              <w:left w:val="single" w:sz="8" w:space="0" w:color="FFFFFF"/>
              <w:bottom w:val="single" w:sz="8" w:space="0" w:color="000000"/>
              <w:right w:val="single" w:sz="8" w:space="0" w:color="000000"/>
            </w:tcBorders>
            <w:shd w:val="clear" w:color="auto" w:fill="EAEFF7"/>
            <w:tcMar>
              <w:top w:w="15" w:type="dxa"/>
              <w:left w:w="15" w:type="dxa"/>
              <w:bottom w:w="0" w:type="dxa"/>
              <w:right w:w="15" w:type="dxa"/>
            </w:tcMar>
            <w:vAlign w:val="center"/>
          </w:tcPr>
          <w:p w14:paraId="50A6C6C7" w14:textId="77777777" w:rsidR="00576123" w:rsidRPr="00665847" w:rsidRDefault="00576123" w:rsidP="001240AE">
            <w:pPr>
              <w:spacing w:after="0"/>
            </w:pPr>
            <w:r>
              <w:t>12</w:t>
            </w:r>
          </w:p>
        </w:tc>
      </w:tr>
    </w:tbl>
    <w:p w14:paraId="7CD51509" w14:textId="77777777" w:rsidR="00576123" w:rsidRDefault="00576123" w:rsidP="00576123">
      <w:pPr>
        <w:rPr>
          <w:sz w:val="20"/>
          <w:szCs w:val="20"/>
        </w:rPr>
      </w:pPr>
      <w:r w:rsidRPr="00BE0848">
        <w:rPr>
          <w:sz w:val="20"/>
          <w:szCs w:val="20"/>
        </w:rPr>
        <w:t>Note</w:t>
      </w:r>
      <w:r>
        <w:rPr>
          <w:sz w:val="20"/>
          <w:szCs w:val="20"/>
        </w:rPr>
        <w:t>: Includes</w:t>
      </w:r>
      <w:r w:rsidRPr="00BE0848">
        <w:rPr>
          <w:sz w:val="20"/>
          <w:szCs w:val="20"/>
        </w:rPr>
        <w:t xml:space="preserve"> GSE loans have loan amounts greater than 98 percent of the applicable conforming loan limit. GSE and jumbo portfolio loans with missing data for a given risk factor are excluded.  </w:t>
      </w:r>
    </w:p>
    <w:p w14:paraId="159501AB" w14:textId="77777777" w:rsidR="00576123" w:rsidRPr="00BE0848" w:rsidRDefault="00576123" w:rsidP="00576123">
      <w:pPr>
        <w:rPr>
          <w:sz w:val="20"/>
          <w:szCs w:val="20"/>
        </w:rPr>
      </w:pPr>
      <w:r w:rsidRPr="00BE0848">
        <w:rPr>
          <w:sz w:val="20"/>
          <w:szCs w:val="20"/>
        </w:rPr>
        <w:t>Source</w:t>
      </w:r>
      <w:r>
        <w:rPr>
          <w:sz w:val="20"/>
          <w:szCs w:val="20"/>
        </w:rPr>
        <w:t xml:space="preserve"> for the chart and table</w:t>
      </w:r>
      <w:r w:rsidRPr="00BE0848">
        <w:rPr>
          <w:sz w:val="20"/>
          <w:szCs w:val="20"/>
        </w:rPr>
        <w:t xml:space="preserve">: Lynn Fisher, Michael Fratantoni, Stephen Oliner, and Tobias Peter, “Jumbo Rates Are Below Conforming Rates: When Did This Happen and Why?” </w:t>
      </w:r>
      <w:r>
        <w:rPr>
          <w:sz w:val="20"/>
          <w:szCs w:val="20"/>
        </w:rPr>
        <w:t>D</w:t>
      </w:r>
      <w:r w:rsidRPr="00BE0848">
        <w:rPr>
          <w:sz w:val="20"/>
          <w:szCs w:val="20"/>
        </w:rPr>
        <w:t xml:space="preserve">ata from </w:t>
      </w:r>
      <w:proofErr w:type="spellStart"/>
      <w:r w:rsidRPr="00BE0848">
        <w:rPr>
          <w:sz w:val="20"/>
          <w:szCs w:val="20"/>
        </w:rPr>
        <w:t>CoreLogic</w:t>
      </w:r>
      <w:proofErr w:type="spellEnd"/>
      <w:r w:rsidRPr="00BE0848">
        <w:rPr>
          <w:sz w:val="20"/>
          <w:szCs w:val="20"/>
        </w:rPr>
        <w:t xml:space="preserve"> and Black Knight, Inc.</w:t>
      </w:r>
    </w:p>
    <w:p w14:paraId="0CA58535" w14:textId="7236D2C7" w:rsidR="001736BB" w:rsidRDefault="001736BB" w:rsidP="001736BB">
      <w:pPr>
        <w:rPr>
          <w:rFonts w:cstheme="minorHAnsi"/>
          <w:sz w:val="24"/>
          <w:szCs w:val="24"/>
        </w:rPr>
      </w:pPr>
    </w:p>
    <w:sectPr w:rsidR="00173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8B68" w14:textId="77777777" w:rsidR="000A1CA4" w:rsidRDefault="000A1CA4" w:rsidP="00576123">
      <w:pPr>
        <w:spacing w:after="0" w:line="240" w:lineRule="auto"/>
      </w:pPr>
      <w:r>
        <w:separator/>
      </w:r>
    </w:p>
  </w:endnote>
  <w:endnote w:type="continuationSeparator" w:id="0">
    <w:p w14:paraId="71A441E1" w14:textId="77777777" w:rsidR="000A1CA4" w:rsidRDefault="000A1CA4" w:rsidP="0057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D16AD" w14:textId="77777777" w:rsidR="000A1CA4" w:rsidRDefault="000A1CA4" w:rsidP="00576123">
      <w:pPr>
        <w:spacing w:after="0" w:line="240" w:lineRule="auto"/>
      </w:pPr>
      <w:r>
        <w:separator/>
      </w:r>
    </w:p>
  </w:footnote>
  <w:footnote w:type="continuationSeparator" w:id="0">
    <w:p w14:paraId="115A3B66" w14:textId="77777777" w:rsidR="000A1CA4" w:rsidRDefault="000A1CA4" w:rsidP="00576123">
      <w:pPr>
        <w:spacing w:after="0" w:line="240" w:lineRule="auto"/>
      </w:pPr>
      <w:r>
        <w:continuationSeparator/>
      </w:r>
    </w:p>
  </w:footnote>
  <w:footnote w:id="1">
    <w:p w14:paraId="33741141" w14:textId="77777777" w:rsidR="00576123" w:rsidRDefault="00576123" w:rsidP="00576123">
      <w:pPr>
        <w:pStyle w:val="FootnoteText"/>
      </w:pPr>
      <w:r>
        <w:rPr>
          <w:rStyle w:val="FootnoteReference"/>
        </w:rPr>
        <w:footnoteRef/>
      </w:r>
      <w:r>
        <w:t xml:space="preserve"> </w:t>
      </w:r>
      <w:r w:rsidRPr="00BE0848">
        <w:t>Lynn Fisher, Michael Fratantoni, Stephen Oliner, and Tobias Peter, “Jumbo Rates Are Below Conforming Rates: When Did This Happen and Why?”</w:t>
      </w:r>
    </w:p>
  </w:footnote>
  <w:footnote w:id="2">
    <w:p w14:paraId="06C6AEBA" w14:textId="77777777" w:rsidR="00576123" w:rsidRDefault="00576123" w:rsidP="00576123">
      <w:pPr>
        <w:pStyle w:val="FootnoteText"/>
      </w:pPr>
      <w:r>
        <w:rPr>
          <w:rStyle w:val="FootnoteReference"/>
        </w:rPr>
        <w:footnoteRef/>
      </w:r>
      <w:r>
        <w:t xml:space="preserve"> Perhaps around half, but not all, of the rate disadvantage for GSE borrowers may reflect a greater effort undertaken by borrowers with private institutional mortgage investors to lock-in attractive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3DD"/>
    <w:multiLevelType w:val="hybridMultilevel"/>
    <w:tmpl w:val="BFFE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95959"/>
    <w:multiLevelType w:val="hybridMultilevel"/>
    <w:tmpl w:val="09AC6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F1D90"/>
    <w:multiLevelType w:val="hybridMultilevel"/>
    <w:tmpl w:val="058C4D56"/>
    <w:lvl w:ilvl="0" w:tplc="703E98CE">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O" w:vendorID="64" w:dllVersion="131078" w:nlCheck="1" w:checkStyle="0"/>
  <w:activeWritingStyle w:appName="MSWord" w:lang="en-CA" w:vendorID="64" w:dllVersion="131078" w:nlCheck="1" w:checkStyle="1"/>
  <w:activeWritingStyle w:appName="MSWord" w:lang="en-US" w:vendorID="64" w:dllVersion="131078"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E6"/>
    <w:rsid w:val="000A1CA4"/>
    <w:rsid w:val="001463E6"/>
    <w:rsid w:val="001736BB"/>
    <w:rsid w:val="00302312"/>
    <w:rsid w:val="00430FC9"/>
    <w:rsid w:val="00576123"/>
    <w:rsid w:val="006B5F93"/>
    <w:rsid w:val="0085441A"/>
    <w:rsid w:val="00E100CC"/>
    <w:rsid w:val="00EA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1765"/>
  <w15:chartTrackingRefBased/>
  <w15:docId w15:val="{CF74EB0E-D457-4AC6-BAD0-2FED24BD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302312"/>
    <w:pPr>
      <w:keepNext/>
      <w:keepLines/>
      <w:spacing w:after="143"/>
      <w:ind w:left="10" w:right="6" w:hanging="10"/>
      <w:outlineLvl w:val="0"/>
    </w:pPr>
    <w:rPr>
      <w:rFonts w:ascii="Calibri" w:eastAsia="Calibri" w:hAnsi="Calibri" w:cs="Calibri"/>
      <w:b/>
      <w:i/>
      <w:color w:val="000000"/>
      <w:sz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E6"/>
    <w:pPr>
      <w:ind w:left="720"/>
      <w:contextualSpacing/>
    </w:pPr>
  </w:style>
  <w:style w:type="paragraph" w:styleId="FootnoteText">
    <w:name w:val="footnote text"/>
    <w:basedOn w:val="Normal"/>
    <w:link w:val="FootnoteTextChar"/>
    <w:uiPriority w:val="99"/>
    <w:semiHidden/>
    <w:unhideWhenUsed/>
    <w:rsid w:val="00576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123"/>
    <w:rPr>
      <w:sz w:val="20"/>
      <w:szCs w:val="20"/>
    </w:rPr>
  </w:style>
  <w:style w:type="character" w:styleId="FootnoteReference">
    <w:name w:val="footnote reference"/>
    <w:basedOn w:val="DefaultParagraphFont"/>
    <w:uiPriority w:val="99"/>
    <w:semiHidden/>
    <w:unhideWhenUsed/>
    <w:rsid w:val="00576123"/>
    <w:rPr>
      <w:vertAlign w:val="superscript"/>
    </w:rPr>
  </w:style>
  <w:style w:type="character" w:styleId="Hyperlink">
    <w:name w:val="Hyperlink"/>
    <w:basedOn w:val="DefaultParagraphFont"/>
    <w:uiPriority w:val="99"/>
    <w:unhideWhenUsed/>
    <w:rsid w:val="001736BB"/>
    <w:rPr>
      <w:color w:val="0563C1" w:themeColor="hyperlink"/>
      <w:u w:val="single"/>
    </w:rPr>
  </w:style>
  <w:style w:type="character" w:customStyle="1" w:styleId="Heading1Char">
    <w:name w:val="Heading 1 Char"/>
    <w:basedOn w:val="DefaultParagraphFont"/>
    <w:link w:val="Heading1"/>
    <w:uiPriority w:val="9"/>
    <w:rsid w:val="00302312"/>
    <w:rPr>
      <w:rFonts w:ascii="Calibri" w:eastAsia="Calibri" w:hAnsi="Calibri" w:cs="Calibri"/>
      <w:b/>
      <w:i/>
      <w:color w:val="000000"/>
      <w:sz w:val="24"/>
      <w:lang w:val="en-CA" w:eastAsia="en-CA"/>
    </w:rPr>
  </w:style>
  <w:style w:type="table" w:customStyle="1" w:styleId="TableGrid">
    <w:name w:val="TableGrid"/>
    <w:rsid w:val="00302312"/>
    <w:pPr>
      <w:spacing w:after="0" w:line="240" w:lineRule="auto"/>
    </w:pPr>
    <w:rPr>
      <w:rFonts w:eastAsiaTheme="minorEastAsia"/>
      <w:lang w:val="en-CA" w:eastAsia="en-C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302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intoedward1@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obias.Peter\AppData\Local\Microsoft\Windows\INetCache\Content.Outlook\ISHXRX04\LMP_charts_10%20(000000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411339512528204E-2"/>
          <c:y val="9.7187137322120448E-2"/>
          <c:w val="0.88080297809950825"/>
          <c:h val="0.76782759297944903"/>
        </c:manualLayout>
      </c:layout>
      <c:barChart>
        <c:barDir val="col"/>
        <c:grouping val="clustered"/>
        <c:varyColors val="0"/>
        <c:ser>
          <c:idx val="0"/>
          <c:order val="0"/>
          <c:tx>
            <c:strRef>
              <c:f>'[LMP_charts_10 (00000002).xlsx]histogram'!$B$3</c:f>
              <c:strCache>
                <c:ptCount val="1"/>
                <c:pt idx="0">
                  <c:v>Number of loans</c:v>
                </c:pt>
              </c:strCache>
            </c:strRef>
          </c:tx>
          <c:spPr>
            <a:solidFill>
              <a:schemeClr val="accent1"/>
            </a:solidFill>
            <a:ln>
              <a:solidFill>
                <a:sysClr val="windowText" lastClr="000000"/>
              </a:solidFill>
            </a:ln>
            <a:effectLst/>
          </c:spPr>
          <c:invertIfNegative val="0"/>
          <c:cat>
            <c:numRef>
              <c:f>'[LMP_charts_10 (00000002).xlsx]histogram'!$A$4:$A$54</c:f>
              <c:numCache>
                <c:formatCode>General</c:formatCode>
                <c:ptCount val="51"/>
                <c:pt idx="0" formatCode="0%">
                  <c:v>0</c:v>
                </c:pt>
                <c:pt idx="5" formatCode="0%">
                  <c:v>0.1</c:v>
                </c:pt>
                <c:pt idx="10" formatCode="0%">
                  <c:v>0.2</c:v>
                </c:pt>
                <c:pt idx="15" formatCode="0%">
                  <c:v>0.3</c:v>
                </c:pt>
                <c:pt idx="20" formatCode="0%">
                  <c:v>0.4</c:v>
                </c:pt>
                <c:pt idx="25" formatCode="0%">
                  <c:v>0.5</c:v>
                </c:pt>
                <c:pt idx="30" formatCode="0%">
                  <c:v>0.6</c:v>
                </c:pt>
                <c:pt idx="35" formatCode="0%">
                  <c:v>0.7</c:v>
                </c:pt>
                <c:pt idx="40" formatCode="0%">
                  <c:v>0.8</c:v>
                </c:pt>
                <c:pt idx="45" formatCode="0%">
                  <c:v>0.9</c:v>
                </c:pt>
                <c:pt idx="50" formatCode="0%">
                  <c:v>1</c:v>
                </c:pt>
              </c:numCache>
            </c:numRef>
          </c:cat>
          <c:val>
            <c:numRef>
              <c:f>'[LMP_charts_10 (00000002).xlsx]histogram'!$B$4:$B$54</c:f>
              <c:numCache>
                <c:formatCode>General</c:formatCode>
                <c:ptCount val="51"/>
                <c:pt idx="0">
                  <c:v>9</c:v>
                </c:pt>
                <c:pt idx="1">
                  <c:v>59</c:v>
                </c:pt>
                <c:pt idx="2">
                  <c:v>808</c:v>
                </c:pt>
                <c:pt idx="3" formatCode="#,##0">
                  <c:v>3447</c:v>
                </c:pt>
                <c:pt idx="4" formatCode="#,##0">
                  <c:v>9523</c:v>
                </c:pt>
                <c:pt idx="5" formatCode="#,##0">
                  <c:v>21856</c:v>
                </c:pt>
                <c:pt idx="6" formatCode="#,##0">
                  <c:v>30958</c:v>
                </c:pt>
                <c:pt idx="7" formatCode="#,##0">
                  <c:v>46783</c:v>
                </c:pt>
                <c:pt idx="8" formatCode="#,##0">
                  <c:v>62722</c:v>
                </c:pt>
                <c:pt idx="9" formatCode="#,##0">
                  <c:v>69436</c:v>
                </c:pt>
                <c:pt idx="10" formatCode="#,##0">
                  <c:v>77859</c:v>
                </c:pt>
                <c:pt idx="11" formatCode="#,##0">
                  <c:v>110206</c:v>
                </c:pt>
                <c:pt idx="12" formatCode="#,##0">
                  <c:v>105992</c:v>
                </c:pt>
                <c:pt idx="13" formatCode="#,##0">
                  <c:v>125760</c:v>
                </c:pt>
                <c:pt idx="14" formatCode="#,##0">
                  <c:v>146811</c:v>
                </c:pt>
                <c:pt idx="15" formatCode="#,##0">
                  <c:v>149394</c:v>
                </c:pt>
                <c:pt idx="16" formatCode="#,##0">
                  <c:v>151789</c:v>
                </c:pt>
                <c:pt idx="17" formatCode="#,##0">
                  <c:v>169518</c:v>
                </c:pt>
                <c:pt idx="18" formatCode="#,##0">
                  <c:v>158787</c:v>
                </c:pt>
                <c:pt idx="19" formatCode="#,##0">
                  <c:v>166438</c:v>
                </c:pt>
                <c:pt idx="20" formatCode="#,##0">
                  <c:v>165825</c:v>
                </c:pt>
                <c:pt idx="21" formatCode="#,##0">
                  <c:v>160094</c:v>
                </c:pt>
                <c:pt idx="22" formatCode="#,##0">
                  <c:v>164020</c:v>
                </c:pt>
                <c:pt idx="23" formatCode="#,##0">
                  <c:v>174500</c:v>
                </c:pt>
                <c:pt idx="24" formatCode="#,##0">
                  <c:v>151157</c:v>
                </c:pt>
                <c:pt idx="25" formatCode="#,##0">
                  <c:v>153335</c:v>
                </c:pt>
                <c:pt idx="26" formatCode="#,##0">
                  <c:v>153499</c:v>
                </c:pt>
                <c:pt idx="27" formatCode="#,##0">
                  <c:v>138624</c:v>
                </c:pt>
                <c:pt idx="28" formatCode="#,##0">
                  <c:v>135409</c:v>
                </c:pt>
                <c:pt idx="29" formatCode="#,##0">
                  <c:v>135020</c:v>
                </c:pt>
                <c:pt idx="30" formatCode="#,##0">
                  <c:v>124087</c:v>
                </c:pt>
                <c:pt idx="31" formatCode="#,##0">
                  <c:v>123470</c:v>
                </c:pt>
                <c:pt idx="32" formatCode="#,##0">
                  <c:v>108980</c:v>
                </c:pt>
                <c:pt idx="33" formatCode="#,##0">
                  <c:v>120726</c:v>
                </c:pt>
                <c:pt idx="34" formatCode="#,##0">
                  <c:v>95561</c:v>
                </c:pt>
                <c:pt idx="35" formatCode="#,##0">
                  <c:v>106434</c:v>
                </c:pt>
                <c:pt idx="36" formatCode="#,##0">
                  <c:v>81239</c:v>
                </c:pt>
                <c:pt idx="37" formatCode="#,##0">
                  <c:v>85623</c:v>
                </c:pt>
                <c:pt idx="38" formatCode="#,##0">
                  <c:v>80047</c:v>
                </c:pt>
                <c:pt idx="39" formatCode="#,##0">
                  <c:v>75725</c:v>
                </c:pt>
                <c:pt idx="40" formatCode="#,##0">
                  <c:v>66285</c:v>
                </c:pt>
                <c:pt idx="41" formatCode="#,##0">
                  <c:v>70889</c:v>
                </c:pt>
                <c:pt idx="42" formatCode="#,##0">
                  <c:v>57646</c:v>
                </c:pt>
                <c:pt idx="43" formatCode="#,##0">
                  <c:v>60315</c:v>
                </c:pt>
                <c:pt idx="44" formatCode="#,##0">
                  <c:v>58602</c:v>
                </c:pt>
                <c:pt idx="45" formatCode="#,##0">
                  <c:v>52785</c:v>
                </c:pt>
                <c:pt idx="46" formatCode="#,##0">
                  <c:v>54812</c:v>
                </c:pt>
                <c:pt idx="47" formatCode="#,##0">
                  <c:v>54766</c:v>
                </c:pt>
                <c:pt idx="48" formatCode="#,##0">
                  <c:v>45922</c:v>
                </c:pt>
                <c:pt idx="49" formatCode="#,##0">
                  <c:v>179740</c:v>
                </c:pt>
              </c:numCache>
            </c:numRef>
          </c:val>
          <c:extLst>
            <c:ext xmlns:c16="http://schemas.microsoft.com/office/drawing/2014/chart" uri="{C3380CC4-5D6E-409C-BE32-E72D297353CC}">
              <c16:uniqueId val="{00000000-1A20-4941-A7AF-1E7690B5C22C}"/>
            </c:ext>
          </c:extLst>
        </c:ser>
        <c:dLbls>
          <c:showLegendKey val="0"/>
          <c:showVal val="0"/>
          <c:showCatName val="0"/>
          <c:showSerName val="0"/>
          <c:showPercent val="0"/>
          <c:showBubbleSize val="0"/>
        </c:dLbls>
        <c:gapWidth val="0"/>
        <c:axId val="371928080"/>
        <c:axId val="371927248"/>
      </c:barChart>
      <c:catAx>
        <c:axId val="37192808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a:t>Percent of applicable</a:t>
                </a:r>
                <a:r>
                  <a:rPr lang="en-US" sz="1000" baseline="0"/>
                  <a:t> conforming loan limit</a:t>
                </a:r>
                <a:endParaRPr lang="en-US" sz="1000"/>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1927248"/>
        <c:crosses val="autoZero"/>
        <c:auto val="1"/>
        <c:lblAlgn val="ctr"/>
        <c:lblOffset val="100"/>
        <c:noMultiLvlLbl val="0"/>
      </c:catAx>
      <c:valAx>
        <c:axId val="371927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1928080"/>
        <c:crosses val="autoZero"/>
        <c:crossBetween val="between"/>
      </c:valAx>
      <c:spPr>
        <a:noFill/>
        <a:ln>
          <a:solidFill>
            <a:sysClr val="windowText" lastClr="000000"/>
          </a:solid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0.07872</cdr:x>
      <cdr:y>0.00619</cdr:y>
    </cdr:from>
    <cdr:to>
      <cdr:x>0.33704</cdr:x>
      <cdr:y>0.07099</cdr:y>
    </cdr:to>
    <cdr:sp macro="" textlink="">
      <cdr:nvSpPr>
        <cdr:cNvPr id="2" name="TextBox 1"/>
        <cdr:cNvSpPr txBox="1"/>
      </cdr:nvSpPr>
      <cdr:spPr>
        <a:xfrm xmlns:a="http://schemas.openxmlformats.org/drawingml/2006/main">
          <a:off x="446136" y="17334"/>
          <a:ext cx="1463996" cy="1814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Number of loans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73821-C661-4BD5-866D-823C54C74B2E}"/>
</file>

<file path=customXml/itemProps2.xml><?xml version="1.0" encoding="utf-8"?>
<ds:datastoreItem xmlns:ds="http://schemas.openxmlformats.org/officeDocument/2006/customXml" ds:itemID="{5D054F4D-D582-47C0-88D4-8EC219FE48A4}"/>
</file>

<file path=customXml/itemProps3.xml><?xml version="1.0" encoding="utf-8"?>
<ds:datastoreItem xmlns:ds="http://schemas.openxmlformats.org/officeDocument/2006/customXml" ds:itemID="{F23E8E66-4F6A-4D6E-9E88-F9075ABC7683}"/>
</file>

<file path=docProps/app.xml><?xml version="1.0" encoding="utf-8"?>
<Properties xmlns="http://schemas.openxmlformats.org/officeDocument/2006/extended-properties" xmlns:vt="http://schemas.openxmlformats.org/officeDocument/2006/docPropsVTypes">
  <Template>Normal</Template>
  <TotalTime>10</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Pinto</dc:creator>
  <cp:keywords/>
  <dc:description/>
  <cp:lastModifiedBy>Michael Howard</cp:lastModifiedBy>
  <cp:revision>3</cp:revision>
  <dcterms:created xsi:type="dcterms:W3CDTF">2021-01-04T19:03:00Z</dcterms:created>
  <dcterms:modified xsi:type="dcterms:W3CDTF">2021-01-04T19:12:00Z</dcterms:modified>
</cp:coreProperties>
</file>