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0E37E" w14:textId="750D2B0E" w:rsidR="00A53313" w:rsidRDefault="00DD4B92" w:rsidP="00A53313">
      <w:pPr>
        <w:pStyle w:val="Body"/>
        <w:spacing w:after="0" w:line="240" w:lineRule="auto"/>
      </w:pPr>
      <w:r w:rsidRPr="00386A47">
        <w:rPr>
          <w:noProof/>
        </w:rPr>
        <w:drawing>
          <wp:anchor distT="0" distB="0" distL="114300" distR="114300" simplePos="0" relativeHeight="251659264" behindDoc="1" locked="0" layoutInCell="1" allowOverlap="1" wp14:anchorId="02536912" wp14:editId="752E1F68">
            <wp:simplePos x="0" y="0"/>
            <wp:positionH relativeFrom="margin">
              <wp:align>left</wp:align>
            </wp:positionH>
            <wp:positionV relativeFrom="paragraph">
              <wp:posOffset>120650</wp:posOffset>
            </wp:positionV>
            <wp:extent cx="769620" cy="463550"/>
            <wp:effectExtent l="0" t="0" r="0" b="0"/>
            <wp:wrapThrough wrapText="bothSides">
              <wp:wrapPolygon edited="0">
                <wp:start x="0" y="0"/>
                <wp:lineTo x="0" y="20416"/>
                <wp:lineTo x="20851" y="20416"/>
                <wp:lineTo x="20851" y="0"/>
                <wp:lineTo x="0" y="0"/>
              </wp:wrapPolygon>
            </wp:wrapThrough>
            <wp:docPr id="1" name="Picture 1" descr="Description: NCSHA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CSHA_4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041" cy="4640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85592" w14:textId="77777777" w:rsidR="00DD4B92" w:rsidRDefault="00DD4B92" w:rsidP="00A53313">
      <w:pPr>
        <w:pStyle w:val="Body"/>
        <w:spacing w:after="0" w:line="240" w:lineRule="auto"/>
      </w:pPr>
    </w:p>
    <w:p w14:paraId="70319E65" w14:textId="77777777" w:rsidR="00DD4B92" w:rsidRDefault="00DD4B92" w:rsidP="00A53313">
      <w:pPr>
        <w:pStyle w:val="Body"/>
        <w:spacing w:after="0" w:line="240" w:lineRule="auto"/>
      </w:pPr>
    </w:p>
    <w:p w14:paraId="3A2E8076" w14:textId="77777777" w:rsidR="00DD4B92" w:rsidRDefault="00DD4B92" w:rsidP="00A53313">
      <w:pPr>
        <w:pStyle w:val="Body"/>
        <w:spacing w:after="0" w:line="240" w:lineRule="auto"/>
      </w:pPr>
    </w:p>
    <w:p w14:paraId="5FF5BC5C" w14:textId="0577DC96" w:rsidR="00DD4B92" w:rsidRDefault="00DD4B92" w:rsidP="00A53313">
      <w:pPr>
        <w:pStyle w:val="Body"/>
        <w:spacing w:after="0" w:line="240" w:lineRule="auto"/>
      </w:pPr>
    </w:p>
    <w:p w14:paraId="62560716" w14:textId="77777777" w:rsidR="00DD4B92" w:rsidRDefault="00DD4B92" w:rsidP="00A53313">
      <w:pPr>
        <w:pStyle w:val="Body"/>
        <w:spacing w:after="0" w:line="240" w:lineRule="auto"/>
      </w:pPr>
    </w:p>
    <w:p w14:paraId="3A6A064A" w14:textId="1539A82E" w:rsidR="00127133" w:rsidRPr="00F276DA" w:rsidRDefault="005C4CB0" w:rsidP="00A53313">
      <w:pPr>
        <w:pStyle w:val="Body"/>
        <w:spacing w:after="0" w:line="240" w:lineRule="auto"/>
        <w:rPr>
          <w:rFonts w:ascii="Palatino Linotype" w:hAnsi="Palatino Linotype"/>
          <w:spacing w:val="-10"/>
        </w:rPr>
      </w:pPr>
      <w:r w:rsidRPr="00F276DA">
        <w:rPr>
          <w:rFonts w:ascii="Palatino Linotype" w:hAnsi="Palatino Linotype"/>
          <w:spacing w:val="-10"/>
        </w:rPr>
        <w:t>August 31, 2020</w:t>
      </w:r>
    </w:p>
    <w:p w14:paraId="03063A6C" w14:textId="77777777" w:rsidR="00A53313" w:rsidRPr="00F276DA" w:rsidRDefault="00A53313" w:rsidP="00A53313">
      <w:pPr>
        <w:pStyle w:val="Body"/>
        <w:spacing w:after="0" w:line="240" w:lineRule="auto"/>
        <w:rPr>
          <w:rFonts w:ascii="Palatino Linotype" w:hAnsi="Palatino Linotype"/>
          <w:spacing w:val="-10"/>
        </w:rPr>
      </w:pPr>
    </w:p>
    <w:p w14:paraId="7C74C0F6" w14:textId="3687497C" w:rsidR="00A53313" w:rsidRPr="00F276DA" w:rsidRDefault="00A53313" w:rsidP="00A53313">
      <w:pPr>
        <w:pStyle w:val="Body"/>
        <w:spacing w:after="0" w:line="240" w:lineRule="auto"/>
        <w:rPr>
          <w:rFonts w:ascii="Palatino Linotype" w:hAnsi="Palatino Linotype"/>
          <w:spacing w:val="-10"/>
        </w:rPr>
      </w:pPr>
    </w:p>
    <w:p w14:paraId="108014AF" w14:textId="20FBF1B7" w:rsidR="00127133" w:rsidRPr="00F276DA" w:rsidRDefault="005C4CB0" w:rsidP="00A53313">
      <w:pPr>
        <w:pStyle w:val="Body"/>
        <w:spacing w:after="0" w:line="240" w:lineRule="auto"/>
        <w:rPr>
          <w:rFonts w:ascii="Palatino Linotype" w:hAnsi="Palatino Linotype"/>
          <w:spacing w:val="-10"/>
        </w:rPr>
      </w:pPr>
      <w:r w:rsidRPr="00F276DA">
        <w:rPr>
          <w:rFonts w:ascii="Palatino Linotype" w:hAnsi="Palatino Linotype"/>
          <w:spacing w:val="-10"/>
        </w:rPr>
        <w:t>Dr. Mark Calabria, Director</w:t>
      </w:r>
    </w:p>
    <w:p w14:paraId="1CA64236" w14:textId="77777777" w:rsidR="00127133" w:rsidRPr="00F276DA" w:rsidRDefault="005C4CB0" w:rsidP="00A53313">
      <w:pPr>
        <w:pStyle w:val="Body"/>
        <w:spacing w:after="0" w:line="240" w:lineRule="auto"/>
        <w:rPr>
          <w:rFonts w:ascii="Palatino Linotype" w:hAnsi="Palatino Linotype"/>
          <w:spacing w:val="-10"/>
        </w:rPr>
      </w:pPr>
      <w:r w:rsidRPr="00F276DA">
        <w:rPr>
          <w:rFonts w:ascii="Palatino Linotype" w:hAnsi="Palatino Linotype"/>
          <w:spacing w:val="-10"/>
        </w:rPr>
        <w:t>Federal Housing Finance Agency</w:t>
      </w:r>
    </w:p>
    <w:p w14:paraId="3146D3C8" w14:textId="77777777" w:rsidR="00127133" w:rsidRPr="00F276DA" w:rsidRDefault="005C4CB0" w:rsidP="00A53313">
      <w:pPr>
        <w:pStyle w:val="Body"/>
        <w:spacing w:after="0" w:line="240" w:lineRule="auto"/>
        <w:rPr>
          <w:rFonts w:ascii="Palatino Linotype" w:hAnsi="Palatino Linotype"/>
          <w:spacing w:val="-10"/>
        </w:rPr>
      </w:pPr>
      <w:r w:rsidRPr="00F276DA">
        <w:rPr>
          <w:rFonts w:ascii="Palatino Linotype" w:hAnsi="Palatino Linotype"/>
          <w:spacing w:val="-10"/>
          <w:lang w:val="fr-FR"/>
        </w:rPr>
        <w:t>Constitution Center</w:t>
      </w:r>
    </w:p>
    <w:p w14:paraId="0537620C" w14:textId="77777777" w:rsidR="00127133" w:rsidRPr="00F276DA" w:rsidRDefault="005C4CB0" w:rsidP="00A53313">
      <w:pPr>
        <w:pStyle w:val="Body"/>
        <w:spacing w:after="0" w:line="240" w:lineRule="auto"/>
        <w:rPr>
          <w:rFonts w:ascii="Palatino Linotype" w:hAnsi="Palatino Linotype"/>
          <w:spacing w:val="-10"/>
        </w:rPr>
      </w:pPr>
      <w:r w:rsidRPr="00F276DA">
        <w:rPr>
          <w:rFonts w:ascii="Palatino Linotype" w:hAnsi="Palatino Linotype"/>
          <w:spacing w:val="-10"/>
        </w:rPr>
        <w:t>400 7th Street, SW</w:t>
      </w:r>
    </w:p>
    <w:p w14:paraId="38B9174A" w14:textId="77777777" w:rsidR="00127133" w:rsidRPr="00F276DA" w:rsidRDefault="005C4CB0" w:rsidP="00A53313">
      <w:pPr>
        <w:pStyle w:val="Body"/>
        <w:spacing w:after="0" w:line="240" w:lineRule="auto"/>
        <w:rPr>
          <w:rFonts w:ascii="Palatino Linotype" w:hAnsi="Palatino Linotype"/>
          <w:spacing w:val="-10"/>
        </w:rPr>
      </w:pPr>
      <w:r w:rsidRPr="00F276DA">
        <w:rPr>
          <w:rFonts w:ascii="Palatino Linotype" w:hAnsi="Palatino Linotype"/>
          <w:spacing w:val="-10"/>
        </w:rPr>
        <w:t>Washington, DC 20219</w:t>
      </w:r>
    </w:p>
    <w:p w14:paraId="2FBF3CD0" w14:textId="77777777" w:rsidR="00127133" w:rsidRPr="00F276DA" w:rsidRDefault="00127133" w:rsidP="00A53313">
      <w:pPr>
        <w:pStyle w:val="Body"/>
        <w:spacing w:after="0" w:line="240" w:lineRule="auto"/>
        <w:rPr>
          <w:rFonts w:ascii="Palatino Linotype" w:hAnsi="Palatino Linotype"/>
          <w:spacing w:val="-10"/>
        </w:rPr>
      </w:pPr>
    </w:p>
    <w:p w14:paraId="568CC39D" w14:textId="2BA9F35E" w:rsidR="00127133" w:rsidRPr="00F276DA" w:rsidRDefault="005C4CB0" w:rsidP="00903565">
      <w:pPr>
        <w:pStyle w:val="Body"/>
        <w:spacing w:after="0" w:line="240" w:lineRule="auto"/>
        <w:rPr>
          <w:rFonts w:ascii="Palatino Linotype" w:hAnsi="Palatino Linotype"/>
          <w:spacing w:val="-10"/>
          <w:lang w:val="pt-PT"/>
        </w:rPr>
      </w:pPr>
      <w:bookmarkStart w:id="0" w:name="_Hlk49074509"/>
      <w:r w:rsidRPr="00F276DA">
        <w:rPr>
          <w:rFonts w:ascii="Palatino Linotype" w:hAnsi="Palatino Linotype"/>
          <w:spacing w:val="-10"/>
          <w:lang w:val="pt-PT"/>
        </w:rPr>
        <w:t>Dear Dr. Calabria:</w:t>
      </w:r>
    </w:p>
    <w:p w14:paraId="31EA295A" w14:textId="77777777" w:rsidR="00A53313" w:rsidRPr="00F276DA" w:rsidRDefault="00A53313" w:rsidP="00A53313">
      <w:pPr>
        <w:pStyle w:val="Body"/>
        <w:spacing w:after="0" w:line="240" w:lineRule="auto"/>
        <w:rPr>
          <w:rFonts w:ascii="Palatino Linotype" w:hAnsi="Palatino Linotype"/>
          <w:spacing w:val="-10"/>
        </w:rPr>
      </w:pPr>
    </w:p>
    <w:p w14:paraId="42C1AB0F" w14:textId="6FF87081" w:rsidR="008B206E" w:rsidRDefault="005C4CB0" w:rsidP="00903565">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t>On behalf of the nation</w:t>
      </w:r>
      <w:r w:rsidRPr="00F276DA">
        <w:rPr>
          <w:rFonts w:ascii="Palatino Linotype" w:hAnsi="Palatino Linotype"/>
          <w:spacing w:val="-10"/>
          <w:rtl/>
        </w:rPr>
        <w:t>’</w:t>
      </w:r>
      <w:r w:rsidRPr="00F276DA">
        <w:rPr>
          <w:rFonts w:ascii="Palatino Linotype" w:hAnsi="Palatino Linotype"/>
          <w:spacing w:val="-10"/>
        </w:rPr>
        <w:t>s state Housing Finance Agencies (HFAs), the National Council of State Housing Agencies</w:t>
      </w:r>
      <w:r w:rsidRPr="00F276DA">
        <w:rPr>
          <w:rFonts w:ascii="Palatino Linotype" w:hAnsi="Palatino Linotype"/>
          <w:spacing w:val="-10"/>
          <w:vertAlign w:val="superscript"/>
        </w:rPr>
        <w:footnoteReference w:id="2"/>
      </w:r>
      <w:r w:rsidRPr="00F276DA">
        <w:rPr>
          <w:rFonts w:ascii="Palatino Linotype" w:hAnsi="Palatino Linotype"/>
          <w:spacing w:val="-10"/>
        </w:rPr>
        <w:t xml:space="preserve"> (NCSHA) writes in response to the Federal Housing Finance Agency</w:t>
      </w:r>
      <w:r w:rsidRPr="00F276DA">
        <w:rPr>
          <w:rFonts w:ascii="Palatino Linotype" w:hAnsi="Palatino Linotype"/>
          <w:spacing w:val="-10"/>
          <w:rtl/>
        </w:rPr>
        <w:t>’</w:t>
      </w:r>
      <w:r w:rsidRPr="00F276DA">
        <w:rPr>
          <w:rFonts w:ascii="Palatino Linotype" w:hAnsi="Palatino Linotype"/>
          <w:spacing w:val="-10"/>
        </w:rPr>
        <w:t>s (FHFA</w:t>
      </w:r>
      <w:r w:rsidRPr="00F276DA">
        <w:rPr>
          <w:rFonts w:ascii="Palatino Linotype" w:hAnsi="Palatino Linotype"/>
          <w:spacing w:val="-10"/>
          <w:rtl/>
        </w:rPr>
        <w:t>’</w:t>
      </w:r>
      <w:r w:rsidRPr="00F276DA">
        <w:rPr>
          <w:rFonts w:ascii="Palatino Linotype" w:hAnsi="Palatino Linotype"/>
          <w:spacing w:val="-10"/>
        </w:rPr>
        <w:t>s) request for comments on its notice of proposed rulemaking on the Enterprise Regulatory Capi</w:t>
      </w:r>
      <w:r w:rsidR="008B206E">
        <w:rPr>
          <w:rFonts w:ascii="Palatino Linotype" w:hAnsi="Palatino Linotype"/>
          <w:spacing w:val="-10"/>
        </w:rPr>
        <w:t xml:space="preserve">tal Framework (the Framework). </w:t>
      </w:r>
    </w:p>
    <w:p w14:paraId="290109B7" w14:textId="0B958E1E" w:rsidR="008B206E" w:rsidRDefault="008B206E" w:rsidP="00903565">
      <w:pPr>
        <w:pStyle w:val="Body"/>
        <w:spacing w:after="0" w:line="240" w:lineRule="auto"/>
        <w:ind w:firstLine="720"/>
        <w:jc w:val="both"/>
        <w:rPr>
          <w:rFonts w:ascii="Palatino Linotype" w:hAnsi="Palatino Linotype"/>
          <w:spacing w:val="-10"/>
        </w:rPr>
      </w:pPr>
    </w:p>
    <w:p w14:paraId="666C533A" w14:textId="2478A887" w:rsidR="006F616A" w:rsidRDefault="008B206E" w:rsidP="008B206E">
      <w:pPr>
        <w:pStyle w:val="Body"/>
        <w:spacing w:after="0" w:line="240" w:lineRule="auto"/>
        <w:jc w:val="both"/>
        <w:rPr>
          <w:rFonts w:ascii="Palatino Linotype" w:hAnsi="Palatino Linotype"/>
          <w:bCs/>
          <w:spacing w:val="-10"/>
        </w:rPr>
      </w:pPr>
      <w:r>
        <w:rPr>
          <w:rFonts w:ascii="Palatino Linotype" w:hAnsi="Palatino Linotype"/>
          <w:b/>
          <w:bCs/>
          <w:spacing w:val="-10"/>
        </w:rPr>
        <w:tab/>
      </w:r>
      <w:r w:rsidRPr="008B206E">
        <w:rPr>
          <w:rFonts w:ascii="Palatino Linotype" w:hAnsi="Palatino Linotype"/>
          <w:bCs/>
          <w:spacing w:val="-10"/>
        </w:rPr>
        <w:t>While we fully understand the importance of establishing new regulatory capital rules for Fannie Mae and Freddie Mac (“the Enterprises”)</w:t>
      </w:r>
      <w:r>
        <w:rPr>
          <w:rFonts w:ascii="Palatino Linotype" w:hAnsi="Palatino Linotype"/>
          <w:bCs/>
          <w:spacing w:val="-10"/>
        </w:rPr>
        <w:t xml:space="preserve">, the Framework as proposed is so </w:t>
      </w:r>
      <w:r w:rsidR="006F616A">
        <w:rPr>
          <w:rFonts w:ascii="Palatino Linotype" w:hAnsi="Palatino Linotype"/>
          <w:bCs/>
          <w:spacing w:val="-10"/>
        </w:rPr>
        <w:t xml:space="preserve">badly </w:t>
      </w:r>
      <w:r>
        <w:rPr>
          <w:rFonts w:ascii="Palatino Linotype" w:hAnsi="Palatino Linotype"/>
          <w:bCs/>
          <w:spacing w:val="-10"/>
        </w:rPr>
        <w:t xml:space="preserve">flawed NCSHA </w:t>
      </w:r>
      <w:r w:rsidRPr="008B206E">
        <w:rPr>
          <w:rFonts w:ascii="Palatino Linotype" w:hAnsi="Palatino Linotype"/>
          <w:bCs/>
          <w:spacing w:val="-10"/>
        </w:rPr>
        <w:t>urges FHFA to rescind</w:t>
      </w:r>
      <w:r>
        <w:rPr>
          <w:rFonts w:ascii="Palatino Linotype" w:hAnsi="Palatino Linotype"/>
          <w:bCs/>
          <w:spacing w:val="-10"/>
        </w:rPr>
        <w:t xml:space="preserve"> it. </w:t>
      </w:r>
    </w:p>
    <w:p w14:paraId="43E61311" w14:textId="6F062FAF" w:rsidR="006F616A" w:rsidRDefault="006F616A" w:rsidP="008B206E">
      <w:pPr>
        <w:pStyle w:val="Body"/>
        <w:spacing w:after="0" w:line="240" w:lineRule="auto"/>
        <w:jc w:val="both"/>
        <w:rPr>
          <w:rFonts w:ascii="Palatino Linotype" w:hAnsi="Palatino Linotype"/>
          <w:bCs/>
          <w:spacing w:val="-10"/>
        </w:rPr>
      </w:pPr>
    </w:p>
    <w:p w14:paraId="24E3B144" w14:textId="43BA63FC" w:rsidR="004B11E8" w:rsidRPr="00DE753A" w:rsidRDefault="006F616A" w:rsidP="008B206E">
      <w:pPr>
        <w:pStyle w:val="Body"/>
        <w:spacing w:after="0" w:line="240" w:lineRule="auto"/>
        <w:jc w:val="both"/>
        <w:rPr>
          <w:rFonts w:ascii="Palatino Linotype" w:hAnsi="Palatino Linotype"/>
          <w:bCs/>
          <w:spacing w:val="-10"/>
        </w:rPr>
      </w:pPr>
      <w:r>
        <w:rPr>
          <w:rFonts w:ascii="Palatino Linotype" w:hAnsi="Palatino Linotype"/>
          <w:bCs/>
          <w:spacing w:val="-10"/>
        </w:rPr>
        <w:tab/>
      </w:r>
      <w:r w:rsidR="008B206E" w:rsidRPr="00DE753A">
        <w:rPr>
          <w:rFonts w:ascii="Palatino Linotype" w:hAnsi="Palatino Linotype"/>
          <w:bCs/>
          <w:spacing w:val="-10"/>
        </w:rPr>
        <w:t>FHFA should restart the rulemaking process with a more holistic approach that considers not only the Enterprises</w:t>
      </w:r>
      <w:r w:rsidR="008B206E" w:rsidRPr="00DE753A">
        <w:rPr>
          <w:rFonts w:ascii="Palatino Linotype" w:hAnsi="Palatino Linotype"/>
          <w:bCs/>
          <w:spacing w:val="-10"/>
          <w:rtl/>
        </w:rPr>
        <w:t>’</w:t>
      </w:r>
      <w:r w:rsidR="008B206E" w:rsidRPr="00DE753A">
        <w:rPr>
          <w:rFonts w:ascii="Palatino Linotype" w:hAnsi="Palatino Linotype"/>
          <w:bCs/>
          <w:spacing w:val="-10"/>
        </w:rPr>
        <w:t xml:space="preserve"> obl</w:t>
      </w:r>
      <w:r w:rsidR="004B11E8" w:rsidRPr="00DE753A">
        <w:rPr>
          <w:rFonts w:ascii="Palatino Linotype" w:hAnsi="Palatino Linotype"/>
          <w:bCs/>
          <w:spacing w:val="-10"/>
        </w:rPr>
        <w:t>igation to facilitate liquidity – which the Framework acknowledges –</w:t>
      </w:r>
      <w:r w:rsidR="008B206E" w:rsidRPr="00DE753A">
        <w:rPr>
          <w:rFonts w:ascii="Palatino Linotype" w:hAnsi="Palatino Linotype"/>
          <w:bCs/>
          <w:spacing w:val="-10"/>
        </w:rPr>
        <w:t xml:space="preserve"> but also their mandates to support financing for affordable multifamily housing and facilitate the availability of</w:t>
      </w:r>
      <w:r w:rsidR="004B11E8" w:rsidRPr="00DE753A">
        <w:rPr>
          <w:rFonts w:ascii="Palatino Linotype" w:hAnsi="Palatino Linotype"/>
          <w:bCs/>
          <w:spacing w:val="-10"/>
        </w:rPr>
        <w:t xml:space="preserve"> </w:t>
      </w:r>
      <w:r w:rsidR="00FA1FCD" w:rsidRPr="00DE753A">
        <w:rPr>
          <w:rFonts w:ascii="Palatino Linotype" w:hAnsi="Palatino Linotype"/>
          <w:bCs/>
          <w:spacing w:val="-10"/>
        </w:rPr>
        <w:t xml:space="preserve">single-family </w:t>
      </w:r>
      <w:r w:rsidR="004B11E8" w:rsidRPr="00DE753A">
        <w:rPr>
          <w:rFonts w:ascii="Palatino Linotype" w:hAnsi="Palatino Linotype"/>
          <w:bCs/>
          <w:spacing w:val="-10"/>
        </w:rPr>
        <w:t>mortgage financing nationwide – which the Framework all but ignores.</w:t>
      </w:r>
    </w:p>
    <w:p w14:paraId="79EF6FD6" w14:textId="77777777" w:rsidR="008B206E" w:rsidRPr="00DE753A" w:rsidRDefault="008B206E" w:rsidP="008B206E">
      <w:pPr>
        <w:pStyle w:val="Body"/>
        <w:spacing w:after="0" w:line="240" w:lineRule="auto"/>
        <w:jc w:val="both"/>
        <w:rPr>
          <w:rFonts w:ascii="Palatino Linotype" w:hAnsi="Palatino Linotype"/>
          <w:bCs/>
          <w:i/>
          <w:iCs/>
          <w:spacing w:val="-10"/>
        </w:rPr>
      </w:pPr>
    </w:p>
    <w:p w14:paraId="71A26A69" w14:textId="12AA200B" w:rsidR="008B206E" w:rsidRDefault="006F616A" w:rsidP="008B206E">
      <w:pPr>
        <w:pStyle w:val="Body"/>
        <w:spacing w:after="0" w:line="240" w:lineRule="auto"/>
        <w:jc w:val="both"/>
        <w:rPr>
          <w:rFonts w:ascii="Palatino Linotype" w:hAnsi="Palatino Linotype"/>
          <w:bCs/>
          <w:spacing w:val="-10"/>
        </w:rPr>
      </w:pPr>
      <w:r w:rsidRPr="00DE753A">
        <w:rPr>
          <w:rFonts w:ascii="Palatino Linotype" w:hAnsi="Palatino Linotype"/>
          <w:bCs/>
          <w:spacing w:val="-10"/>
        </w:rPr>
        <w:tab/>
      </w:r>
      <w:r w:rsidR="008B206E" w:rsidRPr="00DE753A">
        <w:rPr>
          <w:rFonts w:ascii="Palatino Linotype" w:hAnsi="Palatino Linotype"/>
          <w:bCs/>
          <w:spacing w:val="-10"/>
        </w:rPr>
        <w:t xml:space="preserve">FHFA </w:t>
      </w:r>
      <w:r w:rsidR="00644E91" w:rsidRPr="00DE753A">
        <w:rPr>
          <w:rFonts w:ascii="Palatino Linotype" w:hAnsi="Palatino Linotype"/>
          <w:bCs/>
          <w:spacing w:val="-10"/>
        </w:rPr>
        <w:t xml:space="preserve">also </w:t>
      </w:r>
      <w:r w:rsidRPr="00DE753A">
        <w:rPr>
          <w:rFonts w:ascii="Palatino Linotype" w:hAnsi="Palatino Linotype"/>
          <w:bCs/>
          <w:spacing w:val="-10"/>
        </w:rPr>
        <w:t xml:space="preserve">should </w:t>
      </w:r>
      <w:r w:rsidR="008B206E" w:rsidRPr="00DE753A">
        <w:rPr>
          <w:rFonts w:ascii="Palatino Linotype" w:hAnsi="Palatino Linotype"/>
          <w:bCs/>
          <w:spacing w:val="-10"/>
        </w:rPr>
        <w:t>publish any research it or the Enterprises have conducted on how the capital standards will impact the Enterprises’</w:t>
      </w:r>
      <w:r w:rsidR="008B206E" w:rsidRPr="00DE753A">
        <w:rPr>
          <w:rFonts w:ascii="Palatino Linotype" w:hAnsi="Palatino Linotype"/>
          <w:bCs/>
          <w:spacing w:val="-10"/>
          <w:rtl/>
        </w:rPr>
        <w:t xml:space="preserve"> </w:t>
      </w:r>
      <w:r w:rsidR="008B206E" w:rsidRPr="00DE753A">
        <w:rPr>
          <w:rFonts w:ascii="Palatino Linotype" w:hAnsi="Palatino Linotype"/>
          <w:bCs/>
          <w:spacing w:val="-10"/>
        </w:rPr>
        <w:t>ability to support financing for affordable single-family and multifamily lending and promote access to credit in the underserved markets the Enterprises are statutorily required to serve.</w:t>
      </w:r>
      <w:r w:rsidR="008B206E" w:rsidRPr="008B206E">
        <w:rPr>
          <w:rFonts w:ascii="Palatino Linotype" w:hAnsi="Palatino Linotype"/>
          <w:bCs/>
          <w:spacing w:val="-10"/>
        </w:rPr>
        <w:t xml:space="preserve"> </w:t>
      </w:r>
    </w:p>
    <w:p w14:paraId="1A629BEA" w14:textId="60755F28" w:rsidR="004B11E8" w:rsidRDefault="004B11E8" w:rsidP="008B206E">
      <w:pPr>
        <w:pStyle w:val="Body"/>
        <w:spacing w:after="0" w:line="240" w:lineRule="auto"/>
        <w:jc w:val="both"/>
        <w:rPr>
          <w:rFonts w:ascii="Palatino Linotype" w:hAnsi="Palatino Linotype"/>
          <w:bCs/>
          <w:spacing w:val="-10"/>
        </w:rPr>
      </w:pPr>
    </w:p>
    <w:p w14:paraId="11D0754C" w14:textId="7B3FAEED" w:rsidR="004B11E8" w:rsidRPr="008B206E" w:rsidRDefault="004B11E8" w:rsidP="008B206E">
      <w:pPr>
        <w:pStyle w:val="Body"/>
        <w:spacing w:after="0" w:line="240" w:lineRule="auto"/>
        <w:jc w:val="both"/>
        <w:rPr>
          <w:rFonts w:ascii="Palatino Linotype" w:hAnsi="Palatino Linotype"/>
          <w:bCs/>
          <w:spacing w:val="-10"/>
        </w:rPr>
      </w:pPr>
      <w:r>
        <w:rPr>
          <w:rFonts w:ascii="Palatino Linotype" w:hAnsi="Palatino Linotype"/>
          <w:bCs/>
          <w:spacing w:val="-10"/>
        </w:rPr>
        <w:tab/>
        <w:t>The balance of this letter provides brief overviews of state HFAs and their partnership with the Enterprises; summarizes NCSHA’s comments on the Framework; and provides our detailed comments on the Framework.</w:t>
      </w:r>
    </w:p>
    <w:p w14:paraId="0379DDE2" w14:textId="742FC19C" w:rsidR="008B206E" w:rsidRDefault="008B206E" w:rsidP="00903565">
      <w:pPr>
        <w:pStyle w:val="Body"/>
        <w:spacing w:after="0" w:line="240" w:lineRule="auto"/>
        <w:ind w:firstLine="720"/>
        <w:jc w:val="both"/>
        <w:rPr>
          <w:rFonts w:ascii="Palatino Linotype" w:hAnsi="Palatino Linotype"/>
          <w:spacing w:val="-10"/>
        </w:rPr>
      </w:pPr>
      <w:r>
        <w:rPr>
          <w:rFonts w:ascii="Palatino Linotype" w:hAnsi="Palatino Linotype"/>
          <w:spacing w:val="-10"/>
        </w:rPr>
        <w:tab/>
      </w:r>
      <w:r>
        <w:rPr>
          <w:rFonts w:ascii="Palatino Linotype" w:hAnsi="Palatino Linotype"/>
          <w:spacing w:val="-10"/>
        </w:rPr>
        <w:tab/>
      </w:r>
    </w:p>
    <w:p w14:paraId="03A98ABC" w14:textId="62762272" w:rsidR="008B206E" w:rsidRDefault="008B206E" w:rsidP="00903565">
      <w:pPr>
        <w:pStyle w:val="Body"/>
        <w:spacing w:after="0" w:line="240" w:lineRule="auto"/>
        <w:ind w:firstLine="720"/>
        <w:jc w:val="both"/>
        <w:rPr>
          <w:rFonts w:ascii="Palatino Linotype" w:hAnsi="Palatino Linotype"/>
          <w:spacing w:val="-10"/>
        </w:rPr>
      </w:pPr>
    </w:p>
    <w:p w14:paraId="214D2779" w14:textId="64B582DE" w:rsidR="008B206E" w:rsidRPr="008B206E" w:rsidRDefault="008B206E" w:rsidP="008B206E">
      <w:pPr>
        <w:pStyle w:val="Body"/>
        <w:spacing w:after="0" w:line="240" w:lineRule="auto"/>
        <w:ind w:firstLine="720"/>
        <w:jc w:val="center"/>
        <w:rPr>
          <w:rFonts w:ascii="Palatino Linotype" w:hAnsi="Palatino Linotype"/>
          <w:b/>
          <w:spacing w:val="-10"/>
        </w:rPr>
      </w:pPr>
      <w:r w:rsidRPr="008B206E">
        <w:rPr>
          <w:rFonts w:ascii="Palatino Linotype" w:hAnsi="Palatino Linotype"/>
          <w:b/>
          <w:spacing w:val="-10"/>
        </w:rPr>
        <w:lastRenderedPageBreak/>
        <w:t>Overview of State HFAs and their Partnership with the Enterprises</w:t>
      </w:r>
    </w:p>
    <w:p w14:paraId="43E426C7" w14:textId="150216CA" w:rsidR="008B206E" w:rsidRDefault="008B206E" w:rsidP="00903565">
      <w:pPr>
        <w:pStyle w:val="Body"/>
        <w:spacing w:after="0" w:line="240" w:lineRule="auto"/>
        <w:ind w:firstLine="720"/>
        <w:jc w:val="both"/>
        <w:rPr>
          <w:rFonts w:ascii="Palatino Linotype" w:hAnsi="Palatino Linotype"/>
          <w:spacing w:val="-10"/>
        </w:rPr>
      </w:pPr>
    </w:p>
    <w:p w14:paraId="44CA7763" w14:textId="78E3DBA8" w:rsidR="008B206E" w:rsidRPr="00F276DA" w:rsidRDefault="008B206E" w:rsidP="008B206E">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t>State HFAs are the centers of the affordable housing delivery systems in their states. They were created by their state</w:t>
      </w:r>
      <w:r w:rsidR="006F616A">
        <w:rPr>
          <w:rFonts w:ascii="Palatino Linotype" w:hAnsi="Palatino Linotype"/>
          <w:spacing w:val="-10"/>
        </w:rPr>
        <w:t>s</w:t>
      </w:r>
      <w:r w:rsidRPr="00F276DA">
        <w:rPr>
          <w:rFonts w:ascii="Palatino Linotype" w:hAnsi="Palatino Linotype"/>
          <w:spacing w:val="-10"/>
        </w:rPr>
        <w:t xml:space="preserve"> to be the primary mission-based source of mortgage financing for lower-income households and affordable rental developers operating in their states, as well as in the District of Columbia, New York City, Puerto Rico, and the U.S. Virgin Islands.  </w:t>
      </w:r>
    </w:p>
    <w:p w14:paraId="2652F1B3" w14:textId="77777777" w:rsidR="008B206E" w:rsidRPr="00F276DA" w:rsidRDefault="008B206E" w:rsidP="008B206E">
      <w:pPr>
        <w:pStyle w:val="Body"/>
        <w:spacing w:after="0" w:line="240" w:lineRule="auto"/>
        <w:ind w:firstLine="720"/>
        <w:jc w:val="both"/>
        <w:rPr>
          <w:rFonts w:ascii="Palatino Linotype" w:hAnsi="Palatino Linotype"/>
          <w:spacing w:val="-10"/>
        </w:rPr>
      </w:pPr>
    </w:p>
    <w:p w14:paraId="32FC458F" w14:textId="008AA937" w:rsidR="008B206E" w:rsidRDefault="008B206E" w:rsidP="008B206E">
      <w:pPr>
        <w:ind w:firstLine="720"/>
        <w:jc w:val="both"/>
        <w:rPr>
          <w:rFonts w:ascii="Palatino Linotype" w:hAnsi="Palatino Linotype" w:cs="Calibri"/>
          <w:spacing w:val="-10"/>
          <w:sz w:val="22"/>
          <w:szCs w:val="22"/>
        </w:rPr>
      </w:pPr>
      <w:r w:rsidRPr="00F276DA">
        <w:rPr>
          <w:rFonts w:ascii="Palatino Linotype" w:hAnsi="Palatino Linotype" w:cs="Calibri"/>
          <w:spacing w:val="-10"/>
          <w:sz w:val="22"/>
          <w:szCs w:val="22"/>
        </w:rPr>
        <w:t>In 2019, state HFA programs provided more than $31.8 billion to an estimated 165,400 homebuyers.  This includes an estimated $10</w:t>
      </w:r>
      <w:r w:rsidR="00BA6F81">
        <w:rPr>
          <w:rFonts w:ascii="Palatino Linotype" w:hAnsi="Palatino Linotype" w:cs="Calibri"/>
          <w:spacing w:val="-10"/>
          <w:sz w:val="22"/>
          <w:szCs w:val="22"/>
        </w:rPr>
        <w:t>.3 billion of Enterprise financing</w:t>
      </w:r>
      <w:r w:rsidRPr="00F276DA">
        <w:rPr>
          <w:rFonts w:ascii="Palatino Linotype" w:hAnsi="Palatino Linotype" w:cs="Calibri"/>
          <w:spacing w:val="-10"/>
          <w:sz w:val="22"/>
          <w:szCs w:val="22"/>
        </w:rPr>
        <w:t xml:space="preserve">, which helped over 51,000 homebuyers.  Twenty-eight state HFAs are sellers and/or servicers for one or both of the Enterprises.  HFAs have partnered with Fannie Mae and Freddie Mae to extend billions of dollars in credit to tens of thousands of homebuyers over the past several years.  At the end of 2019, state HFA portfolios held more than $26 billion of Enterprise mortgage products. </w:t>
      </w:r>
    </w:p>
    <w:p w14:paraId="343AA238" w14:textId="3ACF3892" w:rsidR="008B206E" w:rsidRDefault="008B206E" w:rsidP="008B206E">
      <w:pPr>
        <w:ind w:firstLine="720"/>
        <w:jc w:val="both"/>
        <w:rPr>
          <w:rFonts w:ascii="Palatino Linotype" w:hAnsi="Palatino Linotype" w:cs="Calibri"/>
          <w:spacing w:val="-10"/>
          <w:sz w:val="22"/>
          <w:szCs w:val="22"/>
        </w:rPr>
      </w:pPr>
    </w:p>
    <w:p w14:paraId="6CD9BCAB" w14:textId="2C7D1F43" w:rsidR="008B206E" w:rsidRDefault="008B206E" w:rsidP="008B206E">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t>HFAs generally serve borrowers and market segments the typical Fannie Mae or Freddie Mac seller/servicers or multifamily lenders do not.  The borrowers who use HFA homeownership programs are more likely to have lower incomes, purchase lower-priced homes, and use smaller down-payments than the average Enterprise borrower. Additionally, on average, state HFA homeownership programs generally serve larger percentages of borrowers of color with their combination first-mortgage and down</w:t>
      </w:r>
      <w:r>
        <w:rPr>
          <w:rFonts w:ascii="Palatino Linotype" w:hAnsi="Palatino Linotype"/>
          <w:spacing w:val="-10"/>
        </w:rPr>
        <w:t xml:space="preserve"> </w:t>
      </w:r>
      <w:r w:rsidRPr="00F276DA">
        <w:rPr>
          <w:rFonts w:ascii="Palatino Linotype" w:hAnsi="Palatino Linotype"/>
          <w:spacing w:val="-10"/>
        </w:rPr>
        <w:t xml:space="preserve">payment assistance programs than other lending programs in their states.   </w:t>
      </w:r>
    </w:p>
    <w:p w14:paraId="521794D6" w14:textId="77777777" w:rsidR="006F616A" w:rsidRDefault="006F616A" w:rsidP="008B206E">
      <w:pPr>
        <w:pStyle w:val="Body"/>
        <w:spacing w:after="0" w:line="240" w:lineRule="auto"/>
        <w:ind w:firstLine="720"/>
        <w:jc w:val="both"/>
        <w:rPr>
          <w:rFonts w:ascii="Palatino Linotype" w:hAnsi="Palatino Linotype"/>
          <w:spacing w:val="-10"/>
        </w:rPr>
      </w:pPr>
    </w:p>
    <w:p w14:paraId="247CF267" w14:textId="2B9DB17A" w:rsidR="008B206E" w:rsidRDefault="006F616A" w:rsidP="008B206E">
      <w:pPr>
        <w:pStyle w:val="Body"/>
        <w:spacing w:after="0" w:line="240" w:lineRule="auto"/>
        <w:ind w:firstLine="720"/>
        <w:jc w:val="both"/>
        <w:rPr>
          <w:rFonts w:ascii="Palatino Linotype" w:hAnsi="Palatino Linotype"/>
          <w:spacing w:val="-10"/>
        </w:rPr>
      </w:pPr>
      <w:r>
        <w:rPr>
          <w:rFonts w:ascii="Palatino Linotype" w:hAnsi="Palatino Linotype"/>
          <w:spacing w:val="-10"/>
        </w:rPr>
        <w:t xml:space="preserve">State </w:t>
      </w:r>
      <w:r w:rsidR="008B206E" w:rsidRPr="00F276DA">
        <w:rPr>
          <w:rFonts w:ascii="Palatino Linotype" w:hAnsi="Palatino Linotype"/>
          <w:spacing w:val="-10"/>
        </w:rPr>
        <w:t>HFAs also play a pivotal role in affordable mul</w:t>
      </w:r>
      <w:r>
        <w:rPr>
          <w:rFonts w:ascii="Palatino Linotype" w:hAnsi="Palatino Linotype"/>
          <w:spacing w:val="-10"/>
        </w:rPr>
        <w:t>tifamily housing</w:t>
      </w:r>
      <w:r w:rsidR="008B206E" w:rsidRPr="00F276DA">
        <w:rPr>
          <w:rFonts w:ascii="Palatino Linotype" w:hAnsi="Palatino Linotype"/>
          <w:spacing w:val="-10"/>
        </w:rPr>
        <w:t xml:space="preserve"> by financing acquisition, co</w:t>
      </w:r>
      <w:r>
        <w:rPr>
          <w:rFonts w:ascii="Palatino Linotype" w:hAnsi="Palatino Linotype"/>
          <w:spacing w:val="-10"/>
        </w:rPr>
        <w:t xml:space="preserve">nstruction, or rehabilitation by </w:t>
      </w:r>
      <w:r w:rsidR="008B206E" w:rsidRPr="00F276DA">
        <w:rPr>
          <w:rFonts w:ascii="Palatino Linotype" w:hAnsi="Palatino Linotype"/>
          <w:spacing w:val="-10"/>
        </w:rPr>
        <w:t xml:space="preserve">issuing tax-exempt, taxable, nonprofit, or governmental purpose bonds (Multifamily Bonds).  In 2018, Multifamily Bonds financed more than 1.4 million units in more than 17,300 properties.  In that same year, the Enterprises credit-enhanced more than $340 million of the $1.24 billion—about 28 percent—of state HFA bond issuances utilizing credit enhancement or insurance. </w:t>
      </w:r>
    </w:p>
    <w:p w14:paraId="42130BD2" w14:textId="6B36750F" w:rsidR="004B11E8" w:rsidRDefault="004B11E8" w:rsidP="008B206E">
      <w:pPr>
        <w:pStyle w:val="Body"/>
        <w:spacing w:after="0" w:line="240" w:lineRule="auto"/>
        <w:ind w:firstLine="720"/>
        <w:jc w:val="both"/>
        <w:rPr>
          <w:rFonts w:ascii="Palatino Linotype" w:hAnsi="Palatino Linotype"/>
          <w:spacing w:val="-10"/>
        </w:rPr>
      </w:pPr>
    </w:p>
    <w:p w14:paraId="2E798D95" w14:textId="4E05B955" w:rsidR="004B11E8" w:rsidRDefault="004B11E8" w:rsidP="004B11E8">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t>Stat</w:t>
      </w:r>
      <w:r w:rsidR="00BA6F81">
        <w:rPr>
          <w:rFonts w:ascii="Palatino Linotype" w:hAnsi="Palatino Linotype"/>
          <w:spacing w:val="-10"/>
        </w:rPr>
        <w:t>e HFAs built</w:t>
      </w:r>
      <w:r w:rsidRPr="00F276DA">
        <w:rPr>
          <w:rFonts w:ascii="Palatino Linotype" w:hAnsi="Palatino Linotype"/>
          <w:spacing w:val="-10"/>
        </w:rPr>
        <w:t xml:space="preserve"> productive, mutually beneficial relationships with the Enterprises over the years because working with them often allows them to serve their states’ low-income and first-time homebuyers better than they could without such help.  These partne</w:t>
      </w:r>
      <w:r>
        <w:rPr>
          <w:rFonts w:ascii="Palatino Linotype" w:hAnsi="Palatino Linotype"/>
          <w:spacing w:val="-10"/>
        </w:rPr>
        <w:t>rships have helped state HFAs</w:t>
      </w:r>
      <w:r w:rsidRPr="00F276DA">
        <w:rPr>
          <w:rFonts w:ascii="Palatino Linotype" w:hAnsi="Palatino Linotype"/>
          <w:spacing w:val="-10"/>
        </w:rPr>
        <w:t xml:space="preserve"> attract more lenders to their programs, which has in turn enabled them to broaden their impact within their states.  </w:t>
      </w:r>
    </w:p>
    <w:p w14:paraId="0B92B91F" w14:textId="77777777" w:rsidR="004B11E8" w:rsidRDefault="004B11E8" w:rsidP="004B11E8">
      <w:pPr>
        <w:pStyle w:val="Body"/>
        <w:spacing w:after="0" w:line="240" w:lineRule="auto"/>
        <w:ind w:firstLine="720"/>
        <w:jc w:val="both"/>
        <w:rPr>
          <w:rFonts w:ascii="Palatino Linotype" w:hAnsi="Palatino Linotype"/>
          <w:spacing w:val="-10"/>
        </w:rPr>
      </w:pPr>
    </w:p>
    <w:p w14:paraId="763E6A40" w14:textId="70DD26CB" w:rsidR="004B11E8" w:rsidRDefault="004B11E8" w:rsidP="004B11E8">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t>The</w:t>
      </w:r>
      <w:r>
        <w:rPr>
          <w:rFonts w:ascii="Palatino Linotype" w:hAnsi="Palatino Linotype"/>
          <w:spacing w:val="-10"/>
        </w:rPr>
        <w:t xml:space="preserve"> Enterprises have benefited greatly from working with HFAs, receiving a diverse pipeline of high performing loans, gaining access to markets and borrowers they could not otherwise efficiently serve, and having partners with whom they could innovate as needed to address statutory “duty-to-serve” requirements in areas such as manufactured and rural housing.</w:t>
      </w:r>
    </w:p>
    <w:p w14:paraId="6F263992" w14:textId="7EC0D3A9" w:rsidR="00BA6F81" w:rsidRPr="00BA6F81" w:rsidRDefault="00BA6F81" w:rsidP="004B11E8">
      <w:pPr>
        <w:pStyle w:val="Body"/>
        <w:spacing w:after="0" w:line="240" w:lineRule="auto"/>
        <w:ind w:firstLine="720"/>
        <w:jc w:val="both"/>
        <w:rPr>
          <w:rFonts w:ascii="Palatino Linotype" w:hAnsi="Palatino Linotype"/>
          <w:spacing w:val="-10"/>
        </w:rPr>
      </w:pPr>
    </w:p>
    <w:p w14:paraId="5A79CBD0" w14:textId="5BAE711B" w:rsidR="006F616A" w:rsidRDefault="00BA6F81" w:rsidP="004B11E8">
      <w:pPr>
        <w:pStyle w:val="Body"/>
        <w:spacing w:after="0" w:line="240" w:lineRule="auto"/>
        <w:ind w:firstLine="720"/>
        <w:jc w:val="both"/>
        <w:rPr>
          <w:rFonts w:ascii="Palatino Linotype" w:hAnsi="Palatino Linotype"/>
          <w:spacing w:val="-10"/>
        </w:rPr>
      </w:pPr>
      <w:r w:rsidRPr="00BA6F81">
        <w:rPr>
          <w:rFonts w:ascii="Palatino Linotype" w:hAnsi="Palatino Linotype"/>
          <w:spacing w:val="-10"/>
        </w:rPr>
        <w:t>As recently as 2018, Fannie Mae said of its flagship program with state HFAs, “HFA Preferred is ideal for borrowers who have limited funds for down payment and closing costs and for those needing extra flexibilities on credit and income sources.”</w:t>
      </w:r>
      <w:r w:rsidRPr="00BA6F81">
        <w:rPr>
          <w:rStyle w:val="FootnoteReference"/>
          <w:rFonts w:ascii="Palatino Linotype" w:hAnsi="Palatino Linotype"/>
          <w:spacing w:val="-10"/>
        </w:rPr>
        <w:footnoteReference w:id="3"/>
      </w:r>
      <w:r w:rsidRPr="00BA6F81">
        <w:rPr>
          <w:rFonts w:ascii="Palatino Linotype" w:hAnsi="Palatino Linotype"/>
          <w:spacing w:val="-10"/>
        </w:rPr>
        <w:t xml:space="preserve"> </w:t>
      </w:r>
    </w:p>
    <w:p w14:paraId="468504DD" w14:textId="1EE88D19" w:rsidR="00BA6F81" w:rsidRPr="00BA6F81" w:rsidRDefault="00BA6F81" w:rsidP="004B11E8">
      <w:pPr>
        <w:pStyle w:val="Body"/>
        <w:spacing w:after="0" w:line="240" w:lineRule="auto"/>
        <w:ind w:firstLine="720"/>
        <w:jc w:val="both"/>
        <w:rPr>
          <w:rFonts w:ascii="Palatino Linotype" w:hAnsi="Palatino Linotype"/>
          <w:spacing w:val="-10"/>
        </w:rPr>
      </w:pPr>
      <w:r w:rsidRPr="00BA6F81">
        <w:rPr>
          <w:rFonts w:ascii="Palatino Linotype" w:hAnsi="Palatino Linotype"/>
          <w:spacing w:val="-10"/>
        </w:rPr>
        <w:lastRenderedPageBreak/>
        <w:t>That same year, Freddie Mac said: “Freddie Mac recognizes the vital role housing finance agencies (HFAs) play in providing financing and programs that create housing opportunities for low to moderate income borrowers, and believes working collaboratively with HFAs is critical to advancing affordable, sustainable homeownership.”</w:t>
      </w:r>
      <w:r w:rsidRPr="00BA6F81">
        <w:rPr>
          <w:rStyle w:val="FootnoteReference"/>
          <w:rFonts w:ascii="Palatino Linotype" w:hAnsi="Palatino Linotype"/>
          <w:spacing w:val="-10"/>
        </w:rPr>
        <w:footnoteReference w:id="4"/>
      </w:r>
    </w:p>
    <w:p w14:paraId="38DF47DF" w14:textId="1AD6925A" w:rsidR="004B11E8" w:rsidRDefault="004B11E8" w:rsidP="004B11E8">
      <w:pPr>
        <w:pStyle w:val="Body"/>
        <w:spacing w:after="0" w:line="240" w:lineRule="auto"/>
        <w:ind w:firstLine="720"/>
        <w:jc w:val="both"/>
        <w:rPr>
          <w:rFonts w:ascii="Palatino Linotype" w:hAnsi="Palatino Linotype"/>
          <w:spacing w:val="-10"/>
        </w:rPr>
      </w:pPr>
    </w:p>
    <w:p w14:paraId="3398777C" w14:textId="092D962E" w:rsidR="004B11E8" w:rsidRPr="00F276DA" w:rsidRDefault="00BA6F81" w:rsidP="004B11E8">
      <w:pPr>
        <w:pStyle w:val="Body"/>
        <w:spacing w:after="0" w:line="240" w:lineRule="auto"/>
        <w:ind w:firstLine="720"/>
        <w:jc w:val="both"/>
        <w:rPr>
          <w:rFonts w:ascii="Palatino Linotype" w:hAnsi="Palatino Linotype"/>
          <w:spacing w:val="-10"/>
        </w:rPr>
      </w:pPr>
      <w:r>
        <w:rPr>
          <w:rFonts w:ascii="Palatino Linotype" w:hAnsi="Palatino Linotype"/>
          <w:spacing w:val="-10"/>
        </w:rPr>
        <w:t>Regrettably, t</w:t>
      </w:r>
      <w:r w:rsidR="004B11E8" w:rsidRPr="00F276DA">
        <w:rPr>
          <w:rFonts w:ascii="Palatino Linotype" w:hAnsi="Palatino Linotype"/>
          <w:spacing w:val="-10"/>
        </w:rPr>
        <w:t>he Enterprises placed new restrictions on their HFA single-family products in 2019 that greatly diminished the benefits suc</w:t>
      </w:r>
      <w:r>
        <w:rPr>
          <w:rFonts w:ascii="Palatino Linotype" w:hAnsi="Palatino Linotype"/>
          <w:spacing w:val="-10"/>
        </w:rPr>
        <w:t xml:space="preserve">h products offer to borrowers. </w:t>
      </w:r>
      <w:r w:rsidR="004B11E8" w:rsidRPr="00F276DA">
        <w:rPr>
          <w:rFonts w:ascii="Palatino Linotype" w:hAnsi="Palatino Linotype"/>
          <w:spacing w:val="-10"/>
        </w:rPr>
        <w:t>Recently, the Enterprises have prohibited homeowners who received a mortgage via a risk-sharing program, including an HFA risk-sharing program, from using the COVID-19 loss mitigation waterfall.</w:t>
      </w:r>
      <w:r>
        <w:rPr>
          <w:rFonts w:ascii="Palatino Linotype" w:hAnsi="Palatino Linotype"/>
          <w:spacing w:val="-10"/>
        </w:rPr>
        <w:t xml:space="preserve"> The Enterprises have told NCSHA that they made these and other similar moves</w:t>
      </w:r>
      <w:r w:rsidR="004B11E8" w:rsidRPr="00F276DA">
        <w:rPr>
          <w:rFonts w:ascii="Palatino Linotype" w:hAnsi="Palatino Linotype"/>
          <w:spacing w:val="-10"/>
        </w:rPr>
        <w:t xml:space="preserve"> </w:t>
      </w:r>
      <w:r>
        <w:rPr>
          <w:rFonts w:ascii="Palatino Linotype" w:hAnsi="Palatino Linotype"/>
          <w:spacing w:val="-10"/>
        </w:rPr>
        <w:t>in order to reflect FHFA’s expectations and requirements.</w:t>
      </w:r>
    </w:p>
    <w:p w14:paraId="7B2C9E6B" w14:textId="77777777" w:rsidR="004B11E8" w:rsidRPr="00F276DA" w:rsidRDefault="004B11E8" w:rsidP="004B11E8">
      <w:pPr>
        <w:pStyle w:val="Body"/>
        <w:spacing w:after="0" w:line="240" w:lineRule="auto"/>
        <w:ind w:firstLine="720"/>
        <w:jc w:val="both"/>
        <w:rPr>
          <w:rFonts w:ascii="Palatino Linotype" w:hAnsi="Palatino Linotype"/>
          <w:spacing w:val="-10"/>
        </w:rPr>
      </w:pPr>
    </w:p>
    <w:p w14:paraId="48208E88" w14:textId="5CEB8D29" w:rsidR="006F616A" w:rsidRDefault="006F616A" w:rsidP="006F616A">
      <w:pPr>
        <w:pStyle w:val="Body"/>
        <w:spacing w:after="0" w:line="240" w:lineRule="auto"/>
        <w:ind w:firstLine="720"/>
        <w:jc w:val="both"/>
        <w:rPr>
          <w:rFonts w:ascii="Palatino Linotype" w:hAnsi="Palatino Linotype"/>
          <w:spacing w:val="-10"/>
        </w:rPr>
      </w:pPr>
      <w:r>
        <w:rPr>
          <w:rFonts w:ascii="Palatino Linotype" w:hAnsi="Palatino Linotype"/>
          <w:spacing w:val="-10"/>
        </w:rPr>
        <w:t>As the Enterprises’ own comments on the rules make clear, the Framework</w:t>
      </w:r>
      <w:r w:rsidRPr="00F276DA">
        <w:rPr>
          <w:rFonts w:ascii="Palatino Linotype" w:hAnsi="Palatino Linotype"/>
          <w:spacing w:val="-10"/>
        </w:rPr>
        <w:t xml:space="preserve"> will increase borrowing costs for first-time and low- to moderate-income (LMI) homebuyers and sponsors of affordable</w:t>
      </w:r>
      <w:r>
        <w:rPr>
          <w:rFonts w:ascii="Palatino Linotype" w:hAnsi="Palatino Linotype"/>
          <w:spacing w:val="-10"/>
        </w:rPr>
        <w:t xml:space="preserve"> multifamily rental properties. The</w:t>
      </w:r>
      <w:r w:rsidRPr="00F276DA">
        <w:rPr>
          <w:rFonts w:ascii="Palatino Linotype" w:hAnsi="Palatino Linotype"/>
          <w:spacing w:val="-10"/>
        </w:rPr>
        <w:t xml:space="preserve"> Framework will further impair and reduce the Enterprises’ support for affordable homeownership and rental finance even further</w:t>
      </w:r>
      <w:r w:rsidR="006F77BB">
        <w:rPr>
          <w:rFonts w:ascii="Palatino Linotype" w:hAnsi="Palatino Linotype"/>
          <w:spacing w:val="-10"/>
        </w:rPr>
        <w:t xml:space="preserve"> than their recent moves described above</w:t>
      </w:r>
      <w:r w:rsidRPr="00F276DA">
        <w:rPr>
          <w:rFonts w:ascii="Palatino Linotype" w:hAnsi="Palatino Linotype"/>
          <w:spacing w:val="-10"/>
        </w:rPr>
        <w:t xml:space="preserve">, setting back our mutual affordable housing objectives.  </w:t>
      </w:r>
    </w:p>
    <w:p w14:paraId="79C66EEC" w14:textId="77777777" w:rsidR="004B11E8" w:rsidRDefault="004B11E8" w:rsidP="004B11E8">
      <w:pPr>
        <w:pStyle w:val="Body"/>
        <w:spacing w:after="0" w:line="240" w:lineRule="auto"/>
        <w:ind w:firstLine="720"/>
        <w:jc w:val="both"/>
        <w:rPr>
          <w:rFonts w:ascii="Palatino Linotype" w:hAnsi="Palatino Linotype"/>
          <w:spacing w:val="-10"/>
        </w:rPr>
      </w:pPr>
    </w:p>
    <w:p w14:paraId="566B27B6" w14:textId="77777777" w:rsidR="006F616A" w:rsidRDefault="006F616A" w:rsidP="00A53313">
      <w:pPr>
        <w:pStyle w:val="Body"/>
        <w:spacing w:after="0" w:line="240" w:lineRule="auto"/>
        <w:jc w:val="center"/>
        <w:rPr>
          <w:rFonts w:ascii="Palatino Linotype" w:hAnsi="Palatino Linotype"/>
          <w:b/>
          <w:bCs/>
          <w:spacing w:val="-10"/>
        </w:rPr>
      </w:pPr>
    </w:p>
    <w:p w14:paraId="3D3AE5DD" w14:textId="713D441E" w:rsidR="00127133" w:rsidRPr="00F276DA" w:rsidRDefault="005C4CB0" w:rsidP="00A53313">
      <w:pPr>
        <w:pStyle w:val="Body"/>
        <w:spacing w:after="0" w:line="240" w:lineRule="auto"/>
        <w:jc w:val="center"/>
        <w:rPr>
          <w:rFonts w:ascii="Palatino Linotype" w:hAnsi="Palatino Linotype"/>
          <w:b/>
          <w:bCs/>
          <w:spacing w:val="-10"/>
        </w:rPr>
      </w:pPr>
      <w:r w:rsidRPr="00F276DA">
        <w:rPr>
          <w:rFonts w:ascii="Palatino Linotype" w:hAnsi="Palatino Linotype"/>
          <w:b/>
          <w:bCs/>
          <w:spacing w:val="-10"/>
        </w:rPr>
        <w:t>Summary</w:t>
      </w:r>
      <w:r w:rsidR="008B206E">
        <w:rPr>
          <w:rFonts w:ascii="Palatino Linotype" w:hAnsi="Palatino Linotype"/>
          <w:b/>
          <w:bCs/>
          <w:spacing w:val="-10"/>
        </w:rPr>
        <w:t xml:space="preserve"> of NCSHA’s Comments on the Proposed Framework</w:t>
      </w:r>
    </w:p>
    <w:p w14:paraId="480DB1EC" w14:textId="77777777" w:rsidR="005D56FC" w:rsidRPr="00F276DA" w:rsidRDefault="005D56FC" w:rsidP="005D56FC">
      <w:pPr>
        <w:pStyle w:val="Body"/>
        <w:spacing w:after="0" w:line="240" w:lineRule="auto"/>
        <w:ind w:firstLine="720"/>
        <w:jc w:val="both"/>
        <w:rPr>
          <w:rFonts w:ascii="Palatino Linotype" w:hAnsi="Palatino Linotype"/>
          <w:spacing w:val="-10"/>
        </w:rPr>
      </w:pPr>
    </w:p>
    <w:p w14:paraId="678EF8EB" w14:textId="72F03259" w:rsidR="00DE753A" w:rsidRDefault="00BB1A6D" w:rsidP="00BB1A6D">
      <w:pPr>
        <w:pStyle w:val="Body"/>
        <w:spacing w:after="0" w:line="240" w:lineRule="auto"/>
        <w:jc w:val="both"/>
        <w:rPr>
          <w:rFonts w:ascii="Palatino Linotype" w:hAnsi="Palatino Linotype"/>
          <w:bCs/>
          <w:spacing w:val="-10"/>
        </w:rPr>
      </w:pPr>
      <w:r w:rsidRPr="00970995">
        <w:rPr>
          <w:rFonts w:ascii="Palatino Linotype" w:hAnsi="Palatino Linotype"/>
          <w:bCs/>
          <w:spacing w:val="-10"/>
        </w:rPr>
        <w:tab/>
      </w:r>
      <w:r w:rsidR="00DE753A">
        <w:rPr>
          <w:rFonts w:ascii="Palatino Linotype" w:hAnsi="Palatino Linotype"/>
          <w:bCs/>
          <w:spacing w:val="-10"/>
        </w:rPr>
        <w:t xml:space="preserve">Again, as stated above, </w:t>
      </w:r>
      <w:r w:rsidR="00644E91" w:rsidRPr="00DE753A">
        <w:rPr>
          <w:rFonts w:ascii="Palatino Linotype" w:hAnsi="Palatino Linotype"/>
          <w:bCs/>
          <w:spacing w:val="-10"/>
        </w:rPr>
        <w:t>NCSHA urges FHFA to</w:t>
      </w:r>
      <w:r w:rsidRPr="00DE753A">
        <w:rPr>
          <w:rFonts w:ascii="Palatino Linotype" w:hAnsi="Palatino Linotype"/>
          <w:bCs/>
          <w:spacing w:val="-10"/>
        </w:rPr>
        <w:t xml:space="preserve"> rescind the proposed </w:t>
      </w:r>
      <w:r w:rsidR="00DE753A">
        <w:rPr>
          <w:rFonts w:ascii="Palatino Linotype" w:hAnsi="Palatino Linotype"/>
          <w:bCs/>
          <w:spacing w:val="-10"/>
        </w:rPr>
        <w:t xml:space="preserve">Framework </w:t>
      </w:r>
      <w:r w:rsidRPr="00DE753A">
        <w:rPr>
          <w:rFonts w:ascii="Palatino Linotype" w:hAnsi="Palatino Linotype"/>
          <w:bCs/>
          <w:spacing w:val="-10"/>
        </w:rPr>
        <w:t xml:space="preserve">and </w:t>
      </w:r>
      <w:r w:rsidR="00DE753A">
        <w:rPr>
          <w:rFonts w:ascii="Palatino Linotype" w:hAnsi="Palatino Linotype"/>
          <w:bCs/>
          <w:spacing w:val="-10"/>
        </w:rPr>
        <w:t xml:space="preserve">develop </w:t>
      </w:r>
      <w:r w:rsidRPr="00DE753A">
        <w:rPr>
          <w:rFonts w:ascii="Palatino Linotype" w:hAnsi="Palatino Linotype"/>
          <w:bCs/>
          <w:spacing w:val="-10"/>
        </w:rPr>
        <w:t xml:space="preserve">new standards </w:t>
      </w:r>
      <w:r w:rsidR="00DE753A">
        <w:rPr>
          <w:rFonts w:ascii="Palatino Linotype" w:hAnsi="Palatino Linotype"/>
          <w:bCs/>
          <w:spacing w:val="-10"/>
        </w:rPr>
        <w:t xml:space="preserve">that incorporate both </w:t>
      </w:r>
      <w:r w:rsidRPr="00DE753A">
        <w:rPr>
          <w:rFonts w:ascii="Palatino Linotype" w:hAnsi="Palatino Linotype"/>
          <w:bCs/>
          <w:spacing w:val="-10"/>
        </w:rPr>
        <w:t>the Enterprises</w:t>
      </w:r>
      <w:r w:rsidRPr="00DE753A">
        <w:rPr>
          <w:rFonts w:ascii="Palatino Linotype" w:hAnsi="Palatino Linotype"/>
          <w:bCs/>
          <w:spacing w:val="-10"/>
          <w:rtl/>
        </w:rPr>
        <w:t>’</w:t>
      </w:r>
      <w:r w:rsidRPr="00DE753A">
        <w:rPr>
          <w:rFonts w:ascii="Palatino Linotype" w:hAnsi="Palatino Linotype"/>
          <w:bCs/>
          <w:spacing w:val="-10"/>
        </w:rPr>
        <w:t xml:space="preserve"> obligation to facilitate liquidity</w:t>
      </w:r>
      <w:r w:rsidR="00DE753A">
        <w:rPr>
          <w:rFonts w:ascii="Palatino Linotype" w:hAnsi="Palatino Linotype"/>
          <w:bCs/>
          <w:spacing w:val="-10"/>
        </w:rPr>
        <w:t xml:space="preserve"> and their responsibility to support affordable housing.  As part of this effort, FHFA should make public any relevant research </w:t>
      </w:r>
      <w:r w:rsidRPr="00DE753A">
        <w:rPr>
          <w:rFonts w:ascii="Palatino Linotype" w:hAnsi="Palatino Linotype"/>
          <w:bCs/>
          <w:spacing w:val="-10"/>
        </w:rPr>
        <w:t>it or the Enterprises have conducted on how the capital standards will impact the Enterprises’</w:t>
      </w:r>
      <w:r w:rsidR="00DE753A">
        <w:rPr>
          <w:rFonts w:ascii="Palatino Linotype" w:hAnsi="Palatino Linotype"/>
          <w:bCs/>
          <w:spacing w:val="-10"/>
        </w:rPr>
        <w:t xml:space="preserve"> affordable housing mission and activities.</w:t>
      </w:r>
    </w:p>
    <w:p w14:paraId="113CE3A8" w14:textId="1ED96B6F" w:rsidR="00BB1A6D" w:rsidRPr="00F276DA" w:rsidRDefault="00BB1A6D" w:rsidP="00A53313">
      <w:pPr>
        <w:pStyle w:val="Body"/>
        <w:spacing w:after="0" w:line="240" w:lineRule="auto"/>
        <w:ind w:firstLine="720"/>
        <w:jc w:val="both"/>
        <w:rPr>
          <w:rFonts w:ascii="Palatino Linotype" w:hAnsi="Palatino Linotype"/>
          <w:spacing w:val="-10"/>
        </w:rPr>
      </w:pPr>
    </w:p>
    <w:p w14:paraId="2B00FCEB" w14:textId="09CD72D9" w:rsidR="00BB1A6D" w:rsidRPr="00F276DA" w:rsidRDefault="00644E91" w:rsidP="00BB1A6D">
      <w:pPr>
        <w:pStyle w:val="Body"/>
        <w:spacing w:after="0" w:line="240" w:lineRule="auto"/>
        <w:ind w:firstLine="720"/>
        <w:jc w:val="both"/>
        <w:rPr>
          <w:rFonts w:ascii="Palatino Linotype" w:hAnsi="Palatino Linotype"/>
          <w:bCs/>
          <w:spacing w:val="-10"/>
        </w:rPr>
      </w:pPr>
      <w:r>
        <w:rPr>
          <w:rFonts w:ascii="Palatino Linotype" w:hAnsi="Palatino Linotype"/>
          <w:bCs/>
          <w:spacing w:val="-10"/>
        </w:rPr>
        <w:t>FHFA should</w:t>
      </w:r>
      <w:r w:rsidR="00BB1A6D" w:rsidRPr="00F276DA">
        <w:rPr>
          <w:rFonts w:ascii="Palatino Linotype" w:hAnsi="Palatino Linotype"/>
          <w:bCs/>
          <w:spacing w:val="-10"/>
        </w:rPr>
        <w:t xml:space="preserve"> provide ranges and estimates of the impact on the cost of single-family and multifamily finance so market participants may better understand the impact of the p</w:t>
      </w:r>
      <w:r>
        <w:rPr>
          <w:rFonts w:ascii="Palatino Linotype" w:hAnsi="Palatino Linotype"/>
          <w:bCs/>
          <w:spacing w:val="-10"/>
        </w:rPr>
        <w:t>roposed Framework.  FHFA also should</w:t>
      </w:r>
      <w:r w:rsidR="00BB1A6D" w:rsidRPr="00F276DA">
        <w:rPr>
          <w:rFonts w:ascii="Palatino Linotype" w:hAnsi="Palatino Linotype"/>
          <w:bCs/>
          <w:spacing w:val="-10"/>
        </w:rPr>
        <w:t xml:space="preserve"> disclose what the impact on access to capital will be,  including how many people would have been disqualified from becoming homeowners since 2008 if the proposed Framework had been in place since then, as well as how many affordable multifamily transactions would not have closed and affordable rental units would not have been built or rehabbed.  </w:t>
      </w:r>
    </w:p>
    <w:p w14:paraId="31CEC1D1" w14:textId="6F54A63C" w:rsidR="00BB1A6D" w:rsidRPr="00F276DA" w:rsidRDefault="00BB1A6D" w:rsidP="00A53313">
      <w:pPr>
        <w:pStyle w:val="Body"/>
        <w:spacing w:after="0" w:line="240" w:lineRule="auto"/>
        <w:ind w:firstLine="720"/>
        <w:jc w:val="both"/>
        <w:rPr>
          <w:rFonts w:ascii="Palatino Linotype" w:hAnsi="Palatino Linotype"/>
          <w:spacing w:val="-10"/>
        </w:rPr>
      </w:pPr>
    </w:p>
    <w:p w14:paraId="51A2DF8A" w14:textId="29999512" w:rsidR="00CF062F" w:rsidRDefault="00970995" w:rsidP="00BB1A6D">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t xml:space="preserve">FHFA </w:t>
      </w:r>
      <w:r>
        <w:rPr>
          <w:rFonts w:ascii="Palatino Linotype" w:hAnsi="Palatino Linotype"/>
          <w:spacing w:val="-10"/>
        </w:rPr>
        <w:t>should</w:t>
      </w:r>
      <w:r w:rsidRPr="00F276DA">
        <w:rPr>
          <w:rFonts w:ascii="Palatino Linotype" w:hAnsi="Palatino Linotype"/>
          <w:spacing w:val="-10"/>
        </w:rPr>
        <w:t xml:space="preserve"> </w:t>
      </w:r>
      <w:r>
        <w:rPr>
          <w:rFonts w:ascii="Palatino Linotype" w:hAnsi="Palatino Linotype"/>
          <w:spacing w:val="-10"/>
        </w:rPr>
        <w:t>revise the Framework to:</w:t>
      </w:r>
      <w:r w:rsidR="00CF062F">
        <w:rPr>
          <w:rFonts w:ascii="Palatino Linotype" w:hAnsi="Palatino Linotype"/>
          <w:spacing w:val="-10"/>
        </w:rPr>
        <w:t xml:space="preserve"> </w:t>
      </w:r>
    </w:p>
    <w:p w14:paraId="32E7E3D7" w14:textId="77777777" w:rsidR="00CF062F" w:rsidRDefault="00CF062F" w:rsidP="00BB1A6D">
      <w:pPr>
        <w:pStyle w:val="Body"/>
        <w:spacing w:after="0" w:line="240" w:lineRule="auto"/>
        <w:ind w:firstLine="720"/>
        <w:jc w:val="both"/>
        <w:rPr>
          <w:rFonts w:ascii="Palatino Linotype" w:hAnsi="Palatino Linotype"/>
          <w:spacing w:val="-10"/>
        </w:rPr>
      </w:pPr>
    </w:p>
    <w:p w14:paraId="529A2040" w14:textId="77777777" w:rsidR="00CF062F" w:rsidRPr="00CF062F" w:rsidRDefault="00CF062F" w:rsidP="00CF062F">
      <w:pPr>
        <w:pStyle w:val="Body"/>
        <w:numPr>
          <w:ilvl w:val="0"/>
          <w:numId w:val="6"/>
        </w:numPr>
        <w:spacing w:after="0" w:line="240" w:lineRule="auto"/>
        <w:jc w:val="both"/>
        <w:rPr>
          <w:rFonts w:ascii="Palatino Linotype" w:hAnsi="Palatino Linotype"/>
          <w:spacing w:val="-10"/>
        </w:rPr>
      </w:pPr>
      <w:r>
        <w:rPr>
          <w:rFonts w:ascii="Palatino Linotype" w:hAnsi="Palatino Linotype"/>
          <w:bCs/>
          <w:spacing w:val="-10"/>
        </w:rPr>
        <w:t>E</w:t>
      </w:r>
      <w:r w:rsidR="00BB1A6D" w:rsidRPr="00F276DA">
        <w:rPr>
          <w:rFonts w:ascii="Palatino Linotype" w:hAnsi="Palatino Linotype"/>
          <w:bCs/>
          <w:spacing w:val="-10"/>
        </w:rPr>
        <w:t xml:space="preserve">xempt state HFA </w:t>
      </w:r>
      <w:r w:rsidR="00970995">
        <w:rPr>
          <w:rFonts w:ascii="Palatino Linotype" w:hAnsi="Palatino Linotype"/>
          <w:bCs/>
          <w:spacing w:val="-10"/>
        </w:rPr>
        <w:t>down payment assistance (</w:t>
      </w:r>
      <w:r w:rsidR="00BB1A6D" w:rsidRPr="00F276DA">
        <w:rPr>
          <w:rFonts w:ascii="Palatino Linotype" w:hAnsi="Palatino Linotype"/>
          <w:bCs/>
          <w:spacing w:val="-10"/>
        </w:rPr>
        <w:t>DPA</w:t>
      </w:r>
      <w:r w:rsidR="00970995">
        <w:rPr>
          <w:rFonts w:ascii="Palatino Linotype" w:hAnsi="Palatino Linotype"/>
          <w:bCs/>
          <w:spacing w:val="-10"/>
        </w:rPr>
        <w:t>)</w:t>
      </w:r>
      <w:r w:rsidR="00BB1A6D" w:rsidRPr="00F276DA">
        <w:rPr>
          <w:rFonts w:ascii="Palatino Linotype" w:hAnsi="Palatino Linotype"/>
          <w:bCs/>
          <w:spacing w:val="-10"/>
        </w:rPr>
        <w:t xml:space="preserve"> programs from the higher capital requirements applied to other subordinate</w:t>
      </w:r>
      <w:r>
        <w:rPr>
          <w:rFonts w:ascii="Palatino Linotype" w:hAnsi="Palatino Linotype"/>
          <w:bCs/>
          <w:spacing w:val="-10"/>
        </w:rPr>
        <w:t xml:space="preserve"> financing; </w:t>
      </w:r>
    </w:p>
    <w:p w14:paraId="6A791AC9" w14:textId="77777777" w:rsidR="00CF062F" w:rsidRPr="00CF062F" w:rsidRDefault="00CF062F" w:rsidP="00CF062F">
      <w:pPr>
        <w:pStyle w:val="Body"/>
        <w:numPr>
          <w:ilvl w:val="0"/>
          <w:numId w:val="6"/>
        </w:numPr>
        <w:spacing w:after="0" w:line="240" w:lineRule="auto"/>
        <w:jc w:val="both"/>
        <w:rPr>
          <w:rFonts w:ascii="Palatino Linotype" w:hAnsi="Palatino Linotype"/>
          <w:spacing w:val="-10"/>
        </w:rPr>
      </w:pPr>
      <w:r>
        <w:rPr>
          <w:rFonts w:ascii="Palatino Linotype" w:hAnsi="Palatino Linotype"/>
          <w:bCs/>
          <w:spacing w:val="-10"/>
        </w:rPr>
        <w:t>E</w:t>
      </w:r>
      <w:r w:rsidR="00BB1A6D" w:rsidRPr="00F276DA">
        <w:rPr>
          <w:rFonts w:ascii="Palatino Linotype" w:hAnsi="Palatino Linotype"/>
          <w:bCs/>
          <w:spacing w:val="-10"/>
        </w:rPr>
        <w:t>xempt state HFA program loans from third-party originator risk adjustments</w:t>
      </w:r>
      <w:r>
        <w:rPr>
          <w:rFonts w:ascii="Palatino Linotype" w:hAnsi="Palatino Linotype"/>
          <w:bCs/>
          <w:spacing w:val="-10"/>
        </w:rPr>
        <w:t xml:space="preserve">; </w:t>
      </w:r>
    </w:p>
    <w:p w14:paraId="2BEEA9EC" w14:textId="77777777" w:rsidR="00CF062F" w:rsidRPr="00CF062F" w:rsidRDefault="00CF062F" w:rsidP="00CF062F">
      <w:pPr>
        <w:pStyle w:val="Body"/>
        <w:numPr>
          <w:ilvl w:val="0"/>
          <w:numId w:val="6"/>
        </w:numPr>
        <w:spacing w:after="0" w:line="240" w:lineRule="auto"/>
        <w:jc w:val="both"/>
        <w:rPr>
          <w:rFonts w:ascii="Palatino Linotype" w:hAnsi="Palatino Linotype"/>
          <w:spacing w:val="-10"/>
        </w:rPr>
      </w:pPr>
      <w:r>
        <w:rPr>
          <w:rFonts w:ascii="Palatino Linotype" w:hAnsi="Palatino Linotype"/>
          <w:bCs/>
          <w:spacing w:val="-10"/>
        </w:rPr>
        <w:t>E</w:t>
      </w:r>
      <w:r w:rsidR="00BB1A6D" w:rsidRPr="00F276DA">
        <w:rPr>
          <w:rFonts w:ascii="Palatino Linotype" w:hAnsi="Palatino Linotype"/>
          <w:bCs/>
          <w:spacing w:val="-10"/>
        </w:rPr>
        <w:t>liminate the proposed risk adjustment for loans that allow borrowers to remove their mortgage insurance after the LTV drops below 80 percent (upon a borrower’s request) or 78 percent (autom</w:t>
      </w:r>
      <w:r>
        <w:rPr>
          <w:rFonts w:ascii="Palatino Linotype" w:hAnsi="Palatino Linotype"/>
          <w:bCs/>
          <w:spacing w:val="-10"/>
        </w:rPr>
        <w:t>atically);</w:t>
      </w:r>
    </w:p>
    <w:p w14:paraId="193FC633" w14:textId="77777777" w:rsidR="00CF062F" w:rsidRPr="00CF062F" w:rsidRDefault="00CF062F" w:rsidP="00CF062F">
      <w:pPr>
        <w:pStyle w:val="Body"/>
        <w:numPr>
          <w:ilvl w:val="0"/>
          <w:numId w:val="6"/>
        </w:numPr>
        <w:spacing w:after="0" w:line="240" w:lineRule="auto"/>
        <w:jc w:val="both"/>
        <w:rPr>
          <w:rFonts w:ascii="Palatino Linotype" w:hAnsi="Palatino Linotype"/>
          <w:spacing w:val="-10"/>
        </w:rPr>
      </w:pPr>
      <w:r>
        <w:rPr>
          <w:rFonts w:ascii="Palatino Linotype" w:hAnsi="Palatino Linotype"/>
          <w:bCs/>
          <w:spacing w:val="-10"/>
        </w:rPr>
        <w:lastRenderedPageBreak/>
        <w:t>C</w:t>
      </w:r>
      <w:r w:rsidR="00BB1A6D" w:rsidRPr="00F276DA">
        <w:rPr>
          <w:rFonts w:ascii="Palatino Linotype" w:hAnsi="Palatino Linotype"/>
          <w:bCs/>
          <w:spacing w:val="-10"/>
        </w:rPr>
        <w:t>onsider ways risk adjustors can favorably take into account alternatives to credit scores for first-time and low- to moderate income homebuyers and people of color</w:t>
      </w:r>
      <w:r>
        <w:rPr>
          <w:rFonts w:ascii="Palatino Linotype" w:hAnsi="Palatino Linotype"/>
          <w:bCs/>
          <w:spacing w:val="-10"/>
        </w:rPr>
        <w:t>;</w:t>
      </w:r>
    </w:p>
    <w:p w14:paraId="34435773" w14:textId="2511D12E" w:rsidR="00CF062F" w:rsidRPr="00CF062F" w:rsidRDefault="00CF062F" w:rsidP="00CF062F">
      <w:pPr>
        <w:pStyle w:val="Body"/>
        <w:numPr>
          <w:ilvl w:val="0"/>
          <w:numId w:val="6"/>
        </w:numPr>
        <w:spacing w:after="0" w:line="240" w:lineRule="auto"/>
        <w:jc w:val="both"/>
        <w:rPr>
          <w:rFonts w:ascii="Palatino Linotype" w:hAnsi="Palatino Linotype"/>
          <w:spacing w:val="-10"/>
        </w:rPr>
      </w:pPr>
      <w:r>
        <w:rPr>
          <w:rFonts w:ascii="Palatino Linotype" w:hAnsi="Palatino Linotype"/>
          <w:bCs/>
          <w:spacing w:val="-10"/>
        </w:rPr>
        <w:t>R</w:t>
      </w:r>
      <w:r w:rsidR="00BB1A6D" w:rsidRPr="00F276DA">
        <w:rPr>
          <w:rFonts w:ascii="Palatino Linotype" w:hAnsi="Palatino Linotype"/>
          <w:bCs/>
          <w:spacing w:val="-10"/>
        </w:rPr>
        <w:t>emove the condominium risk multiplier of 1.1</w:t>
      </w:r>
      <w:r>
        <w:rPr>
          <w:rFonts w:ascii="Palatino Linotype" w:hAnsi="Palatino Linotype"/>
          <w:bCs/>
          <w:spacing w:val="-10"/>
        </w:rPr>
        <w:t xml:space="preserve">; </w:t>
      </w:r>
    </w:p>
    <w:p w14:paraId="2A813404" w14:textId="4FFCC2AA" w:rsidR="00CF062F" w:rsidRDefault="00CF062F" w:rsidP="00CF062F">
      <w:pPr>
        <w:pStyle w:val="Body"/>
        <w:numPr>
          <w:ilvl w:val="0"/>
          <w:numId w:val="6"/>
        </w:numPr>
        <w:spacing w:after="0" w:line="240" w:lineRule="auto"/>
        <w:jc w:val="both"/>
        <w:rPr>
          <w:rFonts w:ascii="Palatino Linotype" w:hAnsi="Palatino Linotype"/>
          <w:spacing w:val="-10"/>
        </w:rPr>
      </w:pPr>
      <w:r>
        <w:rPr>
          <w:rFonts w:ascii="Palatino Linotype" w:hAnsi="Palatino Linotype"/>
          <w:bCs/>
          <w:spacing w:val="-10"/>
        </w:rPr>
        <w:t>M</w:t>
      </w:r>
      <w:r w:rsidR="00BB1A6D" w:rsidRPr="00F276DA">
        <w:rPr>
          <w:rFonts w:ascii="Palatino Linotype" w:hAnsi="Palatino Linotype"/>
          <w:bCs/>
          <w:spacing w:val="-10"/>
        </w:rPr>
        <w:t>inimize penalties and introduce flexibilities into its Framework that would accommodate innovative products, such as HomeStyle and CHOICERenovation, that enable homeowners to modernize their homes</w:t>
      </w:r>
      <w:r>
        <w:rPr>
          <w:rFonts w:ascii="Palatino Linotype" w:hAnsi="Palatino Linotype"/>
          <w:bCs/>
          <w:spacing w:val="-10"/>
        </w:rPr>
        <w:t>;</w:t>
      </w:r>
      <w:r w:rsidR="005039BF">
        <w:rPr>
          <w:rFonts w:ascii="Palatino Linotype" w:hAnsi="Palatino Linotype"/>
          <w:bCs/>
          <w:spacing w:val="-10"/>
        </w:rPr>
        <w:t xml:space="preserve"> and</w:t>
      </w:r>
    </w:p>
    <w:p w14:paraId="784ECA81" w14:textId="26C0DC44" w:rsidR="00C34768" w:rsidRPr="00CF062F" w:rsidRDefault="00CF062F" w:rsidP="00CF062F">
      <w:pPr>
        <w:pStyle w:val="Body"/>
        <w:numPr>
          <w:ilvl w:val="0"/>
          <w:numId w:val="6"/>
        </w:numPr>
        <w:spacing w:after="0" w:line="240" w:lineRule="auto"/>
        <w:jc w:val="both"/>
        <w:rPr>
          <w:rFonts w:ascii="Palatino Linotype" w:hAnsi="Palatino Linotype"/>
          <w:spacing w:val="-10"/>
        </w:rPr>
      </w:pPr>
      <w:r w:rsidRPr="00CF062F">
        <w:rPr>
          <w:rFonts w:ascii="Palatino Linotype" w:hAnsi="Palatino Linotype"/>
          <w:bCs/>
          <w:spacing w:val="-10"/>
        </w:rPr>
        <w:t>D</w:t>
      </w:r>
      <w:r w:rsidR="00DA40F4" w:rsidRPr="00CF062F">
        <w:rPr>
          <w:rFonts w:ascii="Palatino Linotype" w:hAnsi="Palatino Linotype"/>
          <w:bCs/>
          <w:spacing w:val="-10"/>
        </w:rPr>
        <w:t xml:space="preserve">evelop risk adjusters that properly differentiate the true risks affordable mortgage loans originated through state HFA programs pose and the myriad ways they manage and oversee their loan performance and third-party lender partners.  </w:t>
      </w:r>
    </w:p>
    <w:p w14:paraId="4FCEE72E" w14:textId="77777777" w:rsidR="00CF062F" w:rsidRPr="00CF062F" w:rsidRDefault="00CF062F" w:rsidP="00CF062F">
      <w:pPr>
        <w:pStyle w:val="Body"/>
        <w:spacing w:after="0" w:line="240" w:lineRule="auto"/>
        <w:ind w:left="1440"/>
        <w:jc w:val="both"/>
        <w:rPr>
          <w:rFonts w:ascii="Palatino Linotype" w:hAnsi="Palatino Linotype"/>
          <w:spacing w:val="-10"/>
        </w:rPr>
      </w:pPr>
    </w:p>
    <w:p w14:paraId="5F5BE3C0" w14:textId="2C677495" w:rsidR="00C34768" w:rsidRPr="00F276DA" w:rsidRDefault="00C34768" w:rsidP="00C34768">
      <w:pPr>
        <w:pStyle w:val="Body"/>
        <w:spacing w:after="0" w:line="240" w:lineRule="auto"/>
        <w:ind w:firstLine="720"/>
        <w:jc w:val="both"/>
        <w:rPr>
          <w:rFonts w:ascii="Palatino Linotype" w:hAnsi="Palatino Linotype"/>
          <w:spacing w:val="-10"/>
        </w:rPr>
      </w:pPr>
      <w:r w:rsidRPr="00F276DA">
        <w:rPr>
          <w:rFonts w:ascii="Palatino Linotype" w:hAnsi="Palatino Linotype"/>
          <w:bCs/>
          <w:spacing w:val="-10"/>
        </w:rPr>
        <w:t>FHFA</w:t>
      </w:r>
      <w:r w:rsidR="00CF062F">
        <w:rPr>
          <w:rFonts w:ascii="Palatino Linotype" w:hAnsi="Palatino Linotype"/>
          <w:bCs/>
          <w:spacing w:val="-10"/>
        </w:rPr>
        <w:t xml:space="preserve"> should</w:t>
      </w:r>
      <w:r w:rsidRPr="00F276DA">
        <w:rPr>
          <w:rFonts w:ascii="Palatino Linotype" w:hAnsi="Palatino Linotype"/>
          <w:bCs/>
          <w:spacing w:val="-10"/>
        </w:rPr>
        <w:t xml:space="preserve"> update its capital needs modeling to more accurately reflect current loan product types and exclude deferred tax asset losses. </w:t>
      </w:r>
    </w:p>
    <w:p w14:paraId="5C49D12E" w14:textId="0FA7CBD3" w:rsidR="00BB1A6D" w:rsidRPr="00F276DA" w:rsidRDefault="00BB1A6D" w:rsidP="00BB1A6D">
      <w:pPr>
        <w:pStyle w:val="Body"/>
        <w:spacing w:after="0" w:line="240" w:lineRule="auto"/>
        <w:ind w:firstLine="720"/>
        <w:jc w:val="both"/>
        <w:rPr>
          <w:rFonts w:ascii="Palatino Linotype" w:hAnsi="Palatino Linotype"/>
          <w:bCs/>
          <w:spacing w:val="-10"/>
        </w:rPr>
      </w:pPr>
    </w:p>
    <w:p w14:paraId="63DCA83B" w14:textId="52C11D01" w:rsidR="00C34768" w:rsidRPr="00F276DA" w:rsidRDefault="00C34768" w:rsidP="00C34768">
      <w:pPr>
        <w:ind w:firstLine="720"/>
        <w:jc w:val="both"/>
        <w:rPr>
          <w:rFonts w:ascii="Palatino Linotype" w:hAnsi="Palatino Linotype" w:cs="Calibri"/>
          <w:bCs/>
          <w:spacing w:val="-10"/>
          <w:sz w:val="22"/>
          <w:szCs w:val="22"/>
        </w:rPr>
      </w:pPr>
      <w:r w:rsidRPr="00F276DA">
        <w:rPr>
          <w:rFonts w:ascii="Palatino Linotype" w:hAnsi="Palatino Linotype" w:cs="Calibri"/>
          <w:bCs/>
          <w:spacing w:val="-10"/>
          <w:sz w:val="22"/>
          <w:szCs w:val="22"/>
        </w:rPr>
        <w:t xml:space="preserve">FHFA </w:t>
      </w:r>
      <w:r w:rsidR="00CF062F">
        <w:rPr>
          <w:rFonts w:ascii="Palatino Linotype" w:hAnsi="Palatino Linotype" w:cs="Calibri"/>
          <w:bCs/>
          <w:spacing w:val="-10"/>
          <w:sz w:val="22"/>
          <w:szCs w:val="22"/>
        </w:rPr>
        <w:t xml:space="preserve">should </w:t>
      </w:r>
      <w:r w:rsidRPr="00F276DA">
        <w:rPr>
          <w:rFonts w:ascii="Palatino Linotype" w:hAnsi="Palatino Linotype" w:cs="Calibri"/>
          <w:bCs/>
          <w:spacing w:val="-10"/>
          <w:sz w:val="22"/>
          <w:szCs w:val="22"/>
        </w:rPr>
        <w:t xml:space="preserve">lower the risk adjustments for affordable rental properties that use additional subsidies, supplemental tenant services, Housing Credit- and tax-exempt bond-financing, property tax abatement, energy retrofits, or income diversification.  </w:t>
      </w:r>
    </w:p>
    <w:p w14:paraId="30298F99" w14:textId="6BE09761" w:rsidR="00C34768" w:rsidRPr="00F276DA" w:rsidRDefault="00C34768" w:rsidP="00C34768">
      <w:pPr>
        <w:ind w:firstLine="720"/>
        <w:jc w:val="both"/>
        <w:rPr>
          <w:rFonts w:ascii="Palatino Linotype" w:hAnsi="Palatino Linotype" w:cs="Calibri"/>
          <w:bCs/>
          <w:spacing w:val="-10"/>
          <w:sz w:val="22"/>
          <w:szCs w:val="22"/>
        </w:rPr>
      </w:pPr>
    </w:p>
    <w:p w14:paraId="57EE6FD5" w14:textId="24FCC290" w:rsidR="00C34768" w:rsidRPr="00F276DA" w:rsidRDefault="00CF062F" w:rsidP="00C34768">
      <w:pPr>
        <w:pStyle w:val="Body"/>
        <w:spacing w:after="0" w:line="240" w:lineRule="auto"/>
        <w:ind w:firstLine="720"/>
        <w:jc w:val="both"/>
        <w:rPr>
          <w:rFonts w:ascii="Palatino Linotype" w:hAnsi="Palatino Linotype"/>
          <w:spacing w:val="-10"/>
        </w:rPr>
      </w:pPr>
      <w:r>
        <w:rPr>
          <w:rFonts w:ascii="Palatino Linotype" w:hAnsi="Palatino Linotype"/>
          <w:spacing w:val="-10"/>
        </w:rPr>
        <w:t>FHFA should</w:t>
      </w:r>
      <w:r w:rsidR="00C34768" w:rsidRPr="00F276DA">
        <w:rPr>
          <w:rFonts w:ascii="Palatino Linotype" w:hAnsi="Palatino Linotype"/>
          <w:spacing w:val="-10"/>
        </w:rPr>
        <w:t xml:space="preserve"> re-examine the risk weighting for small multifamily loans – perhaps in conjunction with any of the above-mentioned characteristics common to affordable rental properties – so as to more accurately reflect the risks posed by affordable small multifamily properties.</w:t>
      </w:r>
    </w:p>
    <w:p w14:paraId="221C4E44" w14:textId="77777777" w:rsidR="00C34768" w:rsidRPr="00F276DA" w:rsidRDefault="00C34768" w:rsidP="00C34768">
      <w:pPr>
        <w:ind w:firstLine="720"/>
        <w:jc w:val="both"/>
        <w:rPr>
          <w:rFonts w:ascii="Palatino Linotype" w:hAnsi="Palatino Linotype"/>
          <w:spacing w:val="-10"/>
          <w:sz w:val="22"/>
          <w:szCs w:val="22"/>
        </w:rPr>
      </w:pPr>
    </w:p>
    <w:p w14:paraId="42F57FBE" w14:textId="6042CDDC" w:rsidR="0033591D" w:rsidRPr="00F276DA" w:rsidRDefault="0033591D" w:rsidP="0033591D">
      <w:pPr>
        <w:pStyle w:val="Body"/>
        <w:spacing w:after="0" w:line="240" w:lineRule="auto"/>
        <w:ind w:firstLine="720"/>
        <w:jc w:val="both"/>
        <w:rPr>
          <w:rFonts w:ascii="Palatino Linotype" w:hAnsi="Palatino Linotype"/>
          <w:spacing w:val="-10"/>
        </w:rPr>
      </w:pPr>
      <w:r w:rsidRPr="00F276DA">
        <w:rPr>
          <w:rFonts w:ascii="Palatino Linotype" w:hAnsi="Palatino Linotype"/>
          <w:bCs/>
          <w:spacing w:val="-10"/>
        </w:rPr>
        <w:t>FHFA</w:t>
      </w:r>
      <w:r w:rsidR="00CF062F">
        <w:rPr>
          <w:rFonts w:ascii="Palatino Linotype" w:hAnsi="Palatino Linotype"/>
          <w:bCs/>
          <w:spacing w:val="-10"/>
        </w:rPr>
        <w:t xml:space="preserve"> should</w:t>
      </w:r>
      <w:r w:rsidRPr="00F276DA">
        <w:rPr>
          <w:rFonts w:ascii="Palatino Linotype" w:hAnsi="Palatino Linotype"/>
          <w:bCs/>
          <w:spacing w:val="-10"/>
        </w:rPr>
        <w:t xml:space="preserve"> make its final Framework flexible enough to adapt to an evolving market where new ideas are likely to emerge and should be valued and encouraged.  </w:t>
      </w:r>
    </w:p>
    <w:p w14:paraId="79DC5EEF" w14:textId="722F9E1A" w:rsidR="00BB1A6D" w:rsidRPr="00F276DA" w:rsidRDefault="00BB1A6D" w:rsidP="00BB1A6D">
      <w:pPr>
        <w:pStyle w:val="Body"/>
        <w:spacing w:after="0" w:line="240" w:lineRule="auto"/>
        <w:ind w:firstLine="720"/>
        <w:jc w:val="both"/>
        <w:rPr>
          <w:rFonts w:ascii="Palatino Linotype" w:hAnsi="Palatino Linotype"/>
          <w:bCs/>
          <w:spacing w:val="-10"/>
        </w:rPr>
      </w:pPr>
    </w:p>
    <w:p w14:paraId="1D7A373F" w14:textId="63EAC35D" w:rsidR="00BB1A6D" w:rsidRPr="00F276DA" w:rsidRDefault="00BB1A6D" w:rsidP="00A53313">
      <w:pPr>
        <w:pStyle w:val="Body"/>
        <w:spacing w:after="0" w:line="240" w:lineRule="auto"/>
        <w:ind w:firstLine="720"/>
        <w:jc w:val="both"/>
        <w:rPr>
          <w:rFonts w:ascii="Palatino Linotype" w:hAnsi="Palatino Linotype"/>
          <w:spacing w:val="-10"/>
        </w:rPr>
      </w:pPr>
    </w:p>
    <w:bookmarkEnd w:id="0"/>
    <w:p w14:paraId="2254A559" w14:textId="496FF05C" w:rsidR="00A53313" w:rsidRPr="00F276DA" w:rsidRDefault="00644E91" w:rsidP="00A53313">
      <w:pPr>
        <w:pStyle w:val="Body"/>
        <w:spacing w:after="0" w:line="240" w:lineRule="auto"/>
        <w:jc w:val="center"/>
        <w:rPr>
          <w:rFonts w:ascii="Palatino Linotype" w:hAnsi="Palatino Linotype"/>
          <w:b/>
          <w:bCs/>
          <w:spacing w:val="-10"/>
        </w:rPr>
      </w:pPr>
      <w:r>
        <w:rPr>
          <w:rFonts w:ascii="Palatino Linotype" w:hAnsi="Palatino Linotype"/>
          <w:b/>
          <w:bCs/>
          <w:spacing w:val="-10"/>
        </w:rPr>
        <w:t xml:space="preserve">NCSHA’s Detailed Comments on </w:t>
      </w:r>
      <w:r w:rsidR="00A53313" w:rsidRPr="00F276DA">
        <w:rPr>
          <w:rFonts w:ascii="Palatino Linotype" w:hAnsi="Palatino Linotype"/>
          <w:b/>
          <w:bCs/>
          <w:spacing w:val="-10"/>
        </w:rPr>
        <w:t>the Proposed Framework</w:t>
      </w:r>
    </w:p>
    <w:p w14:paraId="7B270706" w14:textId="77777777" w:rsidR="00903565" w:rsidRPr="00F276DA" w:rsidRDefault="00903565" w:rsidP="00903565">
      <w:pPr>
        <w:pStyle w:val="Body"/>
        <w:spacing w:after="0" w:line="240" w:lineRule="auto"/>
        <w:ind w:firstLine="720"/>
        <w:jc w:val="both"/>
        <w:rPr>
          <w:rFonts w:ascii="Palatino Linotype" w:hAnsi="Palatino Linotype"/>
          <w:b/>
          <w:bCs/>
          <w:spacing w:val="-10"/>
          <w:shd w:val="clear" w:color="auto" w:fill="00FF00"/>
        </w:rPr>
      </w:pPr>
    </w:p>
    <w:p w14:paraId="54C26605" w14:textId="4406EBF2" w:rsidR="00903565" w:rsidRPr="00F276DA" w:rsidRDefault="00EE0EF6" w:rsidP="008A2654">
      <w:pPr>
        <w:pStyle w:val="Body"/>
        <w:numPr>
          <w:ilvl w:val="0"/>
          <w:numId w:val="5"/>
        </w:numPr>
        <w:spacing w:after="0" w:line="240" w:lineRule="auto"/>
        <w:ind w:left="360"/>
        <w:rPr>
          <w:rFonts w:ascii="Palatino Linotype" w:hAnsi="Palatino Linotype"/>
          <w:b/>
          <w:bCs/>
          <w:spacing w:val="-10"/>
        </w:rPr>
      </w:pPr>
      <w:r w:rsidRPr="00F276DA">
        <w:rPr>
          <w:rFonts w:ascii="Palatino Linotype" w:hAnsi="Palatino Linotype"/>
          <w:b/>
          <w:bCs/>
          <w:spacing w:val="-10"/>
        </w:rPr>
        <w:t xml:space="preserve">The Framework disregards the Enterprises’ </w:t>
      </w:r>
      <w:r w:rsidR="00644E91">
        <w:rPr>
          <w:rFonts w:ascii="Palatino Linotype" w:hAnsi="Palatino Linotype"/>
          <w:b/>
          <w:bCs/>
          <w:spacing w:val="-10"/>
        </w:rPr>
        <w:t xml:space="preserve">statutory LMI </w:t>
      </w:r>
      <w:r w:rsidRPr="00F276DA">
        <w:rPr>
          <w:rFonts w:ascii="Palatino Linotype" w:hAnsi="Palatino Linotype"/>
          <w:b/>
          <w:bCs/>
          <w:spacing w:val="-10"/>
        </w:rPr>
        <w:t>housing mandate.</w:t>
      </w:r>
    </w:p>
    <w:p w14:paraId="0F74F239" w14:textId="77777777" w:rsidR="008A2654" w:rsidRPr="00F276DA" w:rsidRDefault="008A2654" w:rsidP="00A53313">
      <w:pPr>
        <w:pStyle w:val="Body"/>
        <w:spacing w:after="0" w:line="240" w:lineRule="auto"/>
        <w:ind w:firstLine="720"/>
        <w:jc w:val="both"/>
        <w:rPr>
          <w:rFonts w:ascii="Palatino Linotype" w:hAnsi="Palatino Linotype"/>
          <w:spacing w:val="-10"/>
        </w:rPr>
      </w:pPr>
    </w:p>
    <w:p w14:paraId="475BAC42" w14:textId="2EC67B4D" w:rsidR="00127133" w:rsidRPr="00F276DA" w:rsidRDefault="005C4CB0" w:rsidP="00A53313">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t xml:space="preserve">FHFA argues in the Framework that the proposed capital standards will ensure that each Enterprise will </w:t>
      </w:r>
      <w:r w:rsidRPr="00F276DA">
        <w:rPr>
          <w:rFonts w:ascii="Palatino Linotype" w:hAnsi="Palatino Linotype"/>
          <w:spacing w:val="-10"/>
          <w:rtl/>
          <w:lang w:val="ar-SA"/>
        </w:rPr>
        <w:t>“</w:t>
      </w:r>
      <w:r w:rsidRPr="00F276DA">
        <w:rPr>
          <w:rFonts w:ascii="Palatino Linotype" w:hAnsi="Palatino Linotype"/>
          <w:spacing w:val="-10"/>
        </w:rPr>
        <w:t xml:space="preserve">fulfill its statutory mission to provide stability and ongoing assistance to the secondary mortgage market across the economic cycle.” It is true that both Fannie Mae and Freddie Mac have a statutorily obligated duty, laid out clearly in each of their charters, to </w:t>
      </w:r>
      <w:r w:rsidRPr="00F276DA">
        <w:rPr>
          <w:rFonts w:ascii="Palatino Linotype" w:hAnsi="Palatino Linotype"/>
          <w:spacing w:val="-10"/>
          <w:rtl/>
          <w:lang w:val="ar-SA"/>
        </w:rPr>
        <w:t>“</w:t>
      </w:r>
      <w:r w:rsidRPr="00F276DA">
        <w:rPr>
          <w:rFonts w:ascii="Palatino Linotype" w:hAnsi="Palatino Linotype"/>
          <w:spacing w:val="-10"/>
        </w:rPr>
        <w:t xml:space="preserve">provide stability and ongoing assistance to the secondary mortgage market.” </w:t>
      </w:r>
    </w:p>
    <w:p w14:paraId="22EC30AD" w14:textId="77777777" w:rsidR="00127133" w:rsidRPr="00F276DA" w:rsidRDefault="00127133" w:rsidP="00A53313">
      <w:pPr>
        <w:pStyle w:val="Body"/>
        <w:spacing w:after="0" w:line="240" w:lineRule="auto"/>
        <w:ind w:firstLine="720"/>
        <w:jc w:val="both"/>
        <w:rPr>
          <w:rFonts w:ascii="Palatino Linotype" w:hAnsi="Palatino Linotype"/>
          <w:spacing w:val="-10"/>
        </w:rPr>
      </w:pPr>
    </w:p>
    <w:p w14:paraId="5A142860" w14:textId="2FCAD2D6" w:rsidR="00127133" w:rsidRDefault="005C4CB0" w:rsidP="00903565">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t>However, FHFA makes no mention in the proposed rule of some of the Enterprise</w:t>
      </w:r>
      <w:r w:rsidR="00B17CF1" w:rsidRPr="00F276DA">
        <w:rPr>
          <w:rFonts w:ascii="Palatino Linotype" w:hAnsi="Palatino Linotype"/>
          <w:spacing w:val="-10"/>
        </w:rPr>
        <w:t>s</w:t>
      </w:r>
      <w:r w:rsidR="00B46FD2" w:rsidRPr="00F276DA">
        <w:rPr>
          <w:rFonts w:ascii="Palatino Linotype" w:hAnsi="Palatino Linotype"/>
          <w:spacing w:val="-10"/>
        </w:rPr>
        <w:t xml:space="preserve">’ </w:t>
      </w:r>
      <w:r w:rsidRPr="00F276DA">
        <w:rPr>
          <w:rFonts w:ascii="Palatino Linotype" w:hAnsi="Palatino Linotype"/>
          <w:spacing w:val="-10"/>
        </w:rPr>
        <w:t xml:space="preserve">other statutorily obligated duties.  </w:t>
      </w:r>
      <w:r w:rsidR="00746840" w:rsidRPr="00F276DA">
        <w:rPr>
          <w:rFonts w:ascii="Palatino Linotype" w:hAnsi="Palatino Linotype"/>
          <w:spacing w:val="-10"/>
        </w:rPr>
        <w:t xml:space="preserve">The charters for both Fannie Mae and Freddie Mac specifically state each Enterprise’s duty to provide ongoing assistance to the market includes support for "activities relating to mortgages on housing for low and moderate-income families involving a reasonable economic return that may be less than the return earned on other activities."  </w:t>
      </w:r>
      <w:r w:rsidRPr="00F276DA">
        <w:rPr>
          <w:rFonts w:ascii="Palatino Linotype" w:hAnsi="Palatino Linotype"/>
          <w:spacing w:val="-10"/>
        </w:rPr>
        <w:t xml:space="preserve">The Enterprises are also </w:t>
      </w:r>
      <w:r w:rsidR="008A2654" w:rsidRPr="00F276DA">
        <w:rPr>
          <w:rFonts w:ascii="Palatino Linotype" w:hAnsi="Palatino Linotype"/>
          <w:spacing w:val="-10"/>
        </w:rPr>
        <w:t xml:space="preserve">assigned the specific duty to </w:t>
      </w:r>
      <w:r w:rsidRPr="00F276DA">
        <w:rPr>
          <w:rFonts w:ascii="Palatino Linotype" w:hAnsi="Palatino Linotype"/>
          <w:spacing w:val="-10"/>
        </w:rPr>
        <w:t>promot</w:t>
      </w:r>
      <w:r w:rsidR="008A2654" w:rsidRPr="00F276DA">
        <w:rPr>
          <w:rFonts w:ascii="Palatino Linotype" w:hAnsi="Palatino Linotype"/>
          <w:spacing w:val="-10"/>
        </w:rPr>
        <w:t>e</w:t>
      </w:r>
      <w:r w:rsidRPr="00F276DA">
        <w:rPr>
          <w:rFonts w:ascii="Palatino Linotype" w:hAnsi="Palatino Linotype"/>
          <w:spacing w:val="-10"/>
        </w:rPr>
        <w:t xml:space="preserve"> access to mortgage credit throughout the nation, </w:t>
      </w:r>
      <w:r w:rsidRPr="00F276DA">
        <w:rPr>
          <w:rFonts w:ascii="Palatino Linotype" w:hAnsi="Palatino Linotype"/>
          <w:spacing w:val="-10"/>
          <w:rtl/>
          <w:lang w:val="ar-SA"/>
        </w:rPr>
        <w:t>“</w:t>
      </w:r>
      <w:r w:rsidRPr="00F276DA">
        <w:rPr>
          <w:rFonts w:ascii="Palatino Linotype" w:hAnsi="Palatino Linotype"/>
          <w:spacing w:val="-10"/>
        </w:rPr>
        <w:t>including central cities, rural areas, and underserved markets.”</w:t>
      </w:r>
    </w:p>
    <w:p w14:paraId="1307233A" w14:textId="77777777" w:rsidR="007A1326" w:rsidRPr="00F276DA" w:rsidRDefault="007A1326" w:rsidP="00903565">
      <w:pPr>
        <w:pStyle w:val="Body"/>
        <w:spacing w:after="0" w:line="240" w:lineRule="auto"/>
        <w:ind w:firstLine="720"/>
        <w:jc w:val="both"/>
        <w:rPr>
          <w:rFonts w:ascii="Palatino Linotype" w:hAnsi="Palatino Linotype"/>
          <w:spacing w:val="-10"/>
        </w:rPr>
      </w:pPr>
    </w:p>
    <w:p w14:paraId="525DC84F" w14:textId="27D621B7" w:rsidR="00127133" w:rsidRPr="00F276DA" w:rsidRDefault="005C4CB0" w:rsidP="00903565">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lastRenderedPageBreak/>
        <w:t>These specifically enumerated obligations have prompted the Enterprises to support affordable homeownership lending for millions of working families and to fund numerous affordable rental properties. However, despite a worsening affordable housing crisis in our country, there is no evidence FHFA considered these mandates when developing the new capital requirements. The proposed Framework does not include any analys</w:t>
      </w:r>
      <w:r w:rsidR="006B78AE" w:rsidRPr="00F276DA">
        <w:rPr>
          <w:rFonts w:ascii="Palatino Linotype" w:hAnsi="Palatino Linotype"/>
          <w:spacing w:val="-10"/>
        </w:rPr>
        <w:t>i</w:t>
      </w:r>
      <w:r w:rsidRPr="00F276DA">
        <w:rPr>
          <w:rFonts w:ascii="Palatino Linotype" w:hAnsi="Palatino Linotype"/>
          <w:spacing w:val="-10"/>
        </w:rPr>
        <w:t xml:space="preserve">s or </w:t>
      </w:r>
      <w:r w:rsidR="006B78AE" w:rsidRPr="00F276DA">
        <w:rPr>
          <w:rFonts w:ascii="Palatino Linotype" w:hAnsi="Palatino Linotype"/>
          <w:spacing w:val="-10"/>
        </w:rPr>
        <w:t xml:space="preserve">findings </w:t>
      </w:r>
      <w:r w:rsidRPr="00F276DA">
        <w:rPr>
          <w:rFonts w:ascii="Palatino Linotype" w:hAnsi="Palatino Linotype"/>
          <w:spacing w:val="-10"/>
        </w:rPr>
        <w:t xml:space="preserve">on how the standards </w:t>
      </w:r>
      <w:r w:rsidR="006B78AE" w:rsidRPr="00F276DA">
        <w:rPr>
          <w:rFonts w:ascii="Palatino Linotype" w:hAnsi="Palatino Linotype"/>
          <w:spacing w:val="-10"/>
        </w:rPr>
        <w:t xml:space="preserve">might </w:t>
      </w:r>
      <w:r w:rsidRPr="00F276DA">
        <w:rPr>
          <w:rFonts w:ascii="Palatino Linotype" w:hAnsi="Palatino Linotype"/>
          <w:spacing w:val="-10"/>
        </w:rPr>
        <w:t>impact the availability of affordable homeownership lending</w:t>
      </w:r>
      <w:r w:rsidR="006B78AE" w:rsidRPr="00F276DA">
        <w:rPr>
          <w:rFonts w:ascii="Palatino Linotype" w:hAnsi="Palatino Linotype"/>
          <w:spacing w:val="-10"/>
        </w:rPr>
        <w:t xml:space="preserve">, </w:t>
      </w:r>
      <w:r w:rsidRPr="00F276DA">
        <w:rPr>
          <w:rFonts w:ascii="Palatino Linotype" w:hAnsi="Palatino Linotype"/>
          <w:spacing w:val="-10"/>
        </w:rPr>
        <w:t xml:space="preserve">financing for affordable multifamily housing, or </w:t>
      </w:r>
      <w:r w:rsidR="006B78AE" w:rsidRPr="00F276DA">
        <w:rPr>
          <w:rFonts w:ascii="Palatino Linotype" w:hAnsi="Palatino Linotype"/>
          <w:spacing w:val="-10"/>
        </w:rPr>
        <w:t xml:space="preserve">access to </w:t>
      </w:r>
      <w:r w:rsidRPr="00F276DA">
        <w:rPr>
          <w:rFonts w:ascii="Palatino Linotype" w:hAnsi="Palatino Linotype"/>
          <w:spacing w:val="-10"/>
        </w:rPr>
        <w:t xml:space="preserve">mortgage credit in underserved markets. In fact, affordable housing is not mentioned at all in the proposed Framework. </w:t>
      </w:r>
      <w:r w:rsidR="00B504E5" w:rsidRPr="00F276DA">
        <w:rPr>
          <w:rFonts w:ascii="Palatino Linotype" w:hAnsi="Palatino Linotype"/>
          <w:spacing w:val="-10"/>
        </w:rPr>
        <w:t xml:space="preserve"> </w:t>
      </w:r>
      <w:r w:rsidRPr="00F276DA">
        <w:rPr>
          <w:rFonts w:ascii="Palatino Linotype" w:hAnsi="Palatino Linotype"/>
          <w:spacing w:val="-10"/>
        </w:rPr>
        <w:t>Nor is the availability of credit in rural areas</w:t>
      </w:r>
      <w:r w:rsidR="009B0905" w:rsidRPr="00F276DA">
        <w:rPr>
          <w:rFonts w:ascii="Palatino Linotype" w:hAnsi="Palatino Linotype"/>
          <w:spacing w:val="-10"/>
        </w:rPr>
        <w:t>,</w:t>
      </w:r>
      <w:r w:rsidR="00B504E5" w:rsidRPr="00F276DA">
        <w:rPr>
          <w:rFonts w:ascii="Palatino Linotype" w:hAnsi="Palatino Linotype"/>
          <w:spacing w:val="-10"/>
        </w:rPr>
        <w:t xml:space="preserve"> </w:t>
      </w:r>
      <w:r w:rsidR="009B0905" w:rsidRPr="00F276DA">
        <w:rPr>
          <w:rFonts w:ascii="Palatino Linotype" w:hAnsi="Palatino Linotype"/>
          <w:spacing w:val="-10"/>
        </w:rPr>
        <w:t xml:space="preserve">in </w:t>
      </w:r>
      <w:r w:rsidRPr="00F276DA">
        <w:rPr>
          <w:rFonts w:ascii="Palatino Linotype" w:hAnsi="Palatino Linotype"/>
          <w:spacing w:val="-10"/>
        </w:rPr>
        <w:t>urban cores</w:t>
      </w:r>
      <w:r w:rsidR="009B0905" w:rsidRPr="00F276DA">
        <w:rPr>
          <w:rFonts w:ascii="Palatino Linotype" w:hAnsi="Palatino Linotype"/>
          <w:spacing w:val="-10"/>
        </w:rPr>
        <w:t>, or in other underserved markets</w:t>
      </w:r>
    </w:p>
    <w:p w14:paraId="515EE29B" w14:textId="77777777" w:rsidR="00903565" w:rsidRPr="00F276DA" w:rsidRDefault="00903565" w:rsidP="00903565">
      <w:pPr>
        <w:pStyle w:val="Body"/>
        <w:spacing w:after="0" w:line="240" w:lineRule="auto"/>
        <w:ind w:firstLine="720"/>
        <w:jc w:val="both"/>
        <w:rPr>
          <w:rFonts w:ascii="Palatino Linotype" w:hAnsi="Palatino Linotype"/>
          <w:spacing w:val="-10"/>
        </w:rPr>
      </w:pPr>
    </w:p>
    <w:p w14:paraId="72DA6BF1" w14:textId="24184612" w:rsidR="00127133" w:rsidRPr="00F276DA" w:rsidRDefault="005C4CB0" w:rsidP="00903565">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t xml:space="preserve">Fannie Mae and Freddie Mac are publicly chartered corporations with public missions. Their purpose is not to simply establish a maximally efficient housing finance system but one that works for all American families.  As we will explain in more detail below, the proposed Framework contains many provisions that would detract from the Enterprises’ affordable housing obligations. </w:t>
      </w:r>
    </w:p>
    <w:p w14:paraId="5244E83F" w14:textId="77777777" w:rsidR="00903565" w:rsidRPr="00F276DA" w:rsidRDefault="00903565" w:rsidP="00903565">
      <w:pPr>
        <w:pStyle w:val="Body"/>
        <w:spacing w:after="0" w:line="240" w:lineRule="auto"/>
        <w:ind w:firstLine="720"/>
        <w:jc w:val="both"/>
        <w:rPr>
          <w:rFonts w:ascii="Palatino Linotype" w:hAnsi="Palatino Linotype"/>
          <w:spacing w:val="-10"/>
        </w:rPr>
      </w:pPr>
    </w:p>
    <w:p w14:paraId="406BF64F" w14:textId="2430D6C6" w:rsidR="00127133" w:rsidRPr="00F276DA" w:rsidRDefault="005C4CB0" w:rsidP="00903565">
      <w:pPr>
        <w:pStyle w:val="Body"/>
        <w:spacing w:after="0" w:line="240" w:lineRule="auto"/>
        <w:jc w:val="both"/>
        <w:rPr>
          <w:rFonts w:ascii="Palatino Linotype" w:hAnsi="Palatino Linotype"/>
          <w:bCs/>
          <w:spacing w:val="-10"/>
        </w:rPr>
      </w:pPr>
      <w:r w:rsidRPr="00F276DA">
        <w:rPr>
          <w:rFonts w:ascii="Palatino Linotype" w:hAnsi="Palatino Linotype"/>
          <w:b/>
          <w:bCs/>
          <w:spacing w:val="-10"/>
        </w:rPr>
        <w:tab/>
      </w:r>
      <w:r w:rsidR="00644E91">
        <w:rPr>
          <w:rFonts w:ascii="Palatino Linotype" w:hAnsi="Palatino Linotype"/>
          <w:bCs/>
          <w:spacing w:val="-10"/>
        </w:rPr>
        <w:t xml:space="preserve">NCSHA </w:t>
      </w:r>
      <w:r w:rsidRPr="00F276DA">
        <w:rPr>
          <w:rFonts w:ascii="Palatino Linotype" w:hAnsi="Palatino Linotype"/>
          <w:bCs/>
          <w:spacing w:val="-10"/>
        </w:rPr>
        <w:t>urges FHFA to rescind the proposed capital standards and promulgate new standards through a more holistic approach that considers not only the Enterprises</w:t>
      </w:r>
      <w:r w:rsidRPr="00F276DA">
        <w:rPr>
          <w:rFonts w:ascii="Palatino Linotype" w:hAnsi="Palatino Linotype"/>
          <w:bCs/>
          <w:spacing w:val="-10"/>
          <w:rtl/>
        </w:rPr>
        <w:t>’</w:t>
      </w:r>
      <w:r w:rsidR="00800462" w:rsidRPr="00F276DA">
        <w:rPr>
          <w:rFonts w:ascii="Palatino Linotype" w:hAnsi="Palatino Linotype"/>
          <w:bCs/>
          <w:spacing w:val="-10"/>
        </w:rPr>
        <w:t xml:space="preserve"> o</w:t>
      </w:r>
      <w:r w:rsidRPr="00F276DA">
        <w:rPr>
          <w:rFonts w:ascii="Palatino Linotype" w:hAnsi="Palatino Linotype"/>
          <w:bCs/>
          <w:spacing w:val="-10"/>
        </w:rPr>
        <w:t xml:space="preserve">bligation to facilitate liquidity, but also their mandates to support financing for affordable multifamily housing and facilitate the availability of mortgage financing nationwide. </w:t>
      </w:r>
    </w:p>
    <w:p w14:paraId="6E4E6167" w14:textId="77777777" w:rsidR="00903565" w:rsidRPr="00F276DA" w:rsidRDefault="00903565" w:rsidP="00903565">
      <w:pPr>
        <w:pStyle w:val="Body"/>
        <w:spacing w:after="0" w:line="240" w:lineRule="auto"/>
        <w:jc w:val="both"/>
        <w:rPr>
          <w:rFonts w:ascii="Palatino Linotype" w:hAnsi="Palatino Linotype"/>
          <w:bCs/>
          <w:i/>
          <w:iCs/>
          <w:spacing w:val="-10"/>
        </w:rPr>
      </w:pPr>
    </w:p>
    <w:p w14:paraId="08D514FC" w14:textId="4A4109F5" w:rsidR="00127133" w:rsidRPr="00F276DA" w:rsidRDefault="005C4CB0" w:rsidP="00903565">
      <w:pPr>
        <w:pStyle w:val="Body"/>
        <w:spacing w:after="0" w:line="240" w:lineRule="auto"/>
        <w:jc w:val="both"/>
        <w:rPr>
          <w:rFonts w:ascii="Palatino Linotype" w:hAnsi="Palatino Linotype"/>
          <w:bCs/>
          <w:spacing w:val="-10"/>
        </w:rPr>
      </w:pPr>
      <w:r w:rsidRPr="00F276DA">
        <w:rPr>
          <w:rFonts w:ascii="Palatino Linotype" w:hAnsi="Palatino Linotype"/>
          <w:bCs/>
          <w:spacing w:val="-10"/>
        </w:rPr>
        <w:tab/>
        <w:t xml:space="preserve">FHFA </w:t>
      </w:r>
      <w:r w:rsidR="00644E91">
        <w:rPr>
          <w:rFonts w:ascii="Palatino Linotype" w:hAnsi="Palatino Linotype"/>
          <w:bCs/>
          <w:spacing w:val="-10"/>
        </w:rPr>
        <w:t xml:space="preserve">also should </w:t>
      </w:r>
      <w:r w:rsidRPr="00F276DA">
        <w:rPr>
          <w:rFonts w:ascii="Palatino Linotype" w:hAnsi="Palatino Linotype"/>
          <w:bCs/>
          <w:spacing w:val="-10"/>
        </w:rPr>
        <w:t>publish any research it or the Enterprises have conducted on how the capital standards will impact the Enterprise</w:t>
      </w:r>
      <w:r w:rsidR="006B78AE" w:rsidRPr="00F276DA">
        <w:rPr>
          <w:rFonts w:ascii="Palatino Linotype" w:hAnsi="Palatino Linotype"/>
          <w:bCs/>
          <w:spacing w:val="-10"/>
        </w:rPr>
        <w:t>s’</w:t>
      </w:r>
      <w:r w:rsidRPr="00F276DA">
        <w:rPr>
          <w:rFonts w:ascii="Palatino Linotype" w:hAnsi="Palatino Linotype"/>
          <w:bCs/>
          <w:spacing w:val="-10"/>
          <w:rtl/>
        </w:rPr>
        <w:t xml:space="preserve"> </w:t>
      </w:r>
      <w:r w:rsidRPr="00F276DA">
        <w:rPr>
          <w:rFonts w:ascii="Palatino Linotype" w:hAnsi="Palatino Linotype"/>
          <w:bCs/>
          <w:spacing w:val="-10"/>
        </w:rPr>
        <w:t xml:space="preserve">ability to support financing for affordable single-family and multifamily lending and promote access to credit in the underserved markets the Enterprises are statutorily required to serve. </w:t>
      </w:r>
    </w:p>
    <w:p w14:paraId="22B9474E" w14:textId="77777777" w:rsidR="00903565" w:rsidRPr="00F276DA" w:rsidRDefault="00903565" w:rsidP="00903565">
      <w:pPr>
        <w:pStyle w:val="Body"/>
        <w:spacing w:after="0" w:line="240" w:lineRule="auto"/>
        <w:jc w:val="both"/>
        <w:rPr>
          <w:rFonts w:ascii="Palatino Linotype" w:hAnsi="Palatino Linotype"/>
          <w:b/>
          <w:bCs/>
          <w:spacing w:val="-10"/>
        </w:rPr>
      </w:pPr>
    </w:p>
    <w:p w14:paraId="6C36B3A4" w14:textId="3C7EABFB" w:rsidR="00903565" w:rsidRPr="00F276DA" w:rsidRDefault="00EE0EF6" w:rsidP="00EE0EF6">
      <w:pPr>
        <w:pStyle w:val="ListParagraph"/>
        <w:numPr>
          <w:ilvl w:val="0"/>
          <w:numId w:val="5"/>
        </w:numPr>
        <w:spacing w:after="0" w:line="240" w:lineRule="auto"/>
        <w:ind w:left="360"/>
        <w:rPr>
          <w:rFonts w:ascii="Palatino Linotype" w:hAnsi="Palatino Linotype"/>
          <w:b/>
          <w:bCs/>
          <w:spacing w:val="-10"/>
        </w:rPr>
      </w:pPr>
      <w:bookmarkStart w:id="1" w:name="_Hlk48036845"/>
      <w:r w:rsidRPr="00F276DA">
        <w:rPr>
          <w:rFonts w:ascii="Palatino Linotype" w:hAnsi="Palatino Linotype"/>
          <w:b/>
          <w:bCs/>
          <w:spacing w:val="-10"/>
        </w:rPr>
        <w:t>The Framework will lead to increased Enterprise guarantee fees and higher mortgage interest rates for single-family and multifamily borrowers.</w:t>
      </w:r>
    </w:p>
    <w:p w14:paraId="4D0E486F" w14:textId="77777777" w:rsidR="00EE0EF6" w:rsidRPr="00F276DA" w:rsidRDefault="00EE0EF6" w:rsidP="00EE0EF6">
      <w:pPr>
        <w:pStyle w:val="Body"/>
        <w:spacing w:after="0" w:line="240" w:lineRule="auto"/>
        <w:ind w:firstLine="720"/>
        <w:jc w:val="both"/>
        <w:rPr>
          <w:rFonts w:ascii="Palatino Linotype" w:hAnsi="Palatino Linotype"/>
          <w:spacing w:val="-10"/>
        </w:rPr>
      </w:pPr>
    </w:p>
    <w:p w14:paraId="27766BD3" w14:textId="40EF97C6" w:rsidR="00127133" w:rsidRPr="00F276DA" w:rsidRDefault="005C4CB0" w:rsidP="00903565">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t xml:space="preserve">NCSHA </w:t>
      </w:r>
      <w:r w:rsidR="007F6223" w:rsidRPr="00F276DA">
        <w:rPr>
          <w:rFonts w:ascii="Palatino Linotype" w:hAnsi="Palatino Linotype"/>
          <w:spacing w:val="-10"/>
        </w:rPr>
        <w:t xml:space="preserve">understands </w:t>
      </w:r>
      <w:r w:rsidRPr="00F276DA">
        <w:rPr>
          <w:rFonts w:ascii="Palatino Linotype" w:hAnsi="Palatino Linotype"/>
          <w:spacing w:val="-10"/>
        </w:rPr>
        <w:t xml:space="preserve">that FHFA </w:t>
      </w:r>
      <w:r w:rsidR="007F6223" w:rsidRPr="00F276DA">
        <w:rPr>
          <w:rFonts w:ascii="Palatino Linotype" w:hAnsi="Palatino Linotype"/>
          <w:spacing w:val="-10"/>
        </w:rPr>
        <w:t>believes</w:t>
      </w:r>
      <w:r w:rsidRPr="00F276DA">
        <w:rPr>
          <w:rFonts w:ascii="Palatino Linotype" w:hAnsi="Palatino Linotype"/>
          <w:spacing w:val="-10"/>
        </w:rPr>
        <w:t xml:space="preserve"> the Enterprises will need more</w:t>
      </w:r>
      <w:r w:rsidRPr="00F276DA">
        <w:rPr>
          <w:rFonts w:ascii="Palatino Linotype" w:hAnsi="Palatino Linotype"/>
          <w:spacing w:val="-10"/>
          <w:lang w:val="it-IT"/>
        </w:rPr>
        <w:t xml:space="preserve"> capital</w:t>
      </w:r>
      <w:r w:rsidRPr="00F276DA">
        <w:rPr>
          <w:rFonts w:ascii="Palatino Linotype" w:hAnsi="Palatino Linotype"/>
          <w:spacing w:val="-10"/>
        </w:rPr>
        <w:t xml:space="preserve"> to reflect the credit risk of its single-family and multifamily loan programs.  Given that the true cost of credit capital is driven by </w:t>
      </w:r>
      <w:r w:rsidRPr="00F276DA">
        <w:rPr>
          <w:rFonts w:ascii="Palatino Linotype" w:hAnsi="Palatino Linotype"/>
          <w:spacing w:val="-10"/>
          <w:u w:val="single"/>
        </w:rPr>
        <w:t>both</w:t>
      </w:r>
      <w:r w:rsidRPr="00F276DA">
        <w:rPr>
          <w:rFonts w:ascii="Palatino Linotype" w:hAnsi="Palatino Linotype"/>
          <w:spacing w:val="-10"/>
        </w:rPr>
        <w:t xml:space="preserve"> the amount of credit capital required to be held </w:t>
      </w:r>
      <w:r w:rsidRPr="00F276DA">
        <w:rPr>
          <w:rFonts w:ascii="Palatino Linotype" w:hAnsi="Palatino Linotype"/>
          <w:spacing w:val="-10"/>
          <w:u w:val="single"/>
        </w:rPr>
        <w:t>and</w:t>
      </w:r>
      <w:r w:rsidRPr="00F276DA">
        <w:rPr>
          <w:rFonts w:ascii="Palatino Linotype" w:hAnsi="Palatino Linotype"/>
          <w:spacing w:val="-10"/>
        </w:rPr>
        <w:t xml:space="preserve"> the return that each Enterprise must provide to investors on the credit capital held, higher regulatory capital requirements will magnify likely guarantee fee increases.  These fee increases will drive up the cost of mortgage finance for those who can least afford it, making it all the more difficult for state HFAs to offer conventional products to help first-time homebuyers, people of color, and </w:t>
      </w:r>
      <w:r w:rsidR="00D5777B" w:rsidRPr="00F276DA">
        <w:rPr>
          <w:rFonts w:ascii="Palatino Linotype" w:hAnsi="Palatino Linotype"/>
          <w:spacing w:val="-10"/>
        </w:rPr>
        <w:t xml:space="preserve">other </w:t>
      </w:r>
      <w:r w:rsidRPr="00F276DA">
        <w:rPr>
          <w:rFonts w:ascii="Palatino Linotype" w:hAnsi="Palatino Linotype"/>
          <w:spacing w:val="-10"/>
        </w:rPr>
        <w:t xml:space="preserve">low-to-moderate income people purchase a home.  </w:t>
      </w:r>
    </w:p>
    <w:p w14:paraId="051345D0" w14:textId="5AB68F39" w:rsidR="00127133" w:rsidRPr="00F276DA" w:rsidRDefault="00D5777B" w:rsidP="008A2654">
      <w:pPr>
        <w:pStyle w:val="Body"/>
        <w:spacing w:after="0" w:line="240" w:lineRule="auto"/>
        <w:jc w:val="both"/>
        <w:rPr>
          <w:rFonts w:ascii="Palatino Linotype" w:hAnsi="Palatino Linotype"/>
          <w:spacing w:val="-10"/>
        </w:rPr>
      </w:pPr>
      <w:r w:rsidRPr="00F276DA">
        <w:rPr>
          <w:rFonts w:ascii="Palatino Linotype" w:hAnsi="Palatino Linotype"/>
          <w:spacing w:val="-10"/>
        </w:rPr>
        <w:t xml:space="preserve">                                                                                                                                                                                                                                                                                                                                                                                                                                                                                                                                                                                                                                                                                                                                                                                                                                                                                                                                                                                                                                                                                                                                                                                                                                                                                                                                                                                                                                                                                                                  </w:t>
      </w:r>
      <w:r w:rsidR="008A2654" w:rsidRPr="00F276DA">
        <w:rPr>
          <w:rFonts w:ascii="Palatino Linotype" w:hAnsi="Palatino Linotype"/>
          <w:spacing w:val="-10"/>
        </w:rPr>
        <w:tab/>
      </w:r>
      <w:r w:rsidR="005C4CB0" w:rsidRPr="00F276DA">
        <w:rPr>
          <w:rFonts w:ascii="Palatino Linotype" w:hAnsi="Palatino Linotype"/>
          <w:spacing w:val="-10"/>
        </w:rPr>
        <w:t xml:space="preserve">Unfortunately, it is impossible to know from the proposed Framework or the analyses provided by FHFA what the </w:t>
      </w:r>
      <w:r w:rsidR="002E28F6" w:rsidRPr="00F276DA">
        <w:rPr>
          <w:rFonts w:ascii="Palatino Linotype" w:hAnsi="Palatino Linotype"/>
          <w:spacing w:val="-10"/>
        </w:rPr>
        <w:t xml:space="preserve">Framework’s </w:t>
      </w:r>
      <w:r w:rsidR="005C4CB0" w:rsidRPr="00F276DA">
        <w:rPr>
          <w:rFonts w:ascii="Palatino Linotype" w:hAnsi="Palatino Linotype"/>
          <w:spacing w:val="-10"/>
        </w:rPr>
        <w:t xml:space="preserve">impact on the cost </w:t>
      </w:r>
      <w:r w:rsidR="002E28F6" w:rsidRPr="00F276DA">
        <w:rPr>
          <w:rFonts w:ascii="Palatino Linotype" w:hAnsi="Palatino Linotype"/>
          <w:spacing w:val="-10"/>
        </w:rPr>
        <w:t xml:space="preserve">and availability </w:t>
      </w:r>
      <w:r w:rsidR="005C4CB0" w:rsidRPr="00F276DA">
        <w:rPr>
          <w:rFonts w:ascii="Palatino Linotype" w:hAnsi="Palatino Linotype"/>
          <w:spacing w:val="-10"/>
        </w:rPr>
        <w:t xml:space="preserve">of mortgage finance would be for a range of single-family </w:t>
      </w:r>
      <w:r w:rsidR="002E28F6" w:rsidRPr="00F276DA">
        <w:rPr>
          <w:rFonts w:ascii="Palatino Linotype" w:hAnsi="Palatino Linotype"/>
          <w:spacing w:val="-10"/>
        </w:rPr>
        <w:t xml:space="preserve">and </w:t>
      </w:r>
      <w:r w:rsidR="005C4CB0" w:rsidRPr="00F276DA">
        <w:rPr>
          <w:rFonts w:ascii="Palatino Linotype" w:hAnsi="Palatino Linotype"/>
          <w:spacing w:val="-10"/>
        </w:rPr>
        <w:t xml:space="preserve">multifamily mortgage exposures.  FHFA should have provided this information </w:t>
      </w:r>
      <w:r w:rsidR="008A2654" w:rsidRPr="00F276DA">
        <w:rPr>
          <w:rFonts w:ascii="Palatino Linotype" w:hAnsi="Palatino Linotype"/>
          <w:spacing w:val="-10"/>
        </w:rPr>
        <w:t xml:space="preserve">to make transparent the Framework’s </w:t>
      </w:r>
      <w:r w:rsidR="005C4CB0" w:rsidRPr="00F276DA">
        <w:rPr>
          <w:rFonts w:ascii="Palatino Linotype" w:hAnsi="Palatino Linotype"/>
          <w:spacing w:val="-10"/>
        </w:rPr>
        <w:t>impact on single-family and multifamily mortgage finance.</w:t>
      </w:r>
      <w:r w:rsidR="00B504E5" w:rsidRPr="00F276DA">
        <w:rPr>
          <w:rFonts w:ascii="Palatino Linotype" w:hAnsi="Palatino Linotype"/>
          <w:spacing w:val="-10"/>
        </w:rPr>
        <w:t xml:space="preserve"> </w:t>
      </w:r>
      <w:r w:rsidR="006A558D">
        <w:rPr>
          <w:rFonts w:ascii="Palatino Linotype" w:hAnsi="Palatino Linotype"/>
          <w:spacing w:val="-10"/>
        </w:rPr>
        <w:t xml:space="preserve"> </w:t>
      </w:r>
      <w:r w:rsidR="00B504E5" w:rsidRPr="00F276DA">
        <w:rPr>
          <w:rFonts w:ascii="Palatino Linotype" w:hAnsi="Palatino Linotype"/>
          <w:spacing w:val="-10"/>
        </w:rPr>
        <w:t>However, the Enterprises’ comment letters to FHFA also suggest the Framework will lead to higher fees and increased homeownership and rental financing costs.</w:t>
      </w:r>
    </w:p>
    <w:p w14:paraId="2971CB4C" w14:textId="77777777" w:rsidR="00903565" w:rsidRPr="00F276DA" w:rsidRDefault="00903565" w:rsidP="00903565">
      <w:pPr>
        <w:pStyle w:val="Body"/>
        <w:spacing w:after="0" w:line="240" w:lineRule="auto"/>
        <w:ind w:firstLine="720"/>
        <w:jc w:val="both"/>
        <w:rPr>
          <w:rFonts w:ascii="Palatino Linotype" w:hAnsi="Palatino Linotype"/>
          <w:spacing w:val="-10"/>
        </w:rPr>
      </w:pPr>
    </w:p>
    <w:p w14:paraId="4F69ECF7" w14:textId="5AB2E972" w:rsidR="00127133" w:rsidRPr="00F276DA" w:rsidRDefault="00970995" w:rsidP="00903565">
      <w:pPr>
        <w:pStyle w:val="Body"/>
        <w:spacing w:after="0" w:line="240" w:lineRule="auto"/>
        <w:ind w:firstLine="720"/>
        <w:jc w:val="both"/>
        <w:rPr>
          <w:rFonts w:ascii="Palatino Linotype" w:hAnsi="Palatino Linotype"/>
          <w:bCs/>
          <w:spacing w:val="-10"/>
        </w:rPr>
      </w:pPr>
      <w:r>
        <w:rPr>
          <w:rFonts w:ascii="Palatino Linotype" w:hAnsi="Palatino Linotype"/>
          <w:bCs/>
          <w:spacing w:val="-10"/>
        </w:rPr>
        <w:lastRenderedPageBreak/>
        <w:t>FHFA should</w:t>
      </w:r>
      <w:r w:rsidR="005C4CB0" w:rsidRPr="00F276DA">
        <w:rPr>
          <w:rFonts w:ascii="Palatino Linotype" w:hAnsi="Palatino Linotype"/>
          <w:bCs/>
          <w:spacing w:val="-10"/>
        </w:rPr>
        <w:t xml:space="preserve"> provide ranges and estimates o</w:t>
      </w:r>
      <w:r w:rsidR="007F6223" w:rsidRPr="00F276DA">
        <w:rPr>
          <w:rFonts w:ascii="Palatino Linotype" w:hAnsi="Palatino Linotype"/>
          <w:bCs/>
          <w:spacing w:val="-10"/>
        </w:rPr>
        <w:t>f</w:t>
      </w:r>
      <w:r w:rsidR="005C4CB0" w:rsidRPr="00F276DA">
        <w:rPr>
          <w:rFonts w:ascii="Palatino Linotype" w:hAnsi="Palatino Linotype"/>
          <w:bCs/>
          <w:spacing w:val="-10"/>
        </w:rPr>
        <w:t xml:space="preserve"> the impact on the cost of single-family and multifamily finance so market participants may better understand the impact of the p</w:t>
      </w:r>
      <w:r>
        <w:rPr>
          <w:rFonts w:ascii="Palatino Linotype" w:hAnsi="Palatino Linotype"/>
          <w:bCs/>
          <w:spacing w:val="-10"/>
        </w:rPr>
        <w:t xml:space="preserve">roposed Framework. </w:t>
      </w:r>
      <w:r w:rsidR="005C4CB0" w:rsidRPr="00F276DA">
        <w:rPr>
          <w:rFonts w:ascii="Palatino Linotype" w:hAnsi="Palatino Linotype"/>
          <w:bCs/>
          <w:spacing w:val="-10"/>
        </w:rPr>
        <w:t xml:space="preserve">FHFA </w:t>
      </w:r>
      <w:r>
        <w:rPr>
          <w:rFonts w:ascii="Palatino Linotype" w:hAnsi="Palatino Linotype"/>
          <w:bCs/>
          <w:spacing w:val="-10"/>
        </w:rPr>
        <w:t>should also</w:t>
      </w:r>
      <w:r w:rsidR="005C4CB0" w:rsidRPr="00F276DA">
        <w:rPr>
          <w:rFonts w:ascii="Palatino Linotype" w:hAnsi="Palatino Linotype"/>
          <w:bCs/>
          <w:spacing w:val="-10"/>
        </w:rPr>
        <w:t xml:space="preserve"> disclose what the impact on access to capital will be,  including how many people would have been disqualified from becoming homeowners since 2008 if the proposed Framework had been in place since then, as well as how many affordable multifamily transactions would not have closed and affordable rental units would not have been built or rehabbed.  </w:t>
      </w:r>
    </w:p>
    <w:p w14:paraId="6DD74934" w14:textId="77777777" w:rsidR="00903565" w:rsidRPr="00F276DA" w:rsidRDefault="00903565" w:rsidP="00903565">
      <w:pPr>
        <w:pStyle w:val="Body"/>
        <w:spacing w:after="0" w:line="240" w:lineRule="auto"/>
        <w:ind w:firstLine="720"/>
        <w:jc w:val="both"/>
        <w:rPr>
          <w:rFonts w:ascii="Palatino Linotype" w:hAnsi="Palatino Linotype"/>
          <w:b/>
          <w:bCs/>
          <w:i/>
          <w:iCs/>
          <w:spacing w:val="-10"/>
        </w:rPr>
      </w:pPr>
    </w:p>
    <w:p w14:paraId="65D5A29D" w14:textId="2E24998F" w:rsidR="00903565" w:rsidRPr="00F276DA" w:rsidRDefault="00EE0EF6" w:rsidP="00EE0EF6">
      <w:pPr>
        <w:pStyle w:val="ListParagraph"/>
        <w:numPr>
          <w:ilvl w:val="0"/>
          <w:numId w:val="5"/>
        </w:numPr>
        <w:spacing w:after="0" w:line="240" w:lineRule="auto"/>
        <w:ind w:left="360"/>
        <w:jc w:val="both"/>
        <w:rPr>
          <w:rFonts w:ascii="Palatino Linotype" w:hAnsi="Palatino Linotype"/>
          <w:b/>
          <w:bCs/>
          <w:spacing w:val="-10"/>
        </w:rPr>
      </w:pPr>
      <w:r w:rsidRPr="00F276DA">
        <w:rPr>
          <w:rFonts w:ascii="Palatino Linotype" w:hAnsi="Palatino Linotype"/>
          <w:b/>
          <w:bCs/>
          <w:spacing w:val="-10"/>
        </w:rPr>
        <w:t>The proposed Framework will make it more difficult for first-time and low- to moderate-income (LMI) homebuyers to obtain mortgages, including people of color who are more likely to lack access to family wealth to make 20 percent down</w:t>
      </w:r>
      <w:r w:rsidR="00171EA0">
        <w:rPr>
          <w:rFonts w:ascii="Palatino Linotype" w:hAnsi="Palatino Linotype"/>
          <w:b/>
          <w:bCs/>
          <w:spacing w:val="-10"/>
        </w:rPr>
        <w:t xml:space="preserve"> </w:t>
      </w:r>
      <w:r w:rsidRPr="00F276DA">
        <w:rPr>
          <w:rFonts w:ascii="Palatino Linotype" w:hAnsi="Palatino Linotype"/>
          <w:b/>
          <w:bCs/>
          <w:spacing w:val="-10"/>
        </w:rPr>
        <w:t>payments.</w:t>
      </w:r>
    </w:p>
    <w:p w14:paraId="5052F190" w14:textId="77777777" w:rsidR="00EE0EF6" w:rsidRPr="00F276DA" w:rsidRDefault="00EE0EF6" w:rsidP="00903565">
      <w:pPr>
        <w:pStyle w:val="Body"/>
        <w:spacing w:after="0" w:line="240" w:lineRule="auto"/>
        <w:ind w:firstLine="720"/>
        <w:rPr>
          <w:rFonts w:ascii="Palatino Linotype" w:hAnsi="Palatino Linotype"/>
          <w:spacing w:val="-10"/>
        </w:rPr>
      </w:pPr>
    </w:p>
    <w:p w14:paraId="74026B86" w14:textId="72D52F75" w:rsidR="00171EA0" w:rsidRDefault="005C4CB0" w:rsidP="00A61FD4">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t>The additive nature of the proposed Framework</w:t>
      </w:r>
      <w:r w:rsidRPr="00F276DA">
        <w:rPr>
          <w:rFonts w:ascii="Palatino Linotype" w:hAnsi="Palatino Linotype"/>
          <w:spacing w:val="-10"/>
          <w:rtl/>
        </w:rPr>
        <w:t>’</w:t>
      </w:r>
      <w:r w:rsidRPr="00F276DA">
        <w:rPr>
          <w:rFonts w:ascii="Palatino Linotype" w:hAnsi="Palatino Linotype"/>
          <w:spacing w:val="-10"/>
        </w:rPr>
        <w:t>s calculations of credit risk capital requirements will result in first-time and low- to moderate-income homebuyers paying more for their mortgage loans.  These borrowers, on whom state HFAs focus their homeownership programs, use down</w:t>
      </w:r>
      <w:r w:rsidR="00171EA0">
        <w:rPr>
          <w:rFonts w:ascii="Palatino Linotype" w:hAnsi="Palatino Linotype"/>
          <w:spacing w:val="-10"/>
        </w:rPr>
        <w:t xml:space="preserve"> </w:t>
      </w:r>
      <w:r w:rsidRPr="00F276DA">
        <w:rPr>
          <w:rFonts w:ascii="Palatino Linotype" w:hAnsi="Palatino Linotype"/>
          <w:spacing w:val="-10"/>
        </w:rPr>
        <w:t>payment assistance</w:t>
      </w:r>
      <w:r w:rsidR="00D617DA">
        <w:rPr>
          <w:rFonts w:ascii="Palatino Linotype" w:hAnsi="Palatino Linotype"/>
          <w:spacing w:val="-10"/>
        </w:rPr>
        <w:t xml:space="preserve"> (DPA) </w:t>
      </w:r>
      <w:r w:rsidRPr="00F276DA">
        <w:rPr>
          <w:rFonts w:ascii="Palatino Linotype" w:hAnsi="Palatino Linotype"/>
          <w:spacing w:val="-10"/>
        </w:rPr>
        <w:t xml:space="preserve"> (</w:t>
      </w:r>
      <w:r w:rsidRPr="00F276DA">
        <w:rPr>
          <w:rFonts w:ascii="Palatino Linotype" w:hAnsi="Palatino Linotype"/>
          <w:spacing w:val="-10"/>
          <w:rtl/>
          <w:lang w:val="ar-SA"/>
        </w:rPr>
        <w:t>“</w:t>
      </w:r>
      <w:r w:rsidRPr="00F276DA">
        <w:rPr>
          <w:rFonts w:ascii="Palatino Linotype" w:hAnsi="Palatino Linotype"/>
          <w:spacing w:val="-10"/>
          <w:lang w:val="fr-FR"/>
        </w:rPr>
        <w:t>subordination</w:t>
      </w:r>
      <w:r w:rsidRPr="00F276DA">
        <w:rPr>
          <w:rFonts w:ascii="Palatino Linotype" w:hAnsi="Palatino Linotype"/>
          <w:spacing w:val="-10"/>
        </w:rPr>
        <w:t>” in the Framework), make smaller down</w:t>
      </w:r>
      <w:r w:rsidR="00171EA0">
        <w:rPr>
          <w:rFonts w:ascii="Palatino Linotype" w:hAnsi="Palatino Linotype"/>
          <w:spacing w:val="-10"/>
        </w:rPr>
        <w:t xml:space="preserve"> </w:t>
      </w:r>
      <w:r w:rsidRPr="00F276DA">
        <w:rPr>
          <w:rFonts w:ascii="Palatino Linotype" w:hAnsi="Palatino Linotype"/>
          <w:spacing w:val="-10"/>
        </w:rPr>
        <w:t xml:space="preserve">payments (and </w:t>
      </w:r>
      <w:r w:rsidR="003D133F" w:rsidRPr="00F276DA">
        <w:rPr>
          <w:rFonts w:ascii="Palatino Linotype" w:hAnsi="Palatino Linotype"/>
          <w:spacing w:val="-10"/>
        </w:rPr>
        <w:t xml:space="preserve">have, </w:t>
      </w:r>
      <w:r w:rsidRPr="00F276DA">
        <w:rPr>
          <w:rFonts w:ascii="Palatino Linotype" w:hAnsi="Palatino Linotype"/>
          <w:spacing w:val="-10"/>
        </w:rPr>
        <w:t xml:space="preserve">as a result, higher original loan-to-value ratios (OLTVs)), and often have lower credit scores. </w:t>
      </w:r>
    </w:p>
    <w:p w14:paraId="37EBE6C9" w14:textId="77777777" w:rsidR="00171EA0" w:rsidRDefault="00171EA0" w:rsidP="00A61FD4">
      <w:pPr>
        <w:pStyle w:val="Body"/>
        <w:spacing w:after="0" w:line="240" w:lineRule="auto"/>
        <w:ind w:firstLine="720"/>
        <w:jc w:val="both"/>
        <w:rPr>
          <w:rFonts w:ascii="Palatino Linotype" w:hAnsi="Palatino Linotype"/>
          <w:spacing w:val="-10"/>
        </w:rPr>
      </w:pPr>
    </w:p>
    <w:p w14:paraId="06687136" w14:textId="6FD11AFD" w:rsidR="00127133" w:rsidRPr="00F276DA" w:rsidRDefault="003D133F" w:rsidP="00A61FD4">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t>B</w:t>
      </w:r>
      <w:r w:rsidR="005C4CB0" w:rsidRPr="00F276DA">
        <w:rPr>
          <w:rFonts w:ascii="Palatino Linotype" w:hAnsi="Palatino Linotype"/>
          <w:spacing w:val="-10"/>
        </w:rPr>
        <w:t>ecause the Framework</w:t>
      </w:r>
      <w:r w:rsidR="005C4CB0" w:rsidRPr="00F276DA">
        <w:rPr>
          <w:rFonts w:ascii="Palatino Linotype" w:hAnsi="Palatino Linotype"/>
          <w:spacing w:val="-10"/>
          <w:rtl/>
        </w:rPr>
        <w:t>’</w:t>
      </w:r>
      <w:r w:rsidR="005C4CB0" w:rsidRPr="00F276DA">
        <w:rPr>
          <w:rFonts w:ascii="Palatino Linotype" w:hAnsi="Palatino Linotype"/>
          <w:spacing w:val="-10"/>
        </w:rPr>
        <w:t xml:space="preserve">s approach requires an Enterprise to layer each characteristic on top of each other to determine risk capital, the affordable sector will be hit particularly hard by interest rate increases the Framework would </w:t>
      </w:r>
      <w:r w:rsidRPr="00F276DA">
        <w:rPr>
          <w:rFonts w:ascii="Palatino Linotype" w:hAnsi="Palatino Linotype"/>
          <w:spacing w:val="-10"/>
        </w:rPr>
        <w:t xml:space="preserve">lead to </w:t>
      </w:r>
      <w:r w:rsidR="005C4CB0" w:rsidRPr="00F276DA">
        <w:rPr>
          <w:rFonts w:ascii="Palatino Linotype" w:hAnsi="Palatino Linotype"/>
          <w:spacing w:val="-10"/>
        </w:rPr>
        <w:t xml:space="preserve">for such </w:t>
      </w:r>
      <w:r w:rsidRPr="00F276DA">
        <w:rPr>
          <w:rFonts w:ascii="Palatino Linotype" w:hAnsi="Palatino Linotype"/>
          <w:spacing w:val="-10"/>
        </w:rPr>
        <w:t>borrowers</w:t>
      </w:r>
      <w:r w:rsidR="00171EA0">
        <w:rPr>
          <w:rFonts w:ascii="Palatino Linotype" w:hAnsi="Palatino Linotype"/>
          <w:spacing w:val="-10"/>
        </w:rPr>
        <w:t xml:space="preserve">.  </w:t>
      </w:r>
      <w:r w:rsidR="005C4CB0" w:rsidRPr="00F276DA">
        <w:rPr>
          <w:rFonts w:ascii="Palatino Linotype" w:hAnsi="Palatino Linotype"/>
          <w:spacing w:val="-10"/>
        </w:rPr>
        <w:t xml:space="preserve">FHFA </w:t>
      </w:r>
      <w:r w:rsidR="00171EA0">
        <w:rPr>
          <w:rFonts w:ascii="Palatino Linotype" w:hAnsi="Palatino Linotype"/>
          <w:spacing w:val="-10"/>
        </w:rPr>
        <w:t>should</w:t>
      </w:r>
      <w:r w:rsidR="005C4CB0" w:rsidRPr="00F276DA">
        <w:rPr>
          <w:rFonts w:ascii="Palatino Linotype" w:hAnsi="Palatino Linotype"/>
          <w:spacing w:val="-10"/>
        </w:rPr>
        <w:t xml:space="preserve"> re-examine its reliance on and weighting of the following elements in particular:</w:t>
      </w:r>
    </w:p>
    <w:p w14:paraId="0ABBF250" w14:textId="77777777" w:rsidR="00903565" w:rsidRPr="00F276DA" w:rsidRDefault="00903565" w:rsidP="00A61FD4">
      <w:pPr>
        <w:pStyle w:val="Body"/>
        <w:spacing w:after="0" w:line="240" w:lineRule="auto"/>
        <w:ind w:firstLine="720"/>
        <w:jc w:val="both"/>
        <w:rPr>
          <w:rFonts w:ascii="Palatino Linotype" w:hAnsi="Palatino Linotype"/>
          <w:spacing w:val="-10"/>
        </w:rPr>
      </w:pPr>
    </w:p>
    <w:p w14:paraId="53D2CD23" w14:textId="6259E084" w:rsidR="00D66DBA" w:rsidRPr="00F276DA" w:rsidRDefault="00D66DBA" w:rsidP="00D66DBA">
      <w:pPr>
        <w:pStyle w:val="Body"/>
        <w:spacing w:after="0" w:line="240" w:lineRule="auto"/>
        <w:ind w:firstLine="720"/>
        <w:jc w:val="both"/>
        <w:rPr>
          <w:rFonts w:ascii="Palatino Linotype" w:hAnsi="Palatino Linotype"/>
          <w:spacing w:val="-10"/>
        </w:rPr>
      </w:pPr>
      <w:r w:rsidRPr="00F276DA">
        <w:rPr>
          <w:rFonts w:ascii="Palatino Linotype" w:hAnsi="Palatino Linotype"/>
          <w:bCs/>
          <w:spacing w:val="-10"/>
          <w:u w:val="single"/>
          <w:lang w:val="it-IT"/>
        </w:rPr>
        <w:t>Subordinate Financing</w:t>
      </w:r>
      <w:r w:rsidRPr="00F276DA">
        <w:rPr>
          <w:rFonts w:ascii="Palatino Linotype" w:hAnsi="Palatino Linotype"/>
          <w:b/>
          <w:bCs/>
          <w:spacing w:val="-10"/>
          <w:lang w:val="it-IT"/>
        </w:rPr>
        <w:t>.</w:t>
      </w:r>
      <w:r w:rsidRPr="00F276DA">
        <w:rPr>
          <w:rFonts w:ascii="Palatino Linotype" w:hAnsi="Palatino Linotype"/>
          <w:spacing w:val="-10"/>
        </w:rPr>
        <w:t xml:space="preserve">  FHFA assumes that all subordinate financing, one of the most common forms of w</w:t>
      </w:r>
      <w:r w:rsidR="00970995">
        <w:rPr>
          <w:rFonts w:ascii="Palatino Linotype" w:hAnsi="Palatino Linotype"/>
          <w:spacing w:val="-10"/>
        </w:rPr>
        <w:t>hich is DPA</w:t>
      </w:r>
      <w:r w:rsidRPr="00F276DA">
        <w:rPr>
          <w:rFonts w:ascii="Palatino Linotype" w:hAnsi="Palatino Linotype"/>
          <w:spacing w:val="-10"/>
        </w:rPr>
        <w:t xml:space="preserve">, can be characterized by the OLTV and subordination amount.  But there are other characteristics that are also important, including what, if any, repayment there is on the subordinate loan—when (or if) it must be repaid.  Many state HFA DPA programs include </w:t>
      </w:r>
      <w:r w:rsidRPr="00F276DA">
        <w:rPr>
          <w:rFonts w:ascii="Palatino Linotype" w:hAnsi="Palatino Linotype"/>
          <w:spacing w:val="-10"/>
          <w:rtl/>
          <w:lang w:val="ar-SA"/>
        </w:rPr>
        <w:t>“</w:t>
      </w:r>
      <w:r w:rsidRPr="00F276DA">
        <w:rPr>
          <w:rFonts w:ascii="Palatino Linotype" w:hAnsi="Palatino Linotype"/>
          <w:spacing w:val="-10"/>
        </w:rPr>
        <w:t>silent” second options for which an interest rate is not charged or have deferred payment options.  FHFA</w:t>
      </w:r>
      <w:r w:rsidRPr="00F276DA">
        <w:rPr>
          <w:rFonts w:ascii="Palatino Linotype" w:hAnsi="Palatino Linotype"/>
          <w:spacing w:val="-10"/>
          <w:rtl/>
        </w:rPr>
        <w:t>’</w:t>
      </w:r>
      <w:r w:rsidRPr="00F276DA">
        <w:rPr>
          <w:rFonts w:ascii="Palatino Linotype" w:hAnsi="Palatino Linotype"/>
          <w:spacing w:val="-10"/>
        </w:rPr>
        <w:t>s Framework does not</w:t>
      </w:r>
      <w:r w:rsidR="007F6223" w:rsidRPr="00F276DA">
        <w:rPr>
          <w:rFonts w:ascii="Palatino Linotype" w:hAnsi="Palatino Linotype"/>
          <w:spacing w:val="-10"/>
        </w:rPr>
        <w:t xml:space="preserve"> </w:t>
      </w:r>
      <w:r w:rsidRPr="00F276DA">
        <w:rPr>
          <w:rFonts w:ascii="Palatino Linotype" w:hAnsi="Palatino Linotype"/>
          <w:spacing w:val="-10"/>
        </w:rPr>
        <w:t>allow for the lower risk these borrower-friendly structures pose, effectively lumping all state HFA down</w:t>
      </w:r>
      <w:r w:rsidR="00171EA0">
        <w:rPr>
          <w:rFonts w:ascii="Palatino Linotype" w:hAnsi="Palatino Linotype"/>
          <w:spacing w:val="-10"/>
        </w:rPr>
        <w:t xml:space="preserve"> </w:t>
      </w:r>
      <w:r w:rsidRPr="00F276DA">
        <w:rPr>
          <w:rFonts w:ascii="Palatino Linotype" w:hAnsi="Palatino Linotype"/>
          <w:spacing w:val="-10"/>
        </w:rPr>
        <w:t xml:space="preserve">payment assistance programs together with all other types of subordinate financing.  </w:t>
      </w:r>
    </w:p>
    <w:p w14:paraId="59149573" w14:textId="77777777" w:rsidR="00D66DBA" w:rsidRPr="00F276DA" w:rsidRDefault="00D66DBA" w:rsidP="00D66DBA">
      <w:pPr>
        <w:pStyle w:val="Body"/>
        <w:spacing w:after="0" w:line="240" w:lineRule="auto"/>
        <w:ind w:firstLine="720"/>
        <w:jc w:val="both"/>
        <w:rPr>
          <w:rFonts w:ascii="Palatino Linotype" w:hAnsi="Palatino Linotype"/>
          <w:spacing w:val="-10"/>
        </w:rPr>
      </w:pPr>
    </w:p>
    <w:p w14:paraId="05B63F89" w14:textId="5E167288" w:rsidR="00D66DBA" w:rsidRPr="00F276DA" w:rsidRDefault="00171EA0" w:rsidP="00D66DBA">
      <w:pPr>
        <w:pStyle w:val="Body"/>
        <w:spacing w:after="0" w:line="240" w:lineRule="auto"/>
        <w:ind w:firstLine="720"/>
        <w:jc w:val="both"/>
        <w:rPr>
          <w:rFonts w:ascii="Palatino Linotype" w:hAnsi="Palatino Linotype"/>
          <w:bCs/>
          <w:spacing w:val="-10"/>
        </w:rPr>
      </w:pPr>
      <w:r>
        <w:rPr>
          <w:rFonts w:ascii="Palatino Linotype" w:hAnsi="Palatino Linotype"/>
          <w:bCs/>
          <w:spacing w:val="-10"/>
        </w:rPr>
        <w:t>FHFA should</w:t>
      </w:r>
      <w:r w:rsidR="00D66DBA" w:rsidRPr="00F276DA">
        <w:rPr>
          <w:rFonts w:ascii="Palatino Linotype" w:hAnsi="Palatino Linotype"/>
          <w:bCs/>
          <w:spacing w:val="-10"/>
        </w:rPr>
        <w:t xml:space="preserve"> exempt state HFA DPA programs from the higher capital requirements applied to other subordinate financing.</w:t>
      </w:r>
    </w:p>
    <w:p w14:paraId="3BB02DAE" w14:textId="77777777" w:rsidR="00D66DBA" w:rsidRPr="00F276DA" w:rsidRDefault="00D66DBA" w:rsidP="00D66DBA">
      <w:pPr>
        <w:pStyle w:val="Body"/>
        <w:spacing w:after="0" w:line="240" w:lineRule="auto"/>
        <w:ind w:firstLine="720"/>
        <w:jc w:val="both"/>
        <w:rPr>
          <w:rFonts w:ascii="Palatino Linotype" w:hAnsi="Palatino Linotype"/>
          <w:b/>
          <w:bCs/>
          <w:i/>
          <w:iCs/>
          <w:spacing w:val="-10"/>
          <w:shd w:val="clear" w:color="auto" w:fill="FFFF00"/>
        </w:rPr>
      </w:pPr>
    </w:p>
    <w:p w14:paraId="70D54DEA" w14:textId="4FBE31E9" w:rsidR="00D66DBA" w:rsidRPr="00F276DA" w:rsidRDefault="00D66DBA" w:rsidP="00D66DBA">
      <w:pPr>
        <w:pStyle w:val="Body"/>
        <w:spacing w:after="0" w:line="240" w:lineRule="auto"/>
        <w:ind w:firstLine="720"/>
        <w:jc w:val="both"/>
        <w:rPr>
          <w:rFonts w:ascii="Palatino Linotype" w:hAnsi="Palatino Linotype"/>
          <w:b/>
          <w:bCs/>
          <w:i/>
          <w:iCs/>
          <w:spacing w:val="-10"/>
        </w:rPr>
      </w:pPr>
      <w:r w:rsidRPr="00F276DA">
        <w:rPr>
          <w:rFonts w:ascii="Palatino Linotype" w:hAnsi="Palatino Linotype"/>
          <w:bCs/>
          <w:spacing w:val="-10"/>
          <w:u w:val="single"/>
        </w:rPr>
        <w:t>Third Party Originators</w:t>
      </w:r>
      <w:r w:rsidRPr="00F276DA">
        <w:rPr>
          <w:rFonts w:ascii="Palatino Linotype" w:hAnsi="Palatino Linotype"/>
          <w:spacing w:val="-10"/>
        </w:rPr>
        <w:t>.</w:t>
      </w:r>
      <w:r w:rsidR="00171EA0">
        <w:rPr>
          <w:rFonts w:ascii="Palatino Linotype" w:hAnsi="Palatino Linotype"/>
          <w:spacing w:val="-10"/>
        </w:rPr>
        <w:t xml:space="preserve">  FHFA should</w:t>
      </w:r>
      <w:r w:rsidRPr="00F276DA">
        <w:rPr>
          <w:rFonts w:ascii="Palatino Linotype" w:hAnsi="Palatino Linotype"/>
          <w:spacing w:val="-10"/>
        </w:rPr>
        <w:t xml:space="preserve"> exempt state HFA loans from the risk multiplier of 1.1 the Framework would apply to all loans originated by a third-party.  State HFAs rely on their networks of lenders to originate their affordable mortgage program loans and exercise extensive quality control over their lenders’ loans.  State HFAs monitor their lender partners closely and perform multiple levels of quality control on the loans originated by their lender partners prior to sale.  </w:t>
      </w:r>
    </w:p>
    <w:p w14:paraId="421B04D1" w14:textId="77777777" w:rsidR="00D66DBA" w:rsidRPr="00F276DA" w:rsidRDefault="00D66DBA" w:rsidP="00D66DBA">
      <w:pPr>
        <w:pStyle w:val="Body"/>
        <w:spacing w:after="0" w:line="240" w:lineRule="auto"/>
        <w:ind w:firstLine="720"/>
        <w:jc w:val="both"/>
        <w:rPr>
          <w:rFonts w:ascii="Palatino Linotype" w:hAnsi="Palatino Linotype"/>
          <w:b/>
          <w:bCs/>
          <w:i/>
          <w:iCs/>
          <w:spacing w:val="-10"/>
        </w:rPr>
      </w:pPr>
    </w:p>
    <w:p w14:paraId="219494AD" w14:textId="6CB28866" w:rsidR="00D66DBA" w:rsidRPr="00F276DA" w:rsidRDefault="00171EA0" w:rsidP="00D66DBA">
      <w:pPr>
        <w:pStyle w:val="Body"/>
        <w:spacing w:after="0" w:line="240" w:lineRule="auto"/>
        <w:ind w:firstLine="720"/>
        <w:jc w:val="both"/>
        <w:rPr>
          <w:rFonts w:ascii="Palatino Linotype" w:hAnsi="Palatino Linotype"/>
          <w:bCs/>
          <w:spacing w:val="-10"/>
        </w:rPr>
      </w:pPr>
      <w:r>
        <w:rPr>
          <w:rFonts w:ascii="Palatino Linotype" w:hAnsi="Palatino Linotype"/>
          <w:bCs/>
          <w:spacing w:val="-10"/>
        </w:rPr>
        <w:t xml:space="preserve">FHFA should </w:t>
      </w:r>
      <w:r w:rsidR="00D66DBA" w:rsidRPr="00F276DA">
        <w:rPr>
          <w:rFonts w:ascii="Palatino Linotype" w:hAnsi="Palatino Linotype"/>
          <w:bCs/>
          <w:spacing w:val="-10"/>
        </w:rPr>
        <w:t>exempt state HFA program loans from third-party originator risk adjustments.</w:t>
      </w:r>
    </w:p>
    <w:p w14:paraId="5C188704" w14:textId="77777777" w:rsidR="00D66DBA" w:rsidRPr="00F276DA" w:rsidRDefault="00D66DBA" w:rsidP="00D66DBA">
      <w:pPr>
        <w:pStyle w:val="Body"/>
        <w:spacing w:after="0" w:line="240" w:lineRule="auto"/>
        <w:ind w:firstLine="720"/>
        <w:jc w:val="both"/>
        <w:rPr>
          <w:rFonts w:ascii="Palatino Linotype" w:hAnsi="Palatino Linotype"/>
          <w:b/>
          <w:bCs/>
          <w:i/>
          <w:iCs/>
          <w:spacing w:val="-10"/>
          <w:shd w:val="clear" w:color="auto" w:fill="FFFF00"/>
        </w:rPr>
      </w:pPr>
    </w:p>
    <w:p w14:paraId="4E41151D" w14:textId="77777777" w:rsidR="00D66DBA" w:rsidRPr="00F276DA" w:rsidRDefault="00D66DBA" w:rsidP="00D66DBA">
      <w:pPr>
        <w:pStyle w:val="Body"/>
        <w:spacing w:after="0" w:line="240" w:lineRule="auto"/>
        <w:ind w:firstLine="720"/>
        <w:jc w:val="both"/>
        <w:rPr>
          <w:rFonts w:ascii="Palatino Linotype" w:hAnsi="Palatino Linotype"/>
          <w:spacing w:val="-10"/>
        </w:rPr>
      </w:pPr>
      <w:r w:rsidRPr="00F276DA">
        <w:rPr>
          <w:rFonts w:ascii="Palatino Linotype" w:hAnsi="Palatino Linotype"/>
          <w:bCs/>
          <w:spacing w:val="-10"/>
          <w:u w:val="single"/>
          <w:lang w:val="fr-FR"/>
        </w:rPr>
        <w:t>Mortgage Insurance</w:t>
      </w:r>
      <w:r w:rsidRPr="00F276DA">
        <w:rPr>
          <w:rFonts w:ascii="Palatino Linotype" w:hAnsi="Palatino Linotype"/>
          <w:spacing w:val="-10"/>
        </w:rPr>
        <w:t>.  Borrowers with OLTV mortgage loans above 80 percent are required to purchase mortgage insurance (MI). FHFA</w:t>
      </w:r>
      <w:r w:rsidRPr="00F276DA">
        <w:rPr>
          <w:rFonts w:ascii="Palatino Linotype" w:hAnsi="Palatino Linotype"/>
          <w:spacing w:val="-10"/>
          <w:rtl/>
        </w:rPr>
        <w:t>’</w:t>
      </w:r>
      <w:r w:rsidRPr="00F276DA">
        <w:rPr>
          <w:rFonts w:ascii="Palatino Linotype" w:hAnsi="Palatino Linotype"/>
          <w:spacing w:val="-10"/>
        </w:rPr>
        <w:t xml:space="preserve">s proposed Framework  would cause borrowers with MI to have </w:t>
      </w:r>
      <w:r w:rsidRPr="00F276DA">
        <w:rPr>
          <w:rFonts w:ascii="Palatino Linotype" w:hAnsi="Palatino Linotype"/>
          <w:spacing w:val="-10"/>
        </w:rPr>
        <w:lastRenderedPageBreak/>
        <w:t>higher interest rates unless they agree to maintain MI for the life of the loan instead of the customary policy of removing MI after the LTV reaches  80 percent (upon borrower</w:t>
      </w:r>
      <w:r w:rsidRPr="00F276DA">
        <w:rPr>
          <w:rFonts w:ascii="Palatino Linotype" w:hAnsi="Palatino Linotype"/>
          <w:spacing w:val="-10"/>
          <w:rtl/>
        </w:rPr>
        <w:t>’</w:t>
      </w:r>
      <w:r w:rsidRPr="00F276DA">
        <w:rPr>
          <w:rFonts w:ascii="Palatino Linotype" w:hAnsi="Palatino Linotype"/>
          <w:spacing w:val="-10"/>
        </w:rPr>
        <w:t xml:space="preserve">s request) or 78 percent (automatically), because FHFA would require a higher risk adjustment for loans where the MI may be removed.  Generally, the credit risk is equivalent for loans with the same LTV, whether or not the homebuyer achieved that LTV by amortization or because they used a large downpayment.  Therefore, why needlessly cause lower income homeowners—who are less likely to make large downpayments and more likely to obtain MI—to pay more for their mortgage loan over the life of their loan?  </w:t>
      </w:r>
    </w:p>
    <w:p w14:paraId="31D3E429" w14:textId="77777777" w:rsidR="00D66DBA" w:rsidRPr="00F276DA" w:rsidRDefault="00D66DBA" w:rsidP="00D66DBA">
      <w:pPr>
        <w:pStyle w:val="Body"/>
        <w:spacing w:after="0" w:line="240" w:lineRule="auto"/>
        <w:ind w:firstLine="720"/>
        <w:jc w:val="both"/>
        <w:rPr>
          <w:rFonts w:ascii="Palatino Linotype" w:hAnsi="Palatino Linotype"/>
          <w:spacing w:val="-10"/>
        </w:rPr>
      </w:pPr>
    </w:p>
    <w:p w14:paraId="28E4BE94" w14:textId="490BEA21" w:rsidR="00D66DBA" w:rsidRPr="00F276DA" w:rsidRDefault="00171EA0" w:rsidP="00D66DBA">
      <w:pPr>
        <w:pStyle w:val="Body"/>
        <w:spacing w:after="0" w:line="240" w:lineRule="auto"/>
        <w:ind w:firstLine="720"/>
        <w:jc w:val="both"/>
        <w:rPr>
          <w:rFonts w:ascii="Palatino Linotype" w:hAnsi="Palatino Linotype"/>
          <w:bCs/>
          <w:spacing w:val="-10"/>
        </w:rPr>
      </w:pPr>
      <w:r>
        <w:rPr>
          <w:rFonts w:ascii="Palatino Linotype" w:hAnsi="Palatino Linotype"/>
          <w:bCs/>
          <w:spacing w:val="-10"/>
        </w:rPr>
        <w:t>FHFA should</w:t>
      </w:r>
      <w:r w:rsidR="00D66DBA" w:rsidRPr="00F276DA">
        <w:rPr>
          <w:rFonts w:ascii="Palatino Linotype" w:hAnsi="Palatino Linotype"/>
          <w:bCs/>
          <w:spacing w:val="-10"/>
        </w:rPr>
        <w:t xml:space="preserve"> eliminate the proposed risk adjustment for loans that allow borrowers to remove their mortgage insurance after the LTV drops below 80 percent (upon a borrower’s request) or 78 percent (automatically).</w:t>
      </w:r>
    </w:p>
    <w:p w14:paraId="6A700AC1" w14:textId="77777777" w:rsidR="00D66DBA" w:rsidRPr="00F276DA" w:rsidRDefault="00D66DBA" w:rsidP="00D66DBA">
      <w:pPr>
        <w:pStyle w:val="Body"/>
        <w:spacing w:after="0" w:line="240" w:lineRule="auto"/>
        <w:ind w:firstLine="720"/>
        <w:jc w:val="both"/>
        <w:rPr>
          <w:rFonts w:ascii="Palatino Linotype" w:hAnsi="Palatino Linotype"/>
          <w:b/>
          <w:bCs/>
          <w:i/>
          <w:iCs/>
          <w:spacing w:val="-10"/>
        </w:rPr>
      </w:pPr>
    </w:p>
    <w:p w14:paraId="1F4257D3" w14:textId="77777777" w:rsidR="00171EA0" w:rsidRDefault="00D66DBA" w:rsidP="00D66DBA">
      <w:pPr>
        <w:pStyle w:val="Body"/>
        <w:spacing w:after="0" w:line="240" w:lineRule="auto"/>
        <w:jc w:val="both"/>
        <w:rPr>
          <w:rFonts w:ascii="Palatino Linotype" w:hAnsi="Palatino Linotype"/>
          <w:spacing w:val="-10"/>
        </w:rPr>
      </w:pPr>
      <w:r w:rsidRPr="00F276DA">
        <w:rPr>
          <w:rFonts w:ascii="Palatino Linotype" w:hAnsi="Palatino Linotype"/>
          <w:spacing w:val="-10"/>
        </w:rPr>
        <w:tab/>
        <w:t xml:space="preserve">Additionally, FHFA appears not to have considered its proposal’s </w:t>
      </w:r>
      <w:r w:rsidRPr="00F276DA">
        <w:rPr>
          <w:rFonts w:ascii="Palatino Linotype" w:hAnsi="Palatino Linotype"/>
          <w:spacing w:val="-10"/>
          <w:lang w:val="fr-FR"/>
        </w:rPr>
        <w:t>operational ramifications</w:t>
      </w:r>
      <w:r w:rsidRPr="00F276DA">
        <w:rPr>
          <w:rFonts w:ascii="Palatino Linotype" w:hAnsi="Palatino Linotype"/>
          <w:spacing w:val="-10"/>
        </w:rPr>
        <w:t xml:space="preserve">, including that risk profiles and credit enhancement factors for different MI companies would vary by company and by Enterprise. First, since each Enterprise determines its own methodology for rating mortgage insurance providers, the rating could be different between the two Enterprises for any given company.  </w:t>
      </w:r>
    </w:p>
    <w:p w14:paraId="7D56A151" w14:textId="77777777" w:rsidR="00171EA0" w:rsidRDefault="00171EA0" w:rsidP="00D66DBA">
      <w:pPr>
        <w:pStyle w:val="Body"/>
        <w:spacing w:after="0" w:line="240" w:lineRule="auto"/>
        <w:jc w:val="both"/>
        <w:rPr>
          <w:rFonts w:ascii="Palatino Linotype" w:hAnsi="Palatino Linotype"/>
          <w:spacing w:val="-10"/>
        </w:rPr>
      </w:pPr>
    </w:p>
    <w:p w14:paraId="675989E5" w14:textId="31AD5A86" w:rsidR="00D66DBA" w:rsidRPr="00F276DA" w:rsidRDefault="005039BF" w:rsidP="00D66DBA">
      <w:pPr>
        <w:pStyle w:val="Body"/>
        <w:spacing w:after="0" w:line="240" w:lineRule="auto"/>
        <w:jc w:val="both"/>
        <w:rPr>
          <w:rFonts w:ascii="Palatino Linotype" w:hAnsi="Palatino Linotype"/>
          <w:spacing w:val="-10"/>
        </w:rPr>
      </w:pPr>
      <w:r>
        <w:rPr>
          <w:rFonts w:ascii="Palatino Linotype" w:hAnsi="Palatino Linotype"/>
          <w:spacing w:val="-10"/>
        </w:rPr>
        <w:tab/>
      </w:r>
      <w:r w:rsidR="00D66DBA" w:rsidRPr="00F276DA">
        <w:rPr>
          <w:rFonts w:ascii="Palatino Linotype" w:hAnsi="Palatino Linotype"/>
          <w:spacing w:val="-10"/>
        </w:rPr>
        <w:t>How is a mortgage lender (or state HFA) to know which mortgage insurers have a more favorable rating so they can factor that information into their business decisions?  Will the Enterprise risk ratings for mortgage insurers be made public?  Second, for state HFAs that work with dozens of lenders (and in a number of cases, more than 100) at any given time, it will be an operational nightmare to have lenders with potentially differently-priced mortgage insurance providers offering the same program loan.  What will be the pooling implications for mor</w:t>
      </w:r>
      <w:r w:rsidR="00171EA0">
        <w:rPr>
          <w:rFonts w:ascii="Palatino Linotype" w:hAnsi="Palatino Linotype"/>
          <w:spacing w:val="-10"/>
        </w:rPr>
        <w:t xml:space="preserve">tgages?  We are also concerned the Framework </w:t>
      </w:r>
      <w:r w:rsidR="00D66DBA" w:rsidRPr="00F276DA">
        <w:rPr>
          <w:rFonts w:ascii="Palatino Linotype" w:hAnsi="Palatino Linotype"/>
          <w:spacing w:val="-10"/>
        </w:rPr>
        <w:t>would require state HFAs to determine the pooling and liquidity strategy for their loans much earlier in the process, reducing the flexibility state HFAs need.</w:t>
      </w:r>
    </w:p>
    <w:p w14:paraId="5D9EB3BA" w14:textId="2C61D158" w:rsidR="00B504E5" w:rsidRPr="00F276DA" w:rsidRDefault="00B504E5" w:rsidP="00D66DBA">
      <w:pPr>
        <w:pStyle w:val="Body"/>
        <w:spacing w:after="0" w:line="240" w:lineRule="auto"/>
        <w:jc w:val="both"/>
        <w:rPr>
          <w:rFonts w:ascii="Palatino Linotype" w:hAnsi="Palatino Linotype"/>
          <w:spacing w:val="-10"/>
        </w:rPr>
      </w:pPr>
    </w:p>
    <w:p w14:paraId="6EDFBDA1" w14:textId="5E70CBFF" w:rsidR="003D133F" w:rsidRPr="00F276DA" w:rsidRDefault="005C4CB0" w:rsidP="00A61FD4">
      <w:pPr>
        <w:pStyle w:val="Body"/>
        <w:spacing w:after="0" w:line="240" w:lineRule="auto"/>
        <w:ind w:firstLine="720"/>
        <w:jc w:val="both"/>
        <w:rPr>
          <w:rFonts w:ascii="Palatino Linotype" w:hAnsi="Palatino Linotype"/>
          <w:spacing w:val="-10"/>
        </w:rPr>
      </w:pPr>
      <w:r w:rsidRPr="00F276DA">
        <w:rPr>
          <w:rFonts w:ascii="Palatino Linotype" w:hAnsi="Palatino Linotype"/>
          <w:bCs/>
          <w:spacing w:val="-10"/>
          <w:u w:val="single"/>
        </w:rPr>
        <w:t>Credit Score</w:t>
      </w:r>
      <w:r w:rsidRPr="00F276DA">
        <w:rPr>
          <w:rFonts w:ascii="Palatino Linotype" w:hAnsi="Palatino Linotype"/>
          <w:bCs/>
          <w:spacing w:val="-10"/>
        </w:rPr>
        <w:t>.</w:t>
      </w:r>
      <w:r w:rsidR="00BB1A6D" w:rsidRPr="00F276DA">
        <w:rPr>
          <w:rFonts w:ascii="Palatino Linotype" w:hAnsi="Palatino Linotype"/>
          <w:spacing w:val="-10"/>
        </w:rPr>
        <w:t xml:space="preserve"> </w:t>
      </w:r>
      <w:r w:rsidRPr="00F276DA">
        <w:rPr>
          <w:rFonts w:ascii="Palatino Linotype" w:hAnsi="Palatino Linotype"/>
          <w:spacing w:val="-10"/>
        </w:rPr>
        <w:t xml:space="preserve">The Framework relies too heavily on credit scoring and OLTV. These measures, applied without other considerations, disqualify too many creditworthy borrowers.  Compounding this is the fact that FHFA has not proposed any supplemental methodology for borrower qualification that would enable a mortgage lender to take into account </w:t>
      </w:r>
      <w:r w:rsidR="003D133F" w:rsidRPr="00F276DA">
        <w:rPr>
          <w:rFonts w:ascii="Palatino Linotype" w:hAnsi="Palatino Linotype"/>
          <w:spacing w:val="-10"/>
        </w:rPr>
        <w:t xml:space="preserve">additional </w:t>
      </w:r>
      <w:r w:rsidRPr="00F276DA">
        <w:rPr>
          <w:rFonts w:ascii="Palatino Linotype" w:hAnsi="Palatino Linotype"/>
          <w:spacing w:val="-10"/>
        </w:rPr>
        <w:t>characteristics indicat</w:t>
      </w:r>
      <w:r w:rsidR="003D133F" w:rsidRPr="00F276DA">
        <w:rPr>
          <w:rFonts w:ascii="Palatino Linotype" w:hAnsi="Palatino Linotype"/>
          <w:spacing w:val="-10"/>
        </w:rPr>
        <w:t>ing</w:t>
      </w:r>
      <w:r w:rsidRPr="00F276DA">
        <w:rPr>
          <w:rFonts w:ascii="Palatino Linotype" w:hAnsi="Palatino Linotype"/>
          <w:spacing w:val="-10"/>
        </w:rPr>
        <w:t xml:space="preserve"> creditworthiness, </w:t>
      </w:r>
      <w:r w:rsidR="003D133F" w:rsidRPr="00F276DA">
        <w:rPr>
          <w:rFonts w:ascii="Palatino Linotype" w:hAnsi="Palatino Linotype"/>
          <w:spacing w:val="-10"/>
        </w:rPr>
        <w:t>including</w:t>
      </w:r>
      <w:r w:rsidRPr="00F276DA">
        <w:rPr>
          <w:rFonts w:ascii="Palatino Linotype" w:hAnsi="Palatino Linotype"/>
          <w:spacing w:val="-10"/>
        </w:rPr>
        <w:t xml:space="preserve"> on-time rent</w:t>
      </w:r>
      <w:r w:rsidR="003D133F" w:rsidRPr="00F276DA">
        <w:rPr>
          <w:rFonts w:ascii="Palatino Linotype" w:hAnsi="Palatino Linotype"/>
          <w:spacing w:val="-10"/>
        </w:rPr>
        <w:t xml:space="preserve">, phone bill, and utility </w:t>
      </w:r>
      <w:r w:rsidRPr="00F276DA">
        <w:rPr>
          <w:rFonts w:ascii="Palatino Linotype" w:hAnsi="Palatino Linotype"/>
          <w:spacing w:val="-10"/>
        </w:rPr>
        <w:t xml:space="preserve">payments.  Relying too much on credit scores is also likely to make it harder for people of color to become homeowners.  </w:t>
      </w:r>
    </w:p>
    <w:p w14:paraId="3CA73AF9" w14:textId="77777777" w:rsidR="00171EA0" w:rsidRDefault="00171EA0" w:rsidP="00A61FD4">
      <w:pPr>
        <w:pStyle w:val="Body"/>
        <w:spacing w:after="0" w:line="240" w:lineRule="auto"/>
        <w:ind w:firstLine="720"/>
        <w:jc w:val="both"/>
        <w:rPr>
          <w:rFonts w:ascii="Palatino Linotype" w:hAnsi="Palatino Linotype"/>
          <w:spacing w:val="-10"/>
        </w:rPr>
      </w:pPr>
    </w:p>
    <w:p w14:paraId="6FCBE37B" w14:textId="599F1E35" w:rsidR="00127133" w:rsidRPr="00F276DA" w:rsidRDefault="00171EA0" w:rsidP="00A61FD4">
      <w:pPr>
        <w:pStyle w:val="Body"/>
        <w:spacing w:after="0" w:line="240" w:lineRule="auto"/>
        <w:ind w:firstLine="720"/>
        <w:jc w:val="both"/>
        <w:rPr>
          <w:rFonts w:ascii="Palatino Linotype" w:hAnsi="Palatino Linotype"/>
          <w:bCs/>
          <w:spacing w:val="-10"/>
        </w:rPr>
      </w:pPr>
      <w:r>
        <w:rPr>
          <w:rFonts w:ascii="Palatino Linotype" w:hAnsi="Palatino Linotype"/>
          <w:bCs/>
          <w:spacing w:val="-10"/>
        </w:rPr>
        <w:t>FHFA should</w:t>
      </w:r>
      <w:r w:rsidR="005C4CB0" w:rsidRPr="00F276DA">
        <w:rPr>
          <w:rFonts w:ascii="Palatino Linotype" w:hAnsi="Palatino Linotype"/>
          <w:bCs/>
          <w:spacing w:val="-10"/>
        </w:rPr>
        <w:t xml:space="preserve"> consider ways risk adjustors can favorably take into account alternatives to credit scores for first-time and low- to moderate income homebuyers and people of color.    </w:t>
      </w:r>
    </w:p>
    <w:p w14:paraId="5A439400" w14:textId="77777777" w:rsidR="00903565" w:rsidRPr="00F276DA" w:rsidRDefault="00903565" w:rsidP="00A61FD4">
      <w:pPr>
        <w:pStyle w:val="Body"/>
        <w:spacing w:after="0" w:line="240" w:lineRule="auto"/>
        <w:ind w:firstLine="720"/>
        <w:jc w:val="both"/>
        <w:rPr>
          <w:rFonts w:ascii="Palatino Linotype" w:hAnsi="Palatino Linotype"/>
          <w:b/>
          <w:bCs/>
          <w:i/>
          <w:iCs/>
          <w:spacing w:val="-10"/>
        </w:rPr>
      </w:pPr>
    </w:p>
    <w:p w14:paraId="2899D5FE" w14:textId="27EFDF49" w:rsidR="00C20B8B" w:rsidRPr="00F276DA" w:rsidRDefault="005C4CB0" w:rsidP="00A61FD4">
      <w:pPr>
        <w:pStyle w:val="Body"/>
        <w:spacing w:after="0" w:line="240" w:lineRule="auto"/>
        <w:ind w:firstLine="720"/>
        <w:jc w:val="both"/>
        <w:rPr>
          <w:rFonts w:ascii="Palatino Linotype" w:hAnsi="Palatino Linotype"/>
          <w:spacing w:val="-10"/>
        </w:rPr>
      </w:pPr>
      <w:r w:rsidRPr="00F276DA">
        <w:rPr>
          <w:rFonts w:ascii="Palatino Linotype" w:hAnsi="Palatino Linotype"/>
          <w:bCs/>
          <w:spacing w:val="-10"/>
          <w:u w:val="single"/>
          <w:lang w:val="pt-PT"/>
        </w:rPr>
        <w:t>Condominiums</w:t>
      </w:r>
      <w:r w:rsidRPr="00F276DA">
        <w:rPr>
          <w:rFonts w:ascii="Palatino Linotype" w:hAnsi="Palatino Linotype"/>
          <w:bCs/>
          <w:spacing w:val="-10"/>
          <w:lang w:val="pt-PT"/>
        </w:rPr>
        <w:t>.</w:t>
      </w:r>
      <w:r w:rsidR="00BB1A6D" w:rsidRPr="00F276DA">
        <w:rPr>
          <w:rFonts w:ascii="Palatino Linotype" w:hAnsi="Palatino Linotype"/>
          <w:spacing w:val="-10"/>
        </w:rPr>
        <w:t xml:space="preserve"> </w:t>
      </w:r>
      <w:r w:rsidRPr="00F276DA">
        <w:rPr>
          <w:rFonts w:ascii="Palatino Linotype" w:hAnsi="Palatino Linotype"/>
          <w:spacing w:val="-10"/>
        </w:rPr>
        <w:t xml:space="preserve">In high-cost or urban areas, condominiums </w:t>
      </w:r>
      <w:r w:rsidR="00C20B8B" w:rsidRPr="00F276DA">
        <w:rPr>
          <w:rFonts w:ascii="Palatino Linotype" w:hAnsi="Palatino Linotype"/>
          <w:spacing w:val="-10"/>
        </w:rPr>
        <w:t xml:space="preserve">often </w:t>
      </w:r>
      <w:r w:rsidRPr="00F276DA">
        <w:rPr>
          <w:rFonts w:ascii="Palatino Linotype" w:hAnsi="Palatino Linotype"/>
          <w:spacing w:val="-10"/>
        </w:rPr>
        <w:t>are the most affordable entry-level homeownership opportunities for first-time homebuyers.  While they represent different collateral risk than single-unit detached single-family homes, what is FHFA</w:t>
      </w:r>
      <w:r w:rsidRPr="00F276DA">
        <w:rPr>
          <w:rFonts w:ascii="Palatino Linotype" w:hAnsi="Palatino Linotype"/>
          <w:spacing w:val="-10"/>
          <w:rtl/>
        </w:rPr>
        <w:t>’</w:t>
      </w:r>
      <w:r w:rsidRPr="00F276DA">
        <w:rPr>
          <w:rFonts w:ascii="Palatino Linotype" w:hAnsi="Palatino Linotype"/>
          <w:spacing w:val="-10"/>
        </w:rPr>
        <w:t xml:space="preserve">s basis for subjecting condominium loans to a </w:t>
      </w:r>
      <w:r w:rsidR="00C20B8B" w:rsidRPr="00F276DA">
        <w:rPr>
          <w:rFonts w:ascii="Palatino Linotype" w:hAnsi="Palatino Linotype"/>
          <w:spacing w:val="-10"/>
        </w:rPr>
        <w:t xml:space="preserve">higher </w:t>
      </w:r>
      <w:r w:rsidRPr="00F276DA">
        <w:rPr>
          <w:rFonts w:ascii="Palatino Linotype" w:hAnsi="Palatino Linotype"/>
          <w:spacing w:val="-10"/>
        </w:rPr>
        <w:t xml:space="preserve">risk adjustment?  Both Enterprises maintain a Project Approval List, requiring a condominium project to be </w:t>
      </w:r>
      <w:r w:rsidRPr="00F276DA">
        <w:rPr>
          <w:rFonts w:ascii="Palatino Linotype" w:hAnsi="Palatino Linotype"/>
          <w:spacing w:val="-10"/>
          <w:rtl/>
          <w:lang w:val="ar-SA"/>
        </w:rPr>
        <w:t>“</w:t>
      </w:r>
      <w:r w:rsidRPr="00F276DA">
        <w:rPr>
          <w:rFonts w:ascii="Palatino Linotype" w:hAnsi="Palatino Linotype"/>
          <w:spacing w:val="-10"/>
          <w:lang w:val="it-IT"/>
        </w:rPr>
        <w:t>approved</w:t>
      </w:r>
      <w:r w:rsidRPr="00F276DA">
        <w:rPr>
          <w:rFonts w:ascii="Palatino Linotype" w:hAnsi="Palatino Linotype"/>
          <w:spacing w:val="-10"/>
        </w:rPr>
        <w:t xml:space="preserve">” for delivery of a mortgage loan secured by a unit in that condominium.  Project </w:t>
      </w:r>
      <w:r w:rsidRPr="00F276DA">
        <w:rPr>
          <w:rFonts w:ascii="Palatino Linotype" w:hAnsi="Palatino Linotype"/>
          <w:spacing w:val="-10"/>
        </w:rPr>
        <w:lastRenderedPageBreak/>
        <w:t xml:space="preserve">approval involves an extensive </w:t>
      </w:r>
      <w:r w:rsidRPr="00F276DA">
        <w:rPr>
          <w:rFonts w:ascii="Palatino Linotype" w:hAnsi="Palatino Linotype"/>
          <w:spacing w:val="-10"/>
          <w:rtl/>
          <w:lang w:val="ar-SA"/>
        </w:rPr>
        <w:t>“</w:t>
      </w:r>
      <w:r w:rsidRPr="00F276DA">
        <w:rPr>
          <w:rFonts w:ascii="Palatino Linotype" w:hAnsi="Palatino Linotype"/>
          <w:spacing w:val="-10"/>
        </w:rPr>
        <w:t xml:space="preserve">underwriting” of the viability of that condominium project and ensures that units in the most well-run/managed condominium units secure Enterprise mortgage loans.  </w:t>
      </w:r>
    </w:p>
    <w:p w14:paraId="66A6681D" w14:textId="77777777" w:rsidR="00C20B8B" w:rsidRPr="00F276DA" w:rsidRDefault="00C20B8B" w:rsidP="00A61FD4">
      <w:pPr>
        <w:pStyle w:val="Body"/>
        <w:spacing w:after="0" w:line="240" w:lineRule="auto"/>
        <w:ind w:firstLine="720"/>
        <w:jc w:val="both"/>
        <w:rPr>
          <w:rFonts w:ascii="Palatino Linotype" w:hAnsi="Palatino Linotype"/>
          <w:spacing w:val="-10"/>
        </w:rPr>
      </w:pPr>
    </w:p>
    <w:p w14:paraId="771892B4" w14:textId="52A5F138" w:rsidR="00127133" w:rsidRPr="00F276DA" w:rsidRDefault="005C4CB0" w:rsidP="00A61FD4">
      <w:pPr>
        <w:pStyle w:val="Body"/>
        <w:spacing w:after="0" w:line="240" w:lineRule="auto"/>
        <w:ind w:firstLine="720"/>
        <w:jc w:val="both"/>
        <w:rPr>
          <w:rFonts w:ascii="Palatino Linotype" w:hAnsi="Palatino Linotype"/>
          <w:bCs/>
          <w:spacing w:val="-10"/>
        </w:rPr>
      </w:pPr>
      <w:r w:rsidRPr="00F276DA">
        <w:rPr>
          <w:rFonts w:ascii="Palatino Linotype" w:hAnsi="Palatino Linotype"/>
          <w:bCs/>
          <w:spacing w:val="-10"/>
        </w:rPr>
        <w:t xml:space="preserve">FHFA </w:t>
      </w:r>
      <w:r w:rsidR="00171EA0">
        <w:rPr>
          <w:rFonts w:ascii="Palatino Linotype" w:hAnsi="Palatino Linotype"/>
          <w:bCs/>
          <w:spacing w:val="-10"/>
        </w:rPr>
        <w:t xml:space="preserve">should </w:t>
      </w:r>
      <w:r w:rsidRPr="00F276DA">
        <w:rPr>
          <w:rFonts w:ascii="Palatino Linotype" w:hAnsi="Palatino Linotype"/>
          <w:bCs/>
          <w:spacing w:val="-10"/>
        </w:rPr>
        <w:t>remov</w:t>
      </w:r>
      <w:r w:rsidR="00C20B8B" w:rsidRPr="00F276DA">
        <w:rPr>
          <w:rFonts w:ascii="Palatino Linotype" w:hAnsi="Palatino Linotype"/>
          <w:bCs/>
          <w:spacing w:val="-10"/>
        </w:rPr>
        <w:t>e</w:t>
      </w:r>
      <w:r w:rsidRPr="00F276DA">
        <w:rPr>
          <w:rFonts w:ascii="Palatino Linotype" w:hAnsi="Palatino Linotype"/>
          <w:bCs/>
          <w:spacing w:val="-10"/>
        </w:rPr>
        <w:t xml:space="preserve"> the condominium risk multiplier of 1.1.</w:t>
      </w:r>
    </w:p>
    <w:p w14:paraId="0E1C04FB" w14:textId="77777777" w:rsidR="00903565" w:rsidRPr="00F276DA" w:rsidRDefault="00903565" w:rsidP="00304A98">
      <w:pPr>
        <w:pStyle w:val="Body"/>
        <w:spacing w:after="0" w:line="240" w:lineRule="auto"/>
        <w:ind w:firstLine="720"/>
        <w:jc w:val="both"/>
        <w:rPr>
          <w:rFonts w:ascii="Palatino Linotype" w:hAnsi="Palatino Linotype"/>
          <w:b/>
          <w:bCs/>
          <w:i/>
          <w:iCs/>
          <w:spacing w:val="-10"/>
        </w:rPr>
      </w:pPr>
    </w:p>
    <w:p w14:paraId="2286FF21" w14:textId="77777777" w:rsidR="00BB1A6D" w:rsidRPr="00F276DA" w:rsidRDefault="005C4CB0" w:rsidP="00304A98">
      <w:pPr>
        <w:pStyle w:val="Body"/>
        <w:spacing w:after="0" w:line="240" w:lineRule="auto"/>
        <w:jc w:val="both"/>
        <w:rPr>
          <w:rFonts w:ascii="Palatino Linotype" w:hAnsi="Palatino Linotype"/>
          <w:spacing w:val="-10"/>
        </w:rPr>
      </w:pPr>
      <w:r w:rsidRPr="00F276DA">
        <w:rPr>
          <w:rFonts w:ascii="Palatino Linotype" w:hAnsi="Palatino Linotype"/>
          <w:spacing w:val="-10"/>
        </w:rPr>
        <w:tab/>
      </w:r>
      <w:r w:rsidR="00304A98" w:rsidRPr="00F276DA">
        <w:rPr>
          <w:rFonts w:ascii="Palatino Linotype" w:hAnsi="Palatino Linotype"/>
          <w:bCs/>
          <w:spacing w:val="-10"/>
          <w:u w:val="single"/>
        </w:rPr>
        <w:t>Mortgage Loans Originated Based on an As-Completed Value</w:t>
      </w:r>
      <w:r w:rsidR="00304A98" w:rsidRPr="00F276DA">
        <w:rPr>
          <w:rFonts w:ascii="Palatino Linotype" w:hAnsi="Palatino Linotype"/>
          <w:bCs/>
          <w:spacing w:val="-10"/>
        </w:rPr>
        <w:t>.</w:t>
      </w:r>
      <w:r w:rsidR="00304A98" w:rsidRPr="00F276DA">
        <w:rPr>
          <w:rFonts w:ascii="Palatino Linotype" w:hAnsi="Palatino Linotype"/>
          <w:spacing w:val="-10"/>
        </w:rPr>
        <w:t xml:space="preserve"> The Framework does not seem to take into account that both Enterprises permit delivery of mortgage loans underwritten off of an “as-completed” value (e.g., HomeStyle and ChoiceRenovation). Because the improvements would not have been made at the time of loan purchase, these products could be considered to be high-LTV loans with significantly higher base risk weights.  When disbursed, loan proceeds are used to both purchase the property and fund an escrow from which funds for the documented property improvements will be spent.  At the end of rehab, the LTV will be less than it was at origination because, through rehabilitation, the property’s value will have increased.  </w:t>
      </w:r>
    </w:p>
    <w:p w14:paraId="3622950A" w14:textId="77777777" w:rsidR="00BB1A6D" w:rsidRPr="00F276DA" w:rsidRDefault="00BB1A6D" w:rsidP="00304A98">
      <w:pPr>
        <w:pStyle w:val="Body"/>
        <w:spacing w:after="0" w:line="240" w:lineRule="auto"/>
        <w:jc w:val="both"/>
        <w:rPr>
          <w:rFonts w:ascii="Palatino Linotype" w:hAnsi="Palatino Linotype"/>
          <w:spacing w:val="-10"/>
        </w:rPr>
      </w:pPr>
    </w:p>
    <w:p w14:paraId="589735DB" w14:textId="1ED94EDD" w:rsidR="00304A98" w:rsidRPr="00F276DA" w:rsidRDefault="00BB1A6D" w:rsidP="00304A98">
      <w:pPr>
        <w:pStyle w:val="Body"/>
        <w:spacing w:after="0" w:line="240" w:lineRule="auto"/>
        <w:jc w:val="both"/>
        <w:rPr>
          <w:rFonts w:ascii="Palatino Linotype" w:hAnsi="Palatino Linotype"/>
          <w:spacing w:val="-10"/>
        </w:rPr>
      </w:pPr>
      <w:r w:rsidRPr="00F276DA">
        <w:rPr>
          <w:rFonts w:ascii="Palatino Linotype" w:hAnsi="Palatino Linotype"/>
          <w:spacing w:val="-10"/>
        </w:rPr>
        <w:tab/>
      </w:r>
      <w:r w:rsidR="00304A98" w:rsidRPr="00F276DA">
        <w:rPr>
          <w:rFonts w:ascii="Palatino Linotype" w:hAnsi="Palatino Linotype"/>
          <w:spacing w:val="-10"/>
        </w:rPr>
        <w:t>Purchase-rehab products are important to purchasers of America</w:t>
      </w:r>
      <w:r w:rsidR="00304A98" w:rsidRPr="00F276DA">
        <w:rPr>
          <w:rFonts w:ascii="Palatino Linotype" w:hAnsi="Palatino Linotype" w:cs="Times New Roman"/>
          <w:spacing w:val="-10"/>
          <w:rtl/>
        </w:rPr>
        <w:t>’</w:t>
      </w:r>
      <w:r w:rsidR="00304A98" w:rsidRPr="00F276DA">
        <w:rPr>
          <w:rFonts w:ascii="Palatino Linotype" w:hAnsi="Palatino Linotype"/>
          <w:spacing w:val="-10"/>
        </w:rPr>
        <w:t>s older housing stock.  Two years ago, Housing Wire</w:t>
      </w:r>
      <w:r w:rsidR="00304A98" w:rsidRPr="00F276DA">
        <w:rPr>
          <w:rFonts w:ascii="Palatino Linotype" w:eastAsia="Calibri" w:hAnsi="Palatino Linotype" w:cs="Calibri"/>
          <w:spacing w:val="-10"/>
          <w:vertAlign w:val="superscript"/>
        </w:rPr>
        <w:footnoteReference w:id="5"/>
      </w:r>
      <w:r w:rsidR="00304A98" w:rsidRPr="00F276DA">
        <w:rPr>
          <w:rFonts w:ascii="Palatino Linotype" w:hAnsi="Palatino Linotype"/>
          <w:spacing w:val="-10"/>
        </w:rPr>
        <w:t xml:space="preserve"> reported the median age of owner-occupied homes in the US is 37 years.  In Massachusetts, where MassHousing lenders offer Enterprise purchase-rehab products, more than half of the housing stock in the state is more than 50 years old.  Approximately 60 percent of all its housing units were built in 1969 or earlier, and almost a third were built before 1939.  Many states, particularly in the Northeast and industrial Midwest, have similarly aged housing stock.</w:t>
      </w:r>
    </w:p>
    <w:p w14:paraId="35FCBAEE" w14:textId="3B9C1600" w:rsidR="00304A98" w:rsidRPr="00F276DA" w:rsidRDefault="00304A98" w:rsidP="00304A98">
      <w:pPr>
        <w:pStyle w:val="Body"/>
        <w:spacing w:after="0" w:line="240" w:lineRule="auto"/>
        <w:jc w:val="both"/>
        <w:rPr>
          <w:rFonts w:ascii="Palatino Linotype" w:hAnsi="Palatino Linotype"/>
          <w:spacing w:val="-10"/>
        </w:rPr>
      </w:pPr>
    </w:p>
    <w:p w14:paraId="4B3240C5" w14:textId="4976DBE5" w:rsidR="00304A98" w:rsidRPr="00F276DA" w:rsidRDefault="00304A98" w:rsidP="00304A98">
      <w:pPr>
        <w:pStyle w:val="Body"/>
        <w:spacing w:after="0" w:line="240" w:lineRule="auto"/>
        <w:ind w:firstLine="720"/>
        <w:jc w:val="both"/>
        <w:rPr>
          <w:rFonts w:ascii="Palatino Linotype" w:hAnsi="Palatino Linotype"/>
          <w:bCs/>
          <w:spacing w:val="-10"/>
        </w:rPr>
      </w:pPr>
      <w:r w:rsidRPr="00F276DA">
        <w:rPr>
          <w:rFonts w:ascii="Palatino Linotype" w:hAnsi="Palatino Linotype"/>
          <w:bCs/>
          <w:spacing w:val="-10"/>
        </w:rPr>
        <w:t>FHFA</w:t>
      </w:r>
      <w:r w:rsidR="00171EA0">
        <w:rPr>
          <w:rFonts w:ascii="Palatino Linotype" w:hAnsi="Palatino Linotype"/>
          <w:bCs/>
          <w:spacing w:val="-10"/>
        </w:rPr>
        <w:t xml:space="preserve"> should</w:t>
      </w:r>
      <w:r w:rsidRPr="00F276DA">
        <w:rPr>
          <w:rFonts w:ascii="Palatino Linotype" w:hAnsi="Palatino Linotype"/>
          <w:bCs/>
          <w:spacing w:val="-10"/>
        </w:rPr>
        <w:t xml:space="preserve"> minimize penalties and introduce flexibilities into its Framework that would accommodate innovative products, such as HomeStyle and CHOICERenovation, that enable homeowners to modernize their homes. </w:t>
      </w:r>
    </w:p>
    <w:p w14:paraId="548EC780" w14:textId="77777777" w:rsidR="00171EA0" w:rsidRDefault="00171EA0" w:rsidP="00A53313">
      <w:pPr>
        <w:pStyle w:val="Body"/>
        <w:spacing w:after="0" w:line="240" w:lineRule="auto"/>
        <w:jc w:val="both"/>
        <w:rPr>
          <w:rFonts w:ascii="Palatino Linotype" w:hAnsi="Palatino Linotype"/>
          <w:spacing w:val="-10"/>
        </w:rPr>
      </w:pPr>
    </w:p>
    <w:p w14:paraId="2832D793" w14:textId="77777777" w:rsidR="00171EA0" w:rsidRDefault="005C4CB0" w:rsidP="00A53313">
      <w:pPr>
        <w:pStyle w:val="Body"/>
        <w:spacing w:after="0" w:line="240" w:lineRule="auto"/>
        <w:jc w:val="both"/>
        <w:rPr>
          <w:rFonts w:ascii="Palatino Linotype" w:hAnsi="Palatino Linotype"/>
          <w:spacing w:val="-10"/>
        </w:rPr>
      </w:pPr>
      <w:r w:rsidRPr="00F276DA">
        <w:rPr>
          <w:rFonts w:ascii="Palatino Linotype" w:hAnsi="Palatino Linotype"/>
          <w:spacing w:val="-10"/>
        </w:rPr>
        <w:tab/>
      </w:r>
      <w:r w:rsidRPr="00F276DA">
        <w:rPr>
          <w:rFonts w:ascii="Palatino Linotype" w:hAnsi="Palatino Linotype"/>
          <w:bCs/>
          <w:spacing w:val="-10"/>
          <w:u w:val="single"/>
        </w:rPr>
        <w:t>Homebuyer Education</w:t>
      </w:r>
      <w:r w:rsidR="00DA40F4" w:rsidRPr="00F276DA">
        <w:rPr>
          <w:rFonts w:ascii="Palatino Linotype" w:hAnsi="Palatino Linotype" w:cs="Calibri"/>
          <w:bCs/>
          <w:spacing w:val="-10"/>
          <w:u w:val="single"/>
          <w:lang w:val="fr-FR"/>
        </w:rPr>
        <w:t xml:space="preserve"> and Unemployment Insurance</w:t>
      </w:r>
      <w:r w:rsidR="00DA40F4" w:rsidRPr="00F276DA">
        <w:rPr>
          <w:rFonts w:ascii="Palatino Linotype" w:hAnsi="Palatino Linotype" w:cs="Calibri"/>
          <w:b/>
          <w:bCs/>
          <w:spacing w:val="-10"/>
          <w:lang w:val="fr-FR"/>
        </w:rPr>
        <w:t>.</w:t>
      </w:r>
      <w:r w:rsidRPr="00F276DA">
        <w:rPr>
          <w:rFonts w:ascii="Palatino Linotype" w:hAnsi="Palatino Linotype"/>
          <w:spacing w:val="-10"/>
        </w:rPr>
        <w:t xml:space="preserve"> FHFA</w:t>
      </w:r>
      <w:r w:rsidRPr="00F276DA">
        <w:rPr>
          <w:rFonts w:ascii="Palatino Linotype" w:hAnsi="Palatino Linotype"/>
          <w:spacing w:val="-10"/>
          <w:rtl/>
        </w:rPr>
        <w:t>’</w:t>
      </w:r>
      <w:r w:rsidRPr="00F276DA">
        <w:rPr>
          <w:rFonts w:ascii="Palatino Linotype" w:hAnsi="Palatino Linotype"/>
          <w:spacing w:val="-10"/>
        </w:rPr>
        <w:t>s Framework fails to consider one of the most common risk mitigants used by the affordable housing industry and state HFAs to ensure first-time homebuyers understand homeownership and their obligations to their mortgage lender</w:t>
      </w:r>
      <w:r w:rsidR="008C69D5" w:rsidRPr="00F276DA">
        <w:rPr>
          <w:rFonts w:ascii="Palatino Linotype" w:hAnsi="Palatino Linotype"/>
          <w:spacing w:val="-10"/>
        </w:rPr>
        <w:t>s</w:t>
      </w:r>
      <w:r w:rsidRPr="00F276DA">
        <w:rPr>
          <w:rFonts w:ascii="Palatino Linotype" w:hAnsi="Palatino Linotype"/>
          <w:spacing w:val="-10"/>
        </w:rPr>
        <w:t xml:space="preserve">:  housing counseling.  </w:t>
      </w:r>
    </w:p>
    <w:p w14:paraId="7714C6AC" w14:textId="77777777" w:rsidR="00171EA0" w:rsidRDefault="00171EA0" w:rsidP="00A53313">
      <w:pPr>
        <w:pStyle w:val="Body"/>
        <w:spacing w:after="0" w:line="240" w:lineRule="auto"/>
        <w:jc w:val="both"/>
        <w:rPr>
          <w:rFonts w:ascii="Palatino Linotype" w:hAnsi="Palatino Linotype"/>
          <w:spacing w:val="-10"/>
        </w:rPr>
      </w:pPr>
    </w:p>
    <w:p w14:paraId="45811D2D" w14:textId="142EDFE1" w:rsidR="00127133" w:rsidRPr="00F276DA" w:rsidRDefault="00171EA0" w:rsidP="00A53313">
      <w:pPr>
        <w:pStyle w:val="Body"/>
        <w:spacing w:after="0" w:line="240" w:lineRule="auto"/>
        <w:jc w:val="both"/>
        <w:rPr>
          <w:rFonts w:ascii="Palatino Linotype" w:hAnsi="Palatino Linotype"/>
          <w:spacing w:val="-10"/>
        </w:rPr>
      </w:pPr>
      <w:r>
        <w:rPr>
          <w:rFonts w:ascii="Palatino Linotype" w:hAnsi="Palatino Linotype"/>
          <w:spacing w:val="-10"/>
        </w:rPr>
        <w:tab/>
        <w:t>FHFA should</w:t>
      </w:r>
      <w:r w:rsidR="005C4CB0" w:rsidRPr="00F276DA">
        <w:rPr>
          <w:rFonts w:ascii="Palatino Linotype" w:hAnsi="Palatino Linotype"/>
          <w:spacing w:val="-10"/>
        </w:rPr>
        <w:t xml:space="preserve"> revise its risk adjustment matrices to favorably treat loans where borrowers receive homebuyer counseling from a HUD-certified housing counseling agency.  According to the U.S. Department of Housing and Urban Development</w:t>
      </w:r>
      <w:r w:rsidR="005C4CB0" w:rsidRPr="00F276DA">
        <w:rPr>
          <w:rFonts w:ascii="Palatino Linotype" w:hAnsi="Palatino Linotype"/>
          <w:spacing w:val="-10"/>
          <w:rtl/>
        </w:rPr>
        <w:t>’</w:t>
      </w:r>
      <w:r w:rsidR="005C4CB0" w:rsidRPr="00F276DA">
        <w:rPr>
          <w:rFonts w:ascii="Palatino Linotype" w:hAnsi="Palatino Linotype"/>
          <w:spacing w:val="-10"/>
          <w:lang w:val="nl-NL"/>
        </w:rPr>
        <w:t>s (HUD) website</w:t>
      </w:r>
      <w:r w:rsidR="005C4CB0" w:rsidRPr="00F276DA">
        <w:rPr>
          <w:rFonts w:ascii="Palatino Linotype" w:eastAsia="Calibri" w:hAnsi="Palatino Linotype" w:cs="Calibri"/>
          <w:spacing w:val="-10"/>
          <w:vertAlign w:val="superscript"/>
        </w:rPr>
        <w:footnoteReference w:id="6"/>
      </w:r>
      <w:r w:rsidR="005C4CB0" w:rsidRPr="00F276DA">
        <w:rPr>
          <w:rFonts w:ascii="Palatino Linotype" w:hAnsi="Palatino Linotype"/>
          <w:spacing w:val="-10"/>
        </w:rPr>
        <w:t>, a 2013 large-scale study of almost 75,000 borrowers by NeighborWorksAmerica found that those who had participated in the NeighborWorks homeownership education and counseling programs were one-third less likely to become 90 days or more delinquent during the two years after they obtained their loans.</w:t>
      </w:r>
    </w:p>
    <w:p w14:paraId="1C3248C8" w14:textId="77777777" w:rsidR="00903565" w:rsidRPr="00F276DA" w:rsidRDefault="00903565" w:rsidP="00A53313">
      <w:pPr>
        <w:pStyle w:val="Body"/>
        <w:spacing w:after="0" w:line="240" w:lineRule="auto"/>
        <w:jc w:val="both"/>
        <w:rPr>
          <w:rFonts w:ascii="Palatino Linotype" w:hAnsi="Palatino Linotype"/>
          <w:spacing w:val="-10"/>
        </w:rPr>
      </w:pPr>
    </w:p>
    <w:p w14:paraId="05492C5B" w14:textId="6254E4C2" w:rsidR="00127133" w:rsidRPr="00F276DA" w:rsidRDefault="005C4CB0" w:rsidP="00A53313">
      <w:pPr>
        <w:pStyle w:val="Body"/>
        <w:spacing w:after="0" w:line="240" w:lineRule="auto"/>
        <w:ind w:firstLine="720"/>
        <w:jc w:val="both"/>
        <w:rPr>
          <w:rFonts w:ascii="Palatino Linotype" w:hAnsi="Palatino Linotype"/>
          <w:spacing w:val="-10"/>
        </w:rPr>
      </w:pPr>
      <w:r w:rsidRPr="00F276DA">
        <w:rPr>
          <w:rFonts w:ascii="Palatino Linotype" w:hAnsi="Palatino Linotype" w:cs="Calibri"/>
          <w:spacing w:val="-10"/>
        </w:rPr>
        <w:t xml:space="preserve">The Framework also does not allow for </w:t>
      </w:r>
      <w:r w:rsidR="008C69D5" w:rsidRPr="00F276DA">
        <w:rPr>
          <w:rFonts w:ascii="Palatino Linotype" w:hAnsi="Palatino Linotype" w:cs="Calibri"/>
          <w:spacing w:val="-10"/>
        </w:rPr>
        <w:t xml:space="preserve">consideration of </w:t>
      </w:r>
      <w:r w:rsidRPr="00F276DA">
        <w:rPr>
          <w:rFonts w:ascii="Palatino Linotype" w:hAnsi="Palatino Linotype" w:cs="Calibri"/>
          <w:spacing w:val="-10"/>
        </w:rPr>
        <w:t xml:space="preserve">other </w:t>
      </w:r>
      <w:r w:rsidRPr="00F276DA">
        <w:rPr>
          <w:rFonts w:ascii="Palatino Linotype" w:hAnsi="Palatino Linotype" w:cs="Calibri"/>
          <w:spacing w:val="-10"/>
          <w:lang w:val="da-DK"/>
        </w:rPr>
        <w:t>risk mitiga</w:t>
      </w:r>
      <w:r w:rsidRPr="00F276DA">
        <w:rPr>
          <w:rFonts w:ascii="Palatino Linotype" w:hAnsi="Palatino Linotype" w:cs="Calibri"/>
          <w:spacing w:val="-10"/>
        </w:rPr>
        <w:t xml:space="preserve">nts state HFAs offer.  </w:t>
      </w:r>
      <w:r w:rsidR="00304A98" w:rsidRPr="00F276DA">
        <w:rPr>
          <w:rFonts w:ascii="Palatino Linotype" w:hAnsi="Palatino Linotype" w:cs="Calibri"/>
          <w:spacing w:val="-10"/>
        </w:rPr>
        <w:t>One such example is MassHousing</w:t>
      </w:r>
      <w:r w:rsidR="00304A98" w:rsidRPr="00F276DA">
        <w:rPr>
          <w:rFonts w:ascii="Palatino Linotype" w:hAnsi="Palatino Linotype" w:cs="Calibri"/>
          <w:spacing w:val="-10"/>
          <w:rtl/>
        </w:rPr>
        <w:t>’</w:t>
      </w:r>
      <w:r w:rsidR="00304A98" w:rsidRPr="00F276DA">
        <w:rPr>
          <w:rFonts w:ascii="Palatino Linotype" w:hAnsi="Palatino Linotype" w:cs="Calibri"/>
          <w:spacing w:val="-10"/>
        </w:rPr>
        <w:t xml:space="preserve">s MIPlus program.  During the first 10 years of the loan, this program offers homebuyers </w:t>
      </w:r>
      <w:r w:rsidR="00304A98" w:rsidRPr="00F276DA">
        <w:rPr>
          <w:rFonts w:ascii="Palatino Linotype" w:eastAsia="Times New Roman" w:hAnsi="Palatino Linotype" w:cs="Calibri"/>
          <w:color w:val="333333"/>
          <w:spacing w:val="-10"/>
        </w:rPr>
        <w:t>a total of six months of unemployment benefit payments equal to the principal and interest payments due on the mortgage, up to a maximum of $2,000 per payment. </w:t>
      </w:r>
      <w:r w:rsidR="00304A98" w:rsidRPr="00F276DA">
        <w:rPr>
          <w:rFonts w:ascii="Palatino Linotype" w:hAnsi="Palatino Linotype" w:cs="Calibri"/>
          <w:spacing w:val="-10"/>
        </w:rPr>
        <w:t xml:space="preserve"> </w:t>
      </w:r>
      <w:r w:rsidRPr="00F276DA">
        <w:rPr>
          <w:rFonts w:ascii="Palatino Linotype" w:hAnsi="Palatino Linotype" w:cs="Calibri"/>
          <w:spacing w:val="-10"/>
        </w:rPr>
        <w:t xml:space="preserve">That this program has had value </w:t>
      </w:r>
      <w:r w:rsidRPr="00F276DA">
        <w:rPr>
          <w:rFonts w:ascii="Palatino Linotype" w:hAnsi="Palatino Linotype" w:cs="Calibri"/>
          <w:spacing w:val="-10"/>
        </w:rPr>
        <w:lastRenderedPageBreak/>
        <w:t>to an Enterprise is evident:  since</w:t>
      </w:r>
      <w:r w:rsidRPr="00F276DA">
        <w:rPr>
          <w:rFonts w:ascii="Palatino Linotype" w:hAnsi="Palatino Linotype"/>
          <w:spacing w:val="-10"/>
        </w:rPr>
        <w:t xml:space="preserve"> March, when the COVID-19 pandemic began, MassHousing has made approximately half a million dollars of mortgage payments under its MI Plus program to the Enterprises on behalf of affected homeowners, ultimately reducing the amount of payments deferred under the COVID-1</w:t>
      </w:r>
      <w:r w:rsidR="00AC1BB7" w:rsidRPr="00F276DA">
        <w:rPr>
          <w:rFonts w:ascii="Palatino Linotype" w:hAnsi="Palatino Linotype"/>
          <w:spacing w:val="-10"/>
        </w:rPr>
        <w:t>9</w:t>
      </w:r>
      <w:r w:rsidRPr="00F276DA">
        <w:rPr>
          <w:rFonts w:ascii="Palatino Linotype" w:hAnsi="Palatino Linotype"/>
          <w:spacing w:val="-10"/>
        </w:rPr>
        <w:t xml:space="preserve"> loss mitigation waterfall.    </w:t>
      </w:r>
    </w:p>
    <w:p w14:paraId="4B40FC90" w14:textId="77777777" w:rsidR="00903565" w:rsidRPr="00F276DA" w:rsidRDefault="00903565" w:rsidP="00A53313">
      <w:pPr>
        <w:pStyle w:val="Body"/>
        <w:spacing w:after="0" w:line="240" w:lineRule="auto"/>
        <w:ind w:firstLine="720"/>
        <w:jc w:val="both"/>
        <w:rPr>
          <w:rFonts w:ascii="Palatino Linotype" w:hAnsi="Palatino Linotype"/>
          <w:spacing w:val="-10"/>
        </w:rPr>
      </w:pPr>
    </w:p>
    <w:p w14:paraId="63375B39" w14:textId="13B8475D" w:rsidR="00127133" w:rsidRPr="00F276DA" w:rsidRDefault="005C4CB0" w:rsidP="00A53313">
      <w:pPr>
        <w:pStyle w:val="Body"/>
        <w:spacing w:after="0" w:line="240" w:lineRule="auto"/>
        <w:jc w:val="both"/>
        <w:rPr>
          <w:rFonts w:ascii="Palatino Linotype" w:hAnsi="Palatino Linotype"/>
          <w:bCs/>
          <w:spacing w:val="-10"/>
        </w:rPr>
      </w:pPr>
      <w:r w:rsidRPr="00F276DA">
        <w:rPr>
          <w:rFonts w:ascii="Palatino Linotype" w:hAnsi="Palatino Linotype"/>
          <w:b/>
          <w:bCs/>
          <w:spacing w:val="-10"/>
        </w:rPr>
        <w:tab/>
      </w:r>
      <w:r w:rsidRPr="00F276DA">
        <w:rPr>
          <w:rFonts w:ascii="Palatino Linotype" w:hAnsi="Palatino Linotype"/>
          <w:bCs/>
          <w:spacing w:val="-10"/>
        </w:rPr>
        <w:t xml:space="preserve">FHFA </w:t>
      </w:r>
      <w:r w:rsidR="00171EA0">
        <w:rPr>
          <w:rFonts w:ascii="Palatino Linotype" w:hAnsi="Palatino Linotype"/>
          <w:bCs/>
          <w:spacing w:val="-10"/>
        </w:rPr>
        <w:t xml:space="preserve">should </w:t>
      </w:r>
      <w:r w:rsidRPr="00F276DA">
        <w:rPr>
          <w:rFonts w:ascii="Palatino Linotype" w:hAnsi="Palatino Linotype"/>
          <w:bCs/>
          <w:spacing w:val="-10"/>
        </w:rPr>
        <w:t xml:space="preserve">develop risk adjusters that properly differentiate the true risks affordable mortgage loans originated through state HFA programs pose and the myriad ways they manage and oversee their loan performance and third-party lender partners.  Otherwise, FHFA would needlessly raise the costs of homeownership </w:t>
      </w:r>
      <w:r w:rsidR="007F6223" w:rsidRPr="00F276DA">
        <w:rPr>
          <w:rFonts w:ascii="Palatino Linotype" w:hAnsi="Palatino Linotype"/>
          <w:bCs/>
          <w:spacing w:val="-10"/>
        </w:rPr>
        <w:t>for</w:t>
      </w:r>
      <w:r w:rsidRPr="00F276DA">
        <w:rPr>
          <w:rFonts w:ascii="Palatino Linotype" w:hAnsi="Palatino Linotype"/>
          <w:bCs/>
          <w:spacing w:val="-10"/>
        </w:rPr>
        <w:t xml:space="preserve"> those who most need affordable mortgage finance:  first-time and lower income homebuyers.</w:t>
      </w:r>
    </w:p>
    <w:p w14:paraId="29C63BA4" w14:textId="77777777" w:rsidR="00903565" w:rsidRPr="00F276DA" w:rsidRDefault="00903565" w:rsidP="00A53313">
      <w:pPr>
        <w:pStyle w:val="Body"/>
        <w:spacing w:after="0" w:line="240" w:lineRule="auto"/>
        <w:jc w:val="both"/>
        <w:rPr>
          <w:rFonts w:ascii="Palatino Linotype" w:hAnsi="Palatino Linotype"/>
          <w:spacing w:val="-10"/>
        </w:rPr>
      </w:pPr>
    </w:p>
    <w:p w14:paraId="645663A4" w14:textId="2D6E7F51" w:rsidR="00903565" w:rsidRPr="00F276DA" w:rsidRDefault="00EE0EF6" w:rsidP="00A53313">
      <w:pPr>
        <w:pStyle w:val="ListParagraph"/>
        <w:numPr>
          <w:ilvl w:val="0"/>
          <w:numId w:val="5"/>
        </w:numPr>
        <w:spacing w:after="0" w:line="240" w:lineRule="auto"/>
        <w:ind w:left="360"/>
        <w:jc w:val="both"/>
        <w:rPr>
          <w:rFonts w:ascii="Palatino Linotype" w:hAnsi="Palatino Linotype"/>
          <w:b/>
          <w:bCs/>
          <w:spacing w:val="-10"/>
        </w:rPr>
      </w:pPr>
      <w:r w:rsidRPr="00F276DA">
        <w:rPr>
          <w:rFonts w:ascii="Palatino Linotype" w:hAnsi="Palatino Linotype"/>
          <w:b/>
          <w:bCs/>
          <w:spacing w:val="-10"/>
        </w:rPr>
        <w:t>FHFA’s methodology for estimating how much capital the Enterprises need for single-family exposures results in unnecessarily high regulatory capital requirements.</w:t>
      </w:r>
    </w:p>
    <w:p w14:paraId="6C6AA288" w14:textId="77777777" w:rsidR="00EE0EF6" w:rsidRPr="00F276DA" w:rsidRDefault="00EE0EF6" w:rsidP="00A53313">
      <w:pPr>
        <w:pStyle w:val="Body"/>
        <w:spacing w:after="0" w:line="240" w:lineRule="auto"/>
        <w:jc w:val="both"/>
        <w:rPr>
          <w:rFonts w:ascii="Palatino Linotype" w:hAnsi="Palatino Linotype"/>
          <w:spacing w:val="-10"/>
        </w:rPr>
      </w:pPr>
    </w:p>
    <w:p w14:paraId="4D527AC2" w14:textId="37FFA126" w:rsidR="00127133" w:rsidRPr="00F276DA" w:rsidRDefault="005C4CB0" w:rsidP="00A53313">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t xml:space="preserve">FHFA did not exclude from its analysis </w:t>
      </w:r>
      <w:r w:rsidR="00AC1BB7" w:rsidRPr="00F276DA">
        <w:rPr>
          <w:rFonts w:ascii="Palatino Linotype" w:hAnsi="Palatino Linotype"/>
          <w:spacing w:val="-10"/>
        </w:rPr>
        <w:t xml:space="preserve">of </w:t>
      </w:r>
      <w:r w:rsidRPr="00F276DA">
        <w:rPr>
          <w:rFonts w:ascii="Palatino Linotype" w:hAnsi="Palatino Linotype"/>
          <w:spacing w:val="-10"/>
        </w:rPr>
        <w:t>single-family mortgage loan products that the Enterprises do not purchase today (nor would FHFA likely approve), such as Alt-A, Interest-only ARMs, and Option ARMs.  FHFA should have backed out losses stemming from those mortgage</w:t>
      </w:r>
      <w:r w:rsidR="00AC1BB7" w:rsidRPr="00F276DA">
        <w:rPr>
          <w:rFonts w:ascii="Palatino Linotype" w:hAnsi="Palatino Linotype"/>
          <w:spacing w:val="-10"/>
        </w:rPr>
        <w:t xml:space="preserve"> </w:t>
      </w:r>
      <w:r w:rsidRPr="00F276DA">
        <w:rPr>
          <w:rFonts w:ascii="Palatino Linotype" w:hAnsi="Palatino Linotype"/>
          <w:spacing w:val="-10"/>
        </w:rPr>
        <w:t>types from its calculations of how much capital would have been needed to withstand the events of 2008. Its failure to do so overstates its estimated capital requirements.</w:t>
      </w:r>
    </w:p>
    <w:p w14:paraId="7679F8BE" w14:textId="77777777" w:rsidR="00903565" w:rsidRPr="00F276DA" w:rsidRDefault="00903565" w:rsidP="00A53313">
      <w:pPr>
        <w:pStyle w:val="Body"/>
        <w:spacing w:after="0" w:line="240" w:lineRule="auto"/>
        <w:jc w:val="both"/>
        <w:rPr>
          <w:rFonts w:ascii="Palatino Linotype" w:hAnsi="Palatino Linotype"/>
          <w:spacing w:val="-10"/>
        </w:rPr>
      </w:pPr>
    </w:p>
    <w:p w14:paraId="703C37CB" w14:textId="286BCBD1" w:rsidR="00127133" w:rsidRPr="00F276DA" w:rsidRDefault="005C4CB0" w:rsidP="00A53313">
      <w:pPr>
        <w:pStyle w:val="Body"/>
        <w:spacing w:after="0" w:line="240" w:lineRule="auto"/>
        <w:jc w:val="both"/>
        <w:rPr>
          <w:rFonts w:ascii="Palatino Linotype" w:hAnsi="Palatino Linotype"/>
          <w:spacing w:val="-10"/>
        </w:rPr>
      </w:pPr>
      <w:r w:rsidRPr="00F276DA">
        <w:rPr>
          <w:rFonts w:ascii="Palatino Linotype" w:hAnsi="Palatino Linotype"/>
          <w:spacing w:val="-10"/>
        </w:rPr>
        <w:tab/>
        <w:t xml:space="preserve">Additionally, FHFA included losses due to deferred tax assets in its calculations, but those losses are not connected to the credit risk of single-family mortgage exposures and should be </w:t>
      </w:r>
      <w:r w:rsidR="00AC1BB7" w:rsidRPr="00F276DA">
        <w:rPr>
          <w:rFonts w:ascii="Palatino Linotype" w:hAnsi="Palatino Linotype"/>
          <w:spacing w:val="-10"/>
        </w:rPr>
        <w:t xml:space="preserve">excluded from </w:t>
      </w:r>
      <w:r w:rsidRPr="00F276DA">
        <w:rPr>
          <w:rFonts w:ascii="Palatino Linotype" w:hAnsi="Palatino Linotype"/>
          <w:spacing w:val="-10"/>
        </w:rPr>
        <w:t>its calculations.  While the Enterprises did experience losses due to deferred tax assets, which they had to write off because they did not have tax liabilities that equaled pre-paid taxes, this loss does not relate to historical loan performance.  By including deferred tax assets in its calculations, FHFA</w:t>
      </w:r>
      <w:r w:rsidRPr="00F276DA">
        <w:rPr>
          <w:rFonts w:ascii="Palatino Linotype" w:hAnsi="Palatino Linotype"/>
          <w:spacing w:val="-10"/>
          <w:rtl/>
        </w:rPr>
        <w:t>’</w:t>
      </w:r>
      <w:r w:rsidRPr="00F276DA">
        <w:rPr>
          <w:rFonts w:ascii="Palatino Linotype" w:hAnsi="Palatino Linotype"/>
          <w:spacing w:val="-10"/>
        </w:rPr>
        <w:t>s extrapolation of what the Enterprises would need in credit capital to withstand losses from the Subprime Crisis overstates what they would need for their current book of business, resulting in unnecessarily higher guarantee fees and higher cost mortgages.</w:t>
      </w:r>
    </w:p>
    <w:p w14:paraId="4A76E440" w14:textId="4E1F3521" w:rsidR="00EE0EF6" w:rsidRPr="00F276DA" w:rsidRDefault="00EE0EF6" w:rsidP="00A53313">
      <w:pPr>
        <w:pStyle w:val="Body"/>
        <w:spacing w:after="0" w:line="240" w:lineRule="auto"/>
        <w:jc w:val="both"/>
        <w:rPr>
          <w:rFonts w:ascii="Palatino Linotype" w:hAnsi="Palatino Linotype"/>
          <w:spacing w:val="-10"/>
        </w:rPr>
      </w:pPr>
    </w:p>
    <w:p w14:paraId="1E461093" w14:textId="430D4884" w:rsidR="00EE0EF6" w:rsidRPr="00F276DA" w:rsidRDefault="00EE0EF6" w:rsidP="00EE0EF6">
      <w:pPr>
        <w:pStyle w:val="Body"/>
        <w:spacing w:after="0" w:line="240" w:lineRule="auto"/>
        <w:ind w:firstLine="720"/>
        <w:jc w:val="both"/>
        <w:rPr>
          <w:rFonts w:ascii="Palatino Linotype" w:hAnsi="Palatino Linotype"/>
          <w:spacing w:val="-10"/>
        </w:rPr>
      </w:pPr>
      <w:r w:rsidRPr="00F276DA">
        <w:rPr>
          <w:rFonts w:ascii="Palatino Linotype" w:hAnsi="Palatino Linotype"/>
          <w:bCs/>
          <w:spacing w:val="-10"/>
        </w:rPr>
        <w:t>FHFA</w:t>
      </w:r>
      <w:r w:rsidR="00171EA0">
        <w:rPr>
          <w:rFonts w:ascii="Palatino Linotype" w:hAnsi="Palatino Linotype"/>
          <w:bCs/>
          <w:spacing w:val="-10"/>
        </w:rPr>
        <w:t xml:space="preserve"> should</w:t>
      </w:r>
      <w:r w:rsidRPr="00F276DA">
        <w:rPr>
          <w:rFonts w:ascii="Palatino Linotype" w:hAnsi="Palatino Linotype"/>
          <w:bCs/>
          <w:spacing w:val="-10"/>
        </w:rPr>
        <w:t xml:space="preserve"> update its capital needs modeling to more accurately reflect current loan product types and exclude deferred tax asset losses. </w:t>
      </w:r>
    </w:p>
    <w:p w14:paraId="78AF5ECE" w14:textId="77777777" w:rsidR="00903565" w:rsidRPr="00F276DA" w:rsidRDefault="00903565" w:rsidP="00A53313">
      <w:pPr>
        <w:pStyle w:val="Body"/>
        <w:spacing w:after="0" w:line="240" w:lineRule="auto"/>
        <w:jc w:val="both"/>
        <w:rPr>
          <w:rFonts w:ascii="Palatino Linotype" w:hAnsi="Palatino Linotype"/>
          <w:spacing w:val="-10"/>
        </w:rPr>
      </w:pPr>
    </w:p>
    <w:p w14:paraId="52ED8728" w14:textId="77777777" w:rsidR="00EE0EF6" w:rsidRPr="00F276DA" w:rsidRDefault="00EE0EF6" w:rsidP="00EE0EF6">
      <w:pPr>
        <w:pStyle w:val="ListParagraph"/>
        <w:numPr>
          <w:ilvl w:val="0"/>
          <w:numId w:val="5"/>
        </w:numPr>
        <w:spacing w:after="0" w:line="240" w:lineRule="auto"/>
        <w:ind w:left="360"/>
        <w:jc w:val="both"/>
        <w:rPr>
          <w:rFonts w:ascii="Palatino Linotype" w:hAnsi="Palatino Linotype"/>
          <w:b/>
          <w:bCs/>
          <w:spacing w:val="-10"/>
        </w:rPr>
      </w:pPr>
      <w:r w:rsidRPr="00F276DA">
        <w:rPr>
          <w:rFonts w:ascii="Palatino Linotype" w:hAnsi="Palatino Linotype"/>
          <w:b/>
          <w:bCs/>
          <w:spacing w:val="-10"/>
        </w:rPr>
        <w:t>The proposed Framework will reduce affordable rental housing development.</w:t>
      </w:r>
    </w:p>
    <w:p w14:paraId="5526040B" w14:textId="77777777" w:rsidR="00EE0EF6" w:rsidRPr="00F276DA" w:rsidRDefault="00EE0EF6" w:rsidP="00A53313">
      <w:pPr>
        <w:pStyle w:val="Body"/>
        <w:spacing w:after="0" w:line="240" w:lineRule="auto"/>
        <w:ind w:firstLine="720"/>
        <w:jc w:val="both"/>
        <w:rPr>
          <w:rFonts w:ascii="Palatino Linotype" w:hAnsi="Palatino Linotype"/>
          <w:spacing w:val="-10"/>
        </w:rPr>
      </w:pPr>
    </w:p>
    <w:p w14:paraId="08A44B10" w14:textId="70F0D0E0" w:rsidR="00127133" w:rsidRPr="00F276DA" w:rsidRDefault="005C4CB0" w:rsidP="00A53313">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t>NCSHA</w:t>
      </w:r>
      <w:r w:rsidR="00EE0EF6" w:rsidRPr="00F276DA">
        <w:rPr>
          <w:rFonts w:ascii="Palatino Linotype" w:hAnsi="Palatino Linotype"/>
          <w:spacing w:val="-10"/>
        </w:rPr>
        <w:t xml:space="preserve"> </w:t>
      </w:r>
      <w:r w:rsidRPr="00F276DA">
        <w:rPr>
          <w:rFonts w:ascii="Palatino Linotype" w:hAnsi="Palatino Linotype"/>
          <w:spacing w:val="-10"/>
        </w:rPr>
        <w:t>is especially concerned the proposed Framework for multifamily mortgage exposures does not recognize how affordable multifamily transactions are typically structured, nor does it account for the characteristics of affordable multifamily developments commonly used to mitigate a lender</w:t>
      </w:r>
      <w:r w:rsidRPr="00F276DA">
        <w:rPr>
          <w:rFonts w:ascii="Palatino Linotype" w:hAnsi="Palatino Linotype"/>
          <w:spacing w:val="-10"/>
          <w:rtl/>
        </w:rPr>
        <w:t>’</w:t>
      </w:r>
      <w:r w:rsidRPr="00F276DA">
        <w:rPr>
          <w:rFonts w:ascii="Palatino Linotype" w:hAnsi="Palatino Linotype"/>
          <w:spacing w:val="-10"/>
        </w:rPr>
        <w:t xml:space="preserve">s risk. As a result, the proposed risk multipliers will require the Enterprises to hold more regulatory capital than </w:t>
      </w:r>
      <w:r w:rsidR="00AC1BB7" w:rsidRPr="00F276DA">
        <w:rPr>
          <w:rFonts w:ascii="Palatino Linotype" w:hAnsi="Palatino Linotype"/>
          <w:spacing w:val="-10"/>
        </w:rPr>
        <w:t xml:space="preserve">the amount </w:t>
      </w:r>
      <w:r w:rsidRPr="00F276DA">
        <w:rPr>
          <w:rFonts w:ascii="Palatino Linotype" w:hAnsi="Palatino Linotype"/>
          <w:spacing w:val="-10"/>
        </w:rPr>
        <w:t>which truly reflect</w:t>
      </w:r>
      <w:r w:rsidR="00AC1BB7" w:rsidRPr="00F276DA">
        <w:rPr>
          <w:rFonts w:ascii="Palatino Linotype" w:hAnsi="Palatino Linotype"/>
          <w:spacing w:val="-10"/>
        </w:rPr>
        <w:t>s</w:t>
      </w:r>
      <w:r w:rsidRPr="00F276DA">
        <w:rPr>
          <w:rFonts w:ascii="Palatino Linotype" w:hAnsi="Palatino Linotype"/>
          <w:spacing w:val="-10"/>
        </w:rPr>
        <w:t xml:space="preserve"> the </w:t>
      </w:r>
      <w:r w:rsidR="00AC1BB7" w:rsidRPr="00F276DA">
        <w:rPr>
          <w:rFonts w:ascii="Palatino Linotype" w:hAnsi="Palatino Linotype"/>
          <w:spacing w:val="-10"/>
        </w:rPr>
        <w:t xml:space="preserve">associated </w:t>
      </w:r>
      <w:r w:rsidRPr="00F276DA">
        <w:rPr>
          <w:rFonts w:ascii="Palatino Linotype" w:hAnsi="Palatino Linotype"/>
          <w:spacing w:val="-10"/>
        </w:rPr>
        <w:t xml:space="preserve">risks.    </w:t>
      </w:r>
    </w:p>
    <w:p w14:paraId="6E6D4F97" w14:textId="77777777" w:rsidR="00903565" w:rsidRPr="00F276DA" w:rsidRDefault="00903565" w:rsidP="00A53313">
      <w:pPr>
        <w:pStyle w:val="Body"/>
        <w:spacing w:after="0" w:line="240" w:lineRule="auto"/>
        <w:ind w:firstLine="720"/>
        <w:jc w:val="both"/>
        <w:rPr>
          <w:rFonts w:ascii="Palatino Linotype" w:hAnsi="Palatino Linotype"/>
          <w:spacing w:val="-10"/>
        </w:rPr>
      </w:pPr>
    </w:p>
    <w:p w14:paraId="21E0596A" w14:textId="4BE532FE" w:rsidR="00127133" w:rsidRPr="00F276DA" w:rsidRDefault="005C4CB0" w:rsidP="00A53313">
      <w:pPr>
        <w:pStyle w:val="Body"/>
        <w:spacing w:after="0" w:line="240" w:lineRule="auto"/>
        <w:jc w:val="both"/>
        <w:rPr>
          <w:rFonts w:ascii="Palatino Linotype" w:hAnsi="Palatino Linotype"/>
          <w:spacing w:val="-10"/>
        </w:rPr>
      </w:pPr>
      <w:r w:rsidRPr="00F276DA">
        <w:rPr>
          <w:rFonts w:ascii="Palatino Linotype" w:hAnsi="Palatino Linotype"/>
          <w:b/>
          <w:bCs/>
          <w:spacing w:val="-10"/>
        </w:rPr>
        <w:tab/>
      </w:r>
      <w:r w:rsidRPr="00F276DA">
        <w:rPr>
          <w:rFonts w:ascii="Palatino Linotype" w:hAnsi="Palatino Linotype"/>
          <w:bCs/>
          <w:spacing w:val="-10"/>
          <w:u w:val="single"/>
        </w:rPr>
        <w:t>Subsidies</w:t>
      </w:r>
      <w:r w:rsidRPr="00F276DA">
        <w:rPr>
          <w:rFonts w:ascii="Palatino Linotype" w:hAnsi="Palatino Linotype"/>
          <w:bCs/>
          <w:spacing w:val="-10"/>
        </w:rPr>
        <w:t>.</w:t>
      </w:r>
      <w:r w:rsidRPr="00F276DA">
        <w:rPr>
          <w:rFonts w:ascii="Palatino Linotype" w:hAnsi="Palatino Linotype"/>
          <w:b/>
          <w:bCs/>
          <w:spacing w:val="-10"/>
        </w:rPr>
        <w:t xml:space="preserve">  </w:t>
      </w:r>
      <w:r w:rsidRPr="00F276DA">
        <w:rPr>
          <w:rFonts w:ascii="Palatino Linotype" w:hAnsi="Palatino Linotype"/>
          <w:spacing w:val="-10"/>
        </w:rPr>
        <w:t>FHFA</w:t>
      </w:r>
      <w:r w:rsidRPr="00F276DA">
        <w:rPr>
          <w:rFonts w:ascii="Palatino Linotype" w:hAnsi="Palatino Linotype"/>
          <w:spacing w:val="-10"/>
          <w:rtl/>
        </w:rPr>
        <w:t>’</w:t>
      </w:r>
      <w:r w:rsidRPr="00F276DA">
        <w:rPr>
          <w:rFonts w:ascii="Palatino Linotype" w:hAnsi="Palatino Linotype"/>
          <w:spacing w:val="-10"/>
        </w:rPr>
        <w:t xml:space="preserve">s proposed Framework ignores the important </w:t>
      </w:r>
      <w:r w:rsidR="009539AD" w:rsidRPr="00F276DA">
        <w:rPr>
          <w:rFonts w:ascii="Palatino Linotype" w:hAnsi="Palatino Linotype"/>
          <w:spacing w:val="-10"/>
        </w:rPr>
        <w:t xml:space="preserve">and beneficial </w:t>
      </w:r>
      <w:r w:rsidRPr="00F276DA">
        <w:rPr>
          <w:rFonts w:ascii="Palatino Linotype" w:hAnsi="Palatino Linotype"/>
          <w:spacing w:val="-10"/>
        </w:rPr>
        <w:t xml:space="preserve">role additional </w:t>
      </w:r>
      <w:r w:rsidRPr="00F276DA">
        <w:rPr>
          <w:rFonts w:ascii="Palatino Linotype" w:hAnsi="Palatino Linotype"/>
          <w:spacing w:val="-10"/>
          <w:lang w:val="pt-PT"/>
        </w:rPr>
        <w:t>subsid</w:t>
      </w:r>
      <w:r w:rsidRPr="00F276DA">
        <w:rPr>
          <w:rFonts w:ascii="Palatino Linotype" w:hAnsi="Palatino Linotype"/>
          <w:spacing w:val="-10"/>
        </w:rPr>
        <w:t xml:space="preserve">ies play in affordable multifamily transactions.  Subsidies not only enable owners to offer units at lower rents more affordable to people of lower income than they otherwise would be able to offer, significant </w:t>
      </w:r>
      <w:r w:rsidRPr="00F276DA">
        <w:rPr>
          <w:rFonts w:ascii="Palatino Linotype" w:hAnsi="Palatino Linotype"/>
          <w:spacing w:val="-10"/>
        </w:rPr>
        <w:lastRenderedPageBreak/>
        <w:t xml:space="preserve">amounts of subsidy also provide very strong risk mitigation to lenders of affordable rental properties because they reduce the loan-to-cost and loan-to-value ratios.   Some forms of subsidies, such as project-based rental assistance, provide rental payment </w:t>
      </w:r>
      <w:r w:rsidRPr="00F276DA">
        <w:rPr>
          <w:rFonts w:ascii="Palatino Linotype" w:hAnsi="Palatino Linotype"/>
          <w:spacing w:val="-10"/>
          <w:lang w:val="fr-FR"/>
        </w:rPr>
        <w:t>certainty</w:t>
      </w:r>
      <w:r w:rsidRPr="00F276DA">
        <w:rPr>
          <w:rFonts w:ascii="Palatino Linotype" w:hAnsi="Palatino Linotype"/>
          <w:spacing w:val="-10"/>
        </w:rPr>
        <w:t xml:space="preserve"> and increase operating income, thereby reducing risk.  </w:t>
      </w:r>
    </w:p>
    <w:p w14:paraId="14D98591" w14:textId="77777777" w:rsidR="00903565" w:rsidRPr="00F276DA" w:rsidRDefault="00903565" w:rsidP="00A53313">
      <w:pPr>
        <w:pStyle w:val="Body"/>
        <w:spacing w:after="0" w:line="240" w:lineRule="auto"/>
        <w:jc w:val="both"/>
        <w:rPr>
          <w:rFonts w:ascii="Palatino Linotype" w:hAnsi="Palatino Linotype"/>
          <w:spacing w:val="-10"/>
        </w:rPr>
      </w:pPr>
    </w:p>
    <w:p w14:paraId="4C57DA66" w14:textId="79C1E7E2" w:rsidR="00AC1BB7" w:rsidRPr="00F276DA" w:rsidRDefault="00AC1BB7" w:rsidP="00AC1BB7">
      <w:pPr>
        <w:ind w:firstLine="720"/>
        <w:jc w:val="both"/>
        <w:rPr>
          <w:rFonts w:ascii="Palatino Linotype" w:hAnsi="Palatino Linotype" w:cs="Calibri"/>
          <w:spacing w:val="-10"/>
          <w:sz w:val="22"/>
          <w:szCs w:val="22"/>
        </w:rPr>
      </w:pPr>
      <w:r w:rsidRPr="00F276DA">
        <w:rPr>
          <w:rFonts w:ascii="Palatino Linotype" w:hAnsi="Palatino Linotype" w:cs="Calibri"/>
          <w:bCs/>
          <w:spacing w:val="-10"/>
          <w:sz w:val="22"/>
          <w:szCs w:val="22"/>
          <w:u w:val="single"/>
        </w:rPr>
        <w:t>Supplemental Tenant Services</w:t>
      </w:r>
      <w:r w:rsidRPr="00F276DA">
        <w:rPr>
          <w:rFonts w:ascii="Palatino Linotype" w:hAnsi="Palatino Linotype" w:cs="Calibri"/>
          <w:b/>
          <w:bCs/>
          <w:spacing w:val="-10"/>
          <w:sz w:val="22"/>
          <w:szCs w:val="22"/>
        </w:rPr>
        <w:t>.</w:t>
      </w:r>
      <w:r w:rsidRPr="00F276DA">
        <w:rPr>
          <w:rFonts w:ascii="Palatino Linotype" w:hAnsi="Palatino Linotype" w:cs="Calibri"/>
          <w:spacing w:val="-10"/>
          <w:sz w:val="22"/>
          <w:szCs w:val="22"/>
        </w:rPr>
        <w:t xml:space="preserve">  Many nonprofit affordable rental property owners provide or facilitate the provision by others of a variety of social services to tenants, </w:t>
      </w:r>
      <w:r w:rsidR="00AB68D4" w:rsidRPr="00F276DA">
        <w:rPr>
          <w:rFonts w:ascii="Palatino Linotype" w:hAnsi="Palatino Linotype" w:cs="Calibri"/>
          <w:spacing w:val="-10"/>
          <w:sz w:val="22"/>
          <w:szCs w:val="22"/>
        </w:rPr>
        <w:t xml:space="preserve">including </w:t>
      </w:r>
      <w:r w:rsidRPr="00F276DA">
        <w:rPr>
          <w:rFonts w:ascii="Palatino Linotype" w:hAnsi="Palatino Linotype" w:cs="Calibri"/>
          <w:spacing w:val="-10"/>
          <w:sz w:val="22"/>
          <w:szCs w:val="22"/>
        </w:rPr>
        <w:t xml:space="preserve">job placement, benefit application assistance (e.g., unemployment, social security), and mental health services.  Such services are particularly important for </w:t>
      </w:r>
      <w:r w:rsidR="00AB68D4" w:rsidRPr="00F276DA">
        <w:rPr>
          <w:rFonts w:ascii="Palatino Linotype" w:hAnsi="Palatino Linotype" w:cs="Calibri"/>
          <w:spacing w:val="-10"/>
          <w:sz w:val="22"/>
          <w:szCs w:val="22"/>
        </w:rPr>
        <w:t xml:space="preserve">persons who previously experienced </w:t>
      </w:r>
      <w:r w:rsidRPr="00F276DA">
        <w:rPr>
          <w:rFonts w:ascii="Palatino Linotype" w:hAnsi="Palatino Linotype" w:cs="Calibri"/>
          <w:spacing w:val="-10"/>
          <w:sz w:val="22"/>
          <w:szCs w:val="22"/>
        </w:rPr>
        <w:t>homeless</w:t>
      </w:r>
      <w:r w:rsidR="00AB68D4" w:rsidRPr="00F276DA">
        <w:rPr>
          <w:rFonts w:ascii="Palatino Linotype" w:hAnsi="Palatino Linotype" w:cs="Calibri"/>
          <w:spacing w:val="-10"/>
          <w:sz w:val="22"/>
          <w:szCs w:val="22"/>
        </w:rPr>
        <w:t>ness</w:t>
      </w:r>
      <w:r w:rsidRPr="00F276DA">
        <w:rPr>
          <w:rFonts w:ascii="Palatino Linotype" w:hAnsi="Palatino Linotype" w:cs="Calibri"/>
          <w:spacing w:val="-10"/>
          <w:sz w:val="22"/>
          <w:szCs w:val="22"/>
        </w:rPr>
        <w:t xml:space="preserve">.  </w:t>
      </w:r>
      <w:r w:rsidR="00AB68D4" w:rsidRPr="00F276DA">
        <w:rPr>
          <w:rFonts w:ascii="Palatino Linotype" w:hAnsi="Palatino Linotype" w:cs="Calibri"/>
          <w:spacing w:val="-10"/>
          <w:sz w:val="22"/>
          <w:szCs w:val="22"/>
        </w:rPr>
        <w:t>S</w:t>
      </w:r>
      <w:r w:rsidRPr="00F276DA">
        <w:rPr>
          <w:rFonts w:ascii="Palatino Linotype" w:hAnsi="Palatino Linotype" w:cs="Calibri"/>
          <w:spacing w:val="-10"/>
          <w:sz w:val="22"/>
          <w:szCs w:val="22"/>
        </w:rPr>
        <w:t>upplemental tenant services mitigate loan repayment risk because providing a social safety net or other supportive services to tenants helps lower rent payment delinquencies and turnover</w:t>
      </w:r>
      <w:r w:rsidR="00AB68D4" w:rsidRPr="00F276DA">
        <w:rPr>
          <w:rFonts w:ascii="Palatino Linotype" w:hAnsi="Palatino Linotype" w:cs="Calibri"/>
          <w:spacing w:val="-10"/>
          <w:sz w:val="22"/>
          <w:szCs w:val="22"/>
        </w:rPr>
        <w:t xml:space="preserve"> rates</w:t>
      </w:r>
      <w:r w:rsidRPr="00F276DA">
        <w:rPr>
          <w:rFonts w:ascii="Palatino Linotype" w:hAnsi="Palatino Linotype" w:cs="Calibri"/>
          <w:spacing w:val="-10"/>
          <w:sz w:val="22"/>
          <w:szCs w:val="22"/>
        </w:rPr>
        <w:t xml:space="preserve">.  </w:t>
      </w:r>
    </w:p>
    <w:p w14:paraId="19E4A0C6" w14:textId="77777777" w:rsidR="00AC1BB7" w:rsidRPr="00F276DA" w:rsidRDefault="00AC1BB7" w:rsidP="00AC1BB7">
      <w:pPr>
        <w:jc w:val="both"/>
        <w:rPr>
          <w:rFonts w:ascii="Palatino Linotype" w:hAnsi="Palatino Linotype" w:cs="Calibri"/>
          <w:b/>
          <w:bCs/>
          <w:spacing w:val="-10"/>
          <w:sz w:val="22"/>
          <w:szCs w:val="22"/>
        </w:rPr>
      </w:pPr>
    </w:p>
    <w:p w14:paraId="1B6AB26D" w14:textId="4E8D9335" w:rsidR="00AC1BB7" w:rsidRPr="00F276DA" w:rsidRDefault="00AC1BB7" w:rsidP="00AC1BB7">
      <w:pPr>
        <w:ind w:firstLine="720"/>
        <w:jc w:val="both"/>
        <w:rPr>
          <w:rFonts w:ascii="Palatino Linotype" w:hAnsi="Palatino Linotype" w:cs="Calibri"/>
          <w:spacing w:val="-10"/>
          <w:sz w:val="22"/>
          <w:szCs w:val="22"/>
        </w:rPr>
      </w:pPr>
      <w:r w:rsidRPr="00F276DA">
        <w:rPr>
          <w:rFonts w:ascii="Palatino Linotype" w:hAnsi="Palatino Linotype" w:cs="Calibri"/>
          <w:bCs/>
          <w:spacing w:val="-10"/>
          <w:sz w:val="22"/>
          <w:szCs w:val="22"/>
          <w:u w:val="single"/>
        </w:rPr>
        <w:t>Low Income Housing Tax Credit (</w:t>
      </w:r>
      <w:r w:rsidR="00AB68D4" w:rsidRPr="00F276DA">
        <w:rPr>
          <w:rFonts w:ascii="Palatino Linotype" w:hAnsi="Palatino Linotype" w:cs="Calibri"/>
          <w:bCs/>
          <w:spacing w:val="-10"/>
          <w:sz w:val="22"/>
          <w:szCs w:val="22"/>
          <w:u w:val="single"/>
        </w:rPr>
        <w:t>Housing Credit</w:t>
      </w:r>
      <w:r w:rsidRPr="00F276DA">
        <w:rPr>
          <w:rFonts w:ascii="Palatino Linotype" w:hAnsi="Palatino Linotype" w:cs="Calibri"/>
          <w:bCs/>
          <w:spacing w:val="-10"/>
          <w:sz w:val="22"/>
          <w:szCs w:val="22"/>
          <w:u w:val="single"/>
        </w:rPr>
        <w:t>)</w:t>
      </w:r>
      <w:r w:rsidRPr="00F276DA">
        <w:rPr>
          <w:rFonts w:ascii="Palatino Linotype" w:hAnsi="Palatino Linotype" w:cs="Calibri"/>
          <w:bCs/>
          <w:spacing w:val="-10"/>
          <w:sz w:val="22"/>
          <w:szCs w:val="22"/>
        </w:rPr>
        <w:t>.</w:t>
      </w:r>
      <w:r w:rsidRPr="00F276DA">
        <w:rPr>
          <w:rFonts w:ascii="Palatino Linotype" w:hAnsi="Palatino Linotype" w:cs="Calibri"/>
          <w:spacing w:val="-10"/>
          <w:sz w:val="22"/>
          <w:szCs w:val="22"/>
        </w:rPr>
        <w:t xml:space="preserve">  Multifamily transactions receiving </w:t>
      </w:r>
      <w:r w:rsidR="00AB68D4" w:rsidRPr="00F276DA">
        <w:rPr>
          <w:rFonts w:ascii="Palatino Linotype" w:hAnsi="Palatino Linotype" w:cs="Calibri"/>
          <w:spacing w:val="-10"/>
          <w:sz w:val="22"/>
          <w:szCs w:val="22"/>
        </w:rPr>
        <w:t>Housing Credits</w:t>
      </w:r>
      <w:r w:rsidR="007F6223" w:rsidRPr="00F276DA">
        <w:rPr>
          <w:rFonts w:ascii="Palatino Linotype" w:hAnsi="Palatino Linotype" w:cs="Calibri"/>
          <w:spacing w:val="-10"/>
          <w:sz w:val="22"/>
          <w:szCs w:val="22"/>
        </w:rPr>
        <w:t xml:space="preserve"> are</w:t>
      </w:r>
      <w:r w:rsidR="00AB68D4" w:rsidRPr="00F276DA">
        <w:rPr>
          <w:rFonts w:ascii="Palatino Linotype" w:hAnsi="Palatino Linotype" w:cs="Calibri"/>
          <w:spacing w:val="-10"/>
          <w:sz w:val="22"/>
          <w:szCs w:val="22"/>
        </w:rPr>
        <w:t xml:space="preserve"> </w:t>
      </w:r>
      <w:r w:rsidRPr="00F276DA">
        <w:rPr>
          <w:rFonts w:ascii="Palatino Linotype" w:hAnsi="Palatino Linotype" w:cs="Calibri"/>
          <w:spacing w:val="-10"/>
          <w:sz w:val="22"/>
          <w:szCs w:val="22"/>
        </w:rPr>
        <w:t xml:space="preserve">especially strong credits because investors are highly motivated to make sure the mortgage is paid on time to avoid </w:t>
      </w:r>
      <w:r w:rsidR="00AB68D4" w:rsidRPr="00F276DA">
        <w:rPr>
          <w:rFonts w:ascii="Palatino Linotype" w:hAnsi="Palatino Linotype" w:cs="Calibri"/>
          <w:spacing w:val="-10"/>
          <w:sz w:val="22"/>
          <w:szCs w:val="22"/>
        </w:rPr>
        <w:t>tax recapture</w:t>
      </w:r>
      <w:r w:rsidRPr="00F276DA">
        <w:rPr>
          <w:rFonts w:ascii="Palatino Linotype" w:hAnsi="Palatino Linotype" w:cs="Calibri"/>
          <w:spacing w:val="-10"/>
          <w:sz w:val="22"/>
          <w:szCs w:val="22"/>
        </w:rPr>
        <w:t xml:space="preserve">.  Additionally, the amount of equity raised </w:t>
      </w:r>
      <w:r w:rsidR="00AB68D4" w:rsidRPr="00F276DA">
        <w:rPr>
          <w:rFonts w:ascii="Palatino Linotype" w:hAnsi="Palatino Linotype" w:cs="Calibri"/>
          <w:spacing w:val="-10"/>
          <w:sz w:val="22"/>
          <w:szCs w:val="22"/>
        </w:rPr>
        <w:t xml:space="preserve">through the sale of Housing Credits </w:t>
      </w:r>
      <w:r w:rsidRPr="00F276DA">
        <w:rPr>
          <w:rFonts w:ascii="Palatino Linotype" w:hAnsi="Palatino Linotype" w:cs="Calibri"/>
          <w:spacing w:val="-10"/>
          <w:sz w:val="22"/>
          <w:szCs w:val="22"/>
        </w:rPr>
        <w:t xml:space="preserve">represents a significant amount of </w:t>
      </w:r>
      <w:r w:rsidR="00AB68D4" w:rsidRPr="00F276DA">
        <w:rPr>
          <w:rFonts w:ascii="Palatino Linotype" w:hAnsi="Palatino Linotype" w:cs="Calibri"/>
          <w:spacing w:val="-10"/>
          <w:sz w:val="22"/>
          <w:szCs w:val="22"/>
        </w:rPr>
        <w:t xml:space="preserve">total </w:t>
      </w:r>
      <w:r w:rsidRPr="00F276DA">
        <w:rPr>
          <w:rFonts w:ascii="Palatino Linotype" w:hAnsi="Palatino Linotype" w:cs="Calibri"/>
          <w:spacing w:val="-10"/>
          <w:sz w:val="22"/>
          <w:szCs w:val="22"/>
        </w:rPr>
        <w:t xml:space="preserve">development cost, lowering the LTV on the loan.  </w:t>
      </w:r>
      <w:r w:rsidR="00AB68D4" w:rsidRPr="00F276DA">
        <w:rPr>
          <w:rFonts w:ascii="Palatino Linotype" w:hAnsi="Palatino Linotype" w:cs="Calibri"/>
          <w:spacing w:val="-10"/>
          <w:sz w:val="22"/>
          <w:szCs w:val="22"/>
        </w:rPr>
        <w:t xml:space="preserve">The Housing Credit </w:t>
      </w:r>
      <w:r w:rsidRPr="00F276DA">
        <w:rPr>
          <w:rFonts w:ascii="Palatino Linotype" w:hAnsi="Palatino Linotype" w:cs="Calibri"/>
          <w:spacing w:val="-10"/>
          <w:sz w:val="22"/>
          <w:szCs w:val="22"/>
        </w:rPr>
        <w:t>play</w:t>
      </w:r>
      <w:r w:rsidR="00AB68D4" w:rsidRPr="00F276DA">
        <w:rPr>
          <w:rFonts w:ascii="Palatino Linotype" w:hAnsi="Palatino Linotype" w:cs="Calibri"/>
          <w:spacing w:val="-10"/>
          <w:sz w:val="22"/>
          <w:szCs w:val="22"/>
        </w:rPr>
        <w:t>s</w:t>
      </w:r>
      <w:r w:rsidRPr="00F276DA">
        <w:rPr>
          <w:rFonts w:ascii="Palatino Linotype" w:hAnsi="Palatino Linotype" w:cs="Calibri"/>
          <w:spacing w:val="-10"/>
          <w:sz w:val="22"/>
          <w:szCs w:val="22"/>
        </w:rPr>
        <w:t xml:space="preserve"> a pivotal role in the development of affordable rental housing:  over the period of 1987-2018, state allocating agencies have allocated more than $18 billion in </w:t>
      </w:r>
      <w:r w:rsidR="00AB68D4" w:rsidRPr="00F276DA">
        <w:rPr>
          <w:rFonts w:ascii="Palatino Linotype" w:hAnsi="Palatino Linotype" w:cs="Calibri"/>
          <w:spacing w:val="-10"/>
          <w:sz w:val="22"/>
          <w:szCs w:val="22"/>
        </w:rPr>
        <w:t>Housing Credits to help produce mo</w:t>
      </w:r>
      <w:r w:rsidRPr="00F276DA">
        <w:rPr>
          <w:rFonts w:ascii="Palatino Linotype" w:hAnsi="Palatino Linotype" w:cs="Calibri"/>
          <w:spacing w:val="-10"/>
          <w:sz w:val="22"/>
          <w:szCs w:val="22"/>
        </w:rPr>
        <w:t xml:space="preserve">re than 2 million </w:t>
      </w:r>
      <w:r w:rsidR="00AB68D4" w:rsidRPr="00F276DA">
        <w:rPr>
          <w:rFonts w:ascii="Palatino Linotype" w:hAnsi="Palatino Linotype" w:cs="Calibri"/>
          <w:spacing w:val="-10"/>
          <w:sz w:val="22"/>
          <w:szCs w:val="22"/>
        </w:rPr>
        <w:t>q</w:t>
      </w:r>
      <w:r w:rsidRPr="00F276DA">
        <w:rPr>
          <w:rFonts w:ascii="Palatino Linotype" w:hAnsi="Palatino Linotype" w:cs="Calibri"/>
          <w:spacing w:val="-10"/>
          <w:sz w:val="22"/>
          <w:szCs w:val="22"/>
        </w:rPr>
        <w:t xml:space="preserve">ualified units, so the </w:t>
      </w:r>
      <w:r w:rsidR="00AB68D4" w:rsidRPr="00F276DA">
        <w:rPr>
          <w:rFonts w:ascii="Palatino Linotype" w:hAnsi="Palatino Linotype" w:cs="Calibri"/>
          <w:spacing w:val="-10"/>
          <w:sz w:val="22"/>
          <w:szCs w:val="22"/>
        </w:rPr>
        <w:t xml:space="preserve">failure of the Framework to recognize the value of </w:t>
      </w:r>
      <w:r w:rsidR="00D617DA">
        <w:rPr>
          <w:rFonts w:ascii="Palatino Linotype" w:hAnsi="Palatino Linotype" w:cs="Calibri"/>
          <w:spacing w:val="-10"/>
          <w:sz w:val="22"/>
          <w:szCs w:val="22"/>
        </w:rPr>
        <w:t xml:space="preserve">Housing </w:t>
      </w:r>
      <w:r w:rsidR="00AB68D4" w:rsidRPr="00F276DA">
        <w:rPr>
          <w:rFonts w:ascii="Palatino Linotype" w:hAnsi="Palatino Linotype" w:cs="Calibri"/>
          <w:spacing w:val="-10"/>
          <w:sz w:val="22"/>
          <w:szCs w:val="22"/>
        </w:rPr>
        <w:t xml:space="preserve">Credit </w:t>
      </w:r>
      <w:r w:rsidR="00D617DA">
        <w:rPr>
          <w:rFonts w:ascii="Palatino Linotype" w:hAnsi="Palatino Linotype" w:cs="Calibri"/>
          <w:spacing w:val="-10"/>
          <w:sz w:val="22"/>
          <w:szCs w:val="22"/>
        </w:rPr>
        <w:t xml:space="preserve">equity </w:t>
      </w:r>
      <w:r w:rsidR="00AB68D4" w:rsidRPr="00F276DA">
        <w:rPr>
          <w:rFonts w:ascii="Palatino Linotype" w:hAnsi="Palatino Linotype" w:cs="Calibri"/>
          <w:spacing w:val="-10"/>
          <w:sz w:val="22"/>
          <w:szCs w:val="22"/>
        </w:rPr>
        <w:t xml:space="preserve">is a major oversight. </w:t>
      </w:r>
      <w:r w:rsidRPr="00F276DA">
        <w:rPr>
          <w:rFonts w:ascii="Palatino Linotype" w:hAnsi="Palatino Linotype" w:cs="Calibri"/>
          <w:spacing w:val="-10"/>
          <w:sz w:val="22"/>
          <w:szCs w:val="22"/>
        </w:rPr>
        <w:t xml:space="preserve">  </w:t>
      </w:r>
    </w:p>
    <w:p w14:paraId="5F1046D7" w14:textId="77777777" w:rsidR="00AC1BB7" w:rsidRPr="00F276DA" w:rsidRDefault="00AC1BB7" w:rsidP="00AC1BB7">
      <w:pPr>
        <w:ind w:firstLine="720"/>
        <w:jc w:val="both"/>
        <w:rPr>
          <w:rFonts w:ascii="Palatino Linotype" w:hAnsi="Palatino Linotype" w:cs="Calibri"/>
          <w:spacing w:val="-10"/>
          <w:sz w:val="22"/>
          <w:szCs w:val="22"/>
        </w:rPr>
      </w:pPr>
    </w:p>
    <w:p w14:paraId="65E1ED50" w14:textId="0D441E51" w:rsidR="00AC1BB7" w:rsidRPr="00F276DA" w:rsidRDefault="00AC1BB7" w:rsidP="00AC1BB7">
      <w:pPr>
        <w:ind w:firstLine="720"/>
        <w:jc w:val="both"/>
        <w:rPr>
          <w:rFonts w:ascii="Palatino Linotype" w:hAnsi="Palatino Linotype" w:cs="Calibri"/>
          <w:spacing w:val="-10"/>
          <w:sz w:val="22"/>
          <w:szCs w:val="22"/>
        </w:rPr>
      </w:pPr>
      <w:r w:rsidRPr="00F276DA">
        <w:rPr>
          <w:rFonts w:ascii="Palatino Linotype" w:hAnsi="Palatino Linotype" w:cs="Calibri"/>
          <w:bCs/>
          <w:spacing w:val="-10"/>
          <w:sz w:val="22"/>
          <w:szCs w:val="22"/>
          <w:u w:val="single"/>
        </w:rPr>
        <w:t>Real Property Tax Exemptions</w:t>
      </w:r>
      <w:r w:rsidRPr="00F276DA">
        <w:rPr>
          <w:rFonts w:ascii="Palatino Linotype" w:hAnsi="Palatino Linotype" w:cs="Calibri"/>
          <w:spacing w:val="-10"/>
          <w:sz w:val="22"/>
          <w:szCs w:val="22"/>
        </w:rPr>
        <w:t>.  When a government taxing agency provides an exemption from real property taxes to an affordable housing development,</w:t>
      </w:r>
      <w:r w:rsidR="00AB68D4" w:rsidRPr="00F276DA">
        <w:rPr>
          <w:rFonts w:ascii="Palatino Linotype" w:hAnsi="Palatino Linotype" w:cs="Calibri"/>
          <w:spacing w:val="-10"/>
          <w:sz w:val="22"/>
          <w:szCs w:val="22"/>
        </w:rPr>
        <w:t xml:space="preserve"> it is </w:t>
      </w:r>
      <w:r w:rsidRPr="00F276DA">
        <w:rPr>
          <w:rFonts w:ascii="Palatino Linotype" w:hAnsi="Palatino Linotype" w:cs="Calibri"/>
          <w:spacing w:val="-10"/>
          <w:sz w:val="22"/>
          <w:szCs w:val="22"/>
        </w:rPr>
        <w:t xml:space="preserve">demonstrating its public commitment to the transaction through its investment of public resources. Transactions with this demonstrable public support </w:t>
      </w:r>
      <w:r w:rsidR="00AB68D4" w:rsidRPr="00F276DA">
        <w:rPr>
          <w:rFonts w:ascii="Palatino Linotype" w:hAnsi="Palatino Linotype" w:cs="Calibri"/>
          <w:spacing w:val="-10"/>
          <w:sz w:val="22"/>
          <w:szCs w:val="22"/>
        </w:rPr>
        <w:t xml:space="preserve">also </w:t>
      </w:r>
      <w:r w:rsidRPr="00F276DA">
        <w:rPr>
          <w:rFonts w:ascii="Palatino Linotype" w:hAnsi="Palatino Linotype" w:cs="Calibri"/>
          <w:spacing w:val="-10"/>
          <w:sz w:val="22"/>
          <w:szCs w:val="22"/>
        </w:rPr>
        <w:t xml:space="preserve">pose less risk than a typical market-rate multifamily transaction because operating costs are lower.  </w:t>
      </w:r>
    </w:p>
    <w:p w14:paraId="414C7778" w14:textId="77777777" w:rsidR="00AC1BB7" w:rsidRPr="00F276DA" w:rsidRDefault="00AC1BB7" w:rsidP="00AC1BB7">
      <w:pPr>
        <w:ind w:firstLine="720"/>
        <w:jc w:val="both"/>
        <w:rPr>
          <w:rFonts w:ascii="Palatino Linotype" w:hAnsi="Palatino Linotype" w:cs="Calibri"/>
          <w:spacing w:val="-10"/>
          <w:sz w:val="22"/>
          <w:szCs w:val="22"/>
        </w:rPr>
      </w:pPr>
    </w:p>
    <w:p w14:paraId="577EB556" w14:textId="383DAD1D" w:rsidR="00127133" w:rsidRPr="00F276DA" w:rsidRDefault="005C4CB0" w:rsidP="00A53313">
      <w:pPr>
        <w:pStyle w:val="Body"/>
        <w:spacing w:after="0" w:line="240" w:lineRule="auto"/>
        <w:ind w:firstLine="720"/>
        <w:jc w:val="both"/>
        <w:rPr>
          <w:rFonts w:ascii="Palatino Linotype" w:hAnsi="Palatino Linotype"/>
          <w:spacing w:val="-10"/>
        </w:rPr>
      </w:pPr>
      <w:r w:rsidRPr="00F276DA">
        <w:rPr>
          <w:rFonts w:ascii="Palatino Linotype" w:hAnsi="Palatino Linotype"/>
          <w:bCs/>
          <w:spacing w:val="-10"/>
          <w:u w:val="single"/>
        </w:rPr>
        <w:t>Below-market financing via Tax-Exempt Bonds</w:t>
      </w:r>
      <w:r w:rsidRPr="00F276DA">
        <w:rPr>
          <w:rFonts w:ascii="Palatino Linotype" w:hAnsi="Palatino Linotype"/>
          <w:bCs/>
          <w:spacing w:val="-10"/>
        </w:rPr>
        <w:t>.</w:t>
      </w:r>
      <w:r w:rsidRPr="00F276DA">
        <w:rPr>
          <w:rFonts w:ascii="Palatino Linotype" w:hAnsi="Palatino Linotype"/>
          <w:b/>
          <w:bCs/>
          <w:spacing w:val="-10"/>
        </w:rPr>
        <w:t xml:space="preserve">  </w:t>
      </w:r>
      <w:r w:rsidRPr="00F276DA">
        <w:rPr>
          <w:rFonts w:ascii="Palatino Linotype" w:hAnsi="Palatino Linotype"/>
          <w:spacing w:val="-10"/>
        </w:rPr>
        <w:t>The below-market interest rate</w:t>
      </w:r>
      <w:r w:rsidR="00AB68D4" w:rsidRPr="00F276DA">
        <w:rPr>
          <w:rFonts w:ascii="Palatino Linotype" w:hAnsi="Palatino Linotype"/>
          <w:spacing w:val="-10"/>
        </w:rPr>
        <w:t>s</w:t>
      </w:r>
      <w:r w:rsidRPr="00F276DA">
        <w:rPr>
          <w:rFonts w:ascii="Palatino Linotype" w:hAnsi="Palatino Linotype"/>
          <w:spacing w:val="-10"/>
        </w:rPr>
        <w:t xml:space="preserve"> of tax-exempt bonds state HFAs issue to finance affordable multifamily development enable building owner</w:t>
      </w:r>
      <w:r w:rsidR="00AB68D4" w:rsidRPr="00F276DA">
        <w:rPr>
          <w:rFonts w:ascii="Palatino Linotype" w:hAnsi="Palatino Linotype"/>
          <w:spacing w:val="-10"/>
        </w:rPr>
        <w:t>s</w:t>
      </w:r>
      <w:r w:rsidRPr="00F276DA">
        <w:rPr>
          <w:rFonts w:ascii="Palatino Linotype" w:hAnsi="Palatino Linotype"/>
          <w:spacing w:val="-10"/>
        </w:rPr>
        <w:t xml:space="preserve"> to </w:t>
      </w:r>
      <w:r w:rsidR="00E84ED8" w:rsidRPr="00F276DA">
        <w:rPr>
          <w:rFonts w:ascii="Palatino Linotype" w:hAnsi="Palatino Linotype"/>
          <w:spacing w:val="-10"/>
        </w:rPr>
        <w:t xml:space="preserve">lower rents by reducing </w:t>
      </w:r>
      <w:r w:rsidRPr="00F276DA">
        <w:rPr>
          <w:rFonts w:ascii="Palatino Linotype" w:hAnsi="Palatino Linotype"/>
          <w:spacing w:val="-10"/>
        </w:rPr>
        <w:t xml:space="preserve">monthly debt service and operating costs.   </w:t>
      </w:r>
    </w:p>
    <w:p w14:paraId="57353374" w14:textId="77777777" w:rsidR="00903565" w:rsidRPr="00F276DA" w:rsidRDefault="00903565" w:rsidP="00A53313">
      <w:pPr>
        <w:pStyle w:val="Body"/>
        <w:spacing w:after="0" w:line="240" w:lineRule="auto"/>
        <w:ind w:firstLine="720"/>
        <w:jc w:val="both"/>
        <w:rPr>
          <w:rFonts w:ascii="Palatino Linotype" w:hAnsi="Palatino Linotype"/>
          <w:spacing w:val="-10"/>
        </w:rPr>
      </w:pPr>
    </w:p>
    <w:p w14:paraId="32FF7817" w14:textId="64E7C16A" w:rsidR="00127133" w:rsidRPr="00F276DA" w:rsidRDefault="005C4CB0" w:rsidP="00A53313">
      <w:pPr>
        <w:pStyle w:val="Body"/>
        <w:spacing w:after="0" w:line="240" w:lineRule="auto"/>
        <w:ind w:firstLine="720"/>
        <w:jc w:val="both"/>
        <w:rPr>
          <w:rFonts w:ascii="Palatino Linotype" w:hAnsi="Palatino Linotype"/>
          <w:spacing w:val="-10"/>
        </w:rPr>
      </w:pPr>
      <w:r w:rsidRPr="00F276DA">
        <w:rPr>
          <w:rFonts w:ascii="Palatino Linotype" w:hAnsi="Palatino Linotype"/>
          <w:bCs/>
          <w:spacing w:val="-10"/>
          <w:u w:val="single"/>
        </w:rPr>
        <w:t>Energy Retrofits</w:t>
      </w:r>
      <w:r w:rsidRPr="00F276DA">
        <w:rPr>
          <w:rFonts w:ascii="Palatino Linotype" w:hAnsi="Palatino Linotype"/>
          <w:spacing w:val="-10"/>
        </w:rPr>
        <w:t>.  FHFA</w:t>
      </w:r>
      <w:r w:rsidRPr="00F276DA">
        <w:rPr>
          <w:rFonts w:ascii="Palatino Linotype" w:hAnsi="Palatino Linotype"/>
          <w:spacing w:val="-10"/>
          <w:rtl/>
        </w:rPr>
        <w:t>’</w:t>
      </w:r>
      <w:r w:rsidRPr="00F276DA">
        <w:rPr>
          <w:rFonts w:ascii="Palatino Linotype" w:hAnsi="Palatino Linotype"/>
          <w:spacing w:val="-10"/>
        </w:rPr>
        <w:t>s proposed rule does not provide any risk mitigation benefit for energy</w:t>
      </w:r>
      <w:r w:rsidR="00E84ED8" w:rsidRPr="00F276DA">
        <w:rPr>
          <w:rFonts w:ascii="Palatino Linotype" w:hAnsi="Palatino Linotype"/>
          <w:spacing w:val="-10"/>
        </w:rPr>
        <w:t>-</w:t>
      </w:r>
      <w:r w:rsidRPr="00F276DA">
        <w:rPr>
          <w:rFonts w:ascii="Palatino Linotype" w:hAnsi="Palatino Linotype"/>
          <w:spacing w:val="-10"/>
        </w:rPr>
        <w:t>retrofitted multifamily properties</w:t>
      </w:r>
      <w:r w:rsidR="00E84ED8" w:rsidRPr="00F276DA">
        <w:rPr>
          <w:rFonts w:ascii="Palatino Linotype" w:hAnsi="Palatino Linotype"/>
          <w:spacing w:val="-10"/>
        </w:rPr>
        <w:t xml:space="preserve">.  These properties </w:t>
      </w:r>
      <w:r w:rsidRPr="00F276DA">
        <w:rPr>
          <w:rFonts w:ascii="Palatino Linotype" w:hAnsi="Palatino Linotype"/>
          <w:spacing w:val="-10"/>
        </w:rPr>
        <w:t>are more creditworthy because energy-saving retrofits lower a building</w:t>
      </w:r>
      <w:r w:rsidRPr="00F276DA">
        <w:rPr>
          <w:rFonts w:ascii="Palatino Linotype" w:hAnsi="Palatino Linotype"/>
          <w:spacing w:val="-10"/>
          <w:rtl/>
        </w:rPr>
        <w:t>’</w:t>
      </w:r>
      <w:r w:rsidRPr="00F276DA">
        <w:rPr>
          <w:rFonts w:ascii="Palatino Linotype" w:hAnsi="Palatino Linotype"/>
          <w:spacing w:val="-10"/>
        </w:rPr>
        <w:t>s operating costs generally and</w:t>
      </w:r>
      <w:r w:rsidR="00E84ED8" w:rsidRPr="00F276DA">
        <w:rPr>
          <w:rFonts w:ascii="Palatino Linotype" w:hAnsi="Palatino Linotype"/>
          <w:spacing w:val="-10"/>
        </w:rPr>
        <w:t>—w</w:t>
      </w:r>
      <w:r w:rsidRPr="00F276DA">
        <w:rPr>
          <w:rFonts w:ascii="Palatino Linotype" w:hAnsi="Palatino Linotype"/>
          <w:spacing w:val="-10"/>
        </w:rPr>
        <w:t>here individual units are sub-metered</w:t>
      </w:r>
      <w:r w:rsidR="00E84ED8" w:rsidRPr="00F276DA">
        <w:rPr>
          <w:rFonts w:ascii="Palatino Linotype" w:hAnsi="Palatino Linotype"/>
          <w:spacing w:val="-10"/>
        </w:rPr>
        <w:t>—l</w:t>
      </w:r>
      <w:r w:rsidRPr="00F276DA">
        <w:rPr>
          <w:rFonts w:ascii="Palatino Linotype" w:hAnsi="Palatino Linotype"/>
          <w:spacing w:val="-10"/>
        </w:rPr>
        <w:t>ower the monthly utility costs to tenants</w:t>
      </w:r>
      <w:r w:rsidR="00E84ED8" w:rsidRPr="00F276DA">
        <w:rPr>
          <w:rFonts w:ascii="Palatino Linotype" w:hAnsi="Palatino Linotype"/>
          <w:spacing w:val="-10"/>
        </w:rPr>
        <w:t xml:space="preserve">, </w:t>
      </w:r>
      <w:r w:rsidRPr="00F276DA">
        <w:rPr>
          <w:rFonts w:ascii="Palatino Linotype" w:hAnsi="Palatino Linotype"/>
          <w:spacing w:val="-10"/>
        </w:rPr>
        <w:t>increas</w:t>
      </w:r>
      <w:r w:rsidR="00E84ED8" w:rsidRPr="00F276DA">
        <w:rPr>
          <w:rFonts w:ascii="Palatino Linotype" w:hAnsi="Palatino Linotype"/>
          <w:spacing w:val="-10"/>
        </w:rPr>
        <w:t>ing</w:t>
      </w:r>
      <w:r w:rsidRPr="00F276DA">
        <w:rPr>
          <w:rFonts w:ascii="Palatino Linotype" w:hAnsi="Palatino Linotype"/>
          <w:spacing w:val="-10"/>
        </w:rPr>
        <w:t xml:space="preserve"> their ability to pay rent on-time.  </w:t>
      </w:r>
    </w:p>
    <w:p w14:paraId="400B1575" w14:textId="77777777" w:rsidR="00903565" w:rsidRPr="00F276DA" w:rsidRDefault="00903565" w:rsidP="00A53313">
      <w:pPr>
        <w:pStyle w:val="Body"/>
        <w:spacing w:after="0" w:line="240" w:lineRule="auto"/>
        <w:ind w:firstLine="720"/>
        <w:jc w:val="both"/>
        <w:rPr>
          <w:rFonts w:ascii="Palatino Linotype" w:hAnsi="Palatino Linotype"/>
          <w:spacing w:val="-10"/>
        </w:rPr>
      </w:pPr>
    </w:p>
    <w:p w14:paraId="0DAEC7A6" w14:textId="29F3FC1D" w:rsidR="00127133" w:rsidRPr="00F276DA" w:rsidRDefault="005C4CB0" w:rsidP="00A53313">
      <w:pPr>
        <w:pStyle w:val="Body"/>
        <w:spacing w:after="0" w:line="240" w:lineRule="auto"/>
        <w:ind w:firstLine="720"/>
        <w:jc w:val="both"/>
        <w:rPr>
          <w:rFonts w:ascii="Palatino Linotype" w:hAnsi="Palatino Linotype"/>
          <w:spacing w:val="-10"/>
        </w:rPr>
      </w:pPr>
      <w:r w:rsidRPr="00F276DA">
        <w:rPr>
          <w:rFonts w:ascii="Palatino Linotype" w:hAnsi="Palatino Linotype"/>
          <w:bCs/>
          <w:spacing w:val="-10"/>
          <w:u w:val="single"/>
        </w:rPr>
        <w:t>Income Diversification</w:t>
      </w:r>
      <w:r w:rsidRPr="00F276DA">
        <w:rPr>
          <w:rFonts w:ascii="Palatino Linotype" w:hAnsi="Palatino Linotype"/>
          <w:spacing w:val="-10"/>
        </w:rPr>
        <w:t>.</w:t>
      </w:r>
      <w:r w:rsidRPr="00F276DA">
        <w:rPr>
          <w:rFonts w:ascii="Palatino Linotype" w:hAnsi="Palatino Linotype"/>
          <w:spacing w:val="-10"/>
        </w:rPr>
        <w:tab/>
        <w:t>Mixed-use buildings provide income diversification to building owner</w:t>
      </w:r>
      <w:r w:rsidR="00E84ED8" w:rsidRPr="00F276DA">
        <w:rPr>
          <w:rFonts w:ascii="Palatino Linotype" w:hAnsi="Palatino Linotype"/>
          <w:spacing w:val="-10"/>
        </w:rPr>
        <w:t>s</w:t>
      </w:r>
      <w:r w:rsidRPr="00F276DA">
        <w:rPr>
          <w:rFonts w:ascii="Palatino Linotype" w:hAnsi="Palatino Linotype"/>
          <w:spacing w:val="-10"/>
        </w:rPr>
        <w:t xml:space="preserve"> and are common in many suburban and urban areas.  Ground floor retail may not only make the development more desirable to tenants who may consider proximity to restaurants, a grocery store, pharmacy, or services (e.g. dry cleaning) to be a building amenity and reduce tenant turn-over, but it also diversifies the income streams to the building owner.  FHFA</w:t>
      </w:r>
      <w:r w:rsidRPr="00F276DA">
        <w:rPr>
          <w:rFonts w:ascii="Palatino Linotype" w:hAnsi="Palatino Linotype"/>
          <w:spacing w:val="-10"/>
          <w:rtl/>
        </w:rPr>
        <w:t>’</w:t>
      </w:r>
      <w:r w:rsidRPr="00F276DA">
        <w:rPr>
          <w:rFonts w:ascii="Palatino Linotype" w:hAnsi="Palatino Linotype"/>
          <w:spacing w:val="-10"/>
        </w:rPr>
        <w:t>s Framework does not provide any risk mitigation benefit for mixed-use buildings but should.</w:t>
      </w:r>
    </w:p>
    <w:p w14:paraId="30D2E9E1" w14:textId="77777777" w:rsidR="00171EA0" w:rsidRDefault="00171EA0" w:rsidP="00EF3EC6">
      <w:pPr>
        <w:pStyle w:val="Body"/>
        <w:spacing w:after="0" w:line="240" w:lineRule="auto"/>
        <w:ind w:firstLine="720"/>
        <w:jc w:val="both"/>
        <w:rPr>
          <w:rFonts w:ascii="Palatino Linotype" w:hAnsi="Palatino Linotype"/>
          <w:spacing w:val="-10"/>
        </w:rPr>
      </w:pPr>
    </w:p>
    <w:p w14:paraId="1BCC31EF" w14:textId="34F8686A" w:rsidR="00127133" w:rsidRPr="00F276DA" w:rsidRDefault="005C4CB0" w:rsidP="00EF3EC6">
      <w:pPr>
        <w:pStyle w:val="Body"/>
        <w:spacing w:after="0" w:line="240" w:lineRule="auto"/>
        <w:ind w:firstLine="720"/>
        <w:jc w:val="both"/>
        <w:rPr>
          <w:rFonts w:ascii="Palatino Linotype" w:hAnsi="Palatino Linotype"/>
          <w:spacing w:val="-10"/>
        </w:rPr>
      </w:pPr>
      <w:r w:rsidRPr="00F276DA">
        <w:rPr>
          <w:rFonts w:ascii="Palatino Linotype" w:hAnsi="Palatino Linotype" w:cs="Calibri"/>
          <w:bCs/>
          <w:spacing w:val="-10"/>
        </w:rPr>
        <w:lastRenderedPageBreak/>
        <w:t>FHFA</w:t>
      </w:r>
      <w:r w:rsidR="00171EA0">
        <w:rPr>
          <w:rFonts w:ascii="Palatino Linotype" w:hAnsi="Palatino Linotype" w:cs="Calibri"/>
          <w:bCs/>
          <w:spacing w:val="-10"/>
        </w:rPr>
        <w:t xml:space="preserve"> should</w:t>
      </w:r>
      <w:r w:rsidRPr="00F276DA">
        <w:rPr>
          <w:rFonts w:ascii="Palatino Linotype" w:hAnsi="Palatino Linotype" w:cs="Calibri"/>
          <w:bCs/>
          <w:spacing w:val="-10"/>
        </w:rPr>
        <w:t xml:space="preserve"> lower the risk adjustments for affordable rental properties that use </w:t>
      </w:r>
      <w:r w:rsidR="00E84ED8" w:rsidRPr="00F276DA">
        <w:rPr>
          <w:rFonts w:ascii="Palatino Linotype" w:hAnsi="Palatino Linotype" w:cs="Calibri"/>
          <w:bCs/>
          <w:spacing w:val="-10"/>
        </w:rPr>
        <w:t>additional subsidies, supplemental tenant services, Housing Credit</w:t>
      </w:r>
      <w:r w:rsidRPr="00F276DA">
        <w:rPr>
          <w:rFonts w:ascii="Palatino Linotype" w:hAnsi="Palatino Linotype" w:cs="Calibri"/>
          <w:bCs/>
          <w:spacing w:val="-10"/>
        </w:rPr>
        <w:t>-</w:t>
      </w:r>
      <w:r w:rsidR="00E84ED8" w:rsidRPr="00F276DA">
        <w:rPr>
          <w:rFonts w:ascii="Palatino Linotype" w:hAnsi="Palatino Linotype" w:cs="Calibri"/>
          <w:bCs/>
          <w:spacing w:val="-10"/>
        </w:rPr>
        <w:t xml:space="preserve"> and tax-exempt bond</w:t>
      </w:r>
      <w:r w:rsidRPr="00F276DA">
        <w:rPr>
          <w:rFonts w:ascii="Palatino Linotype" w:hAnsi="Palatino Linotype" w:cs="Calibri"/>
          <w:bCs/>
          <w:spacing w:val="-10"/>
        </w:rPr>
        <w:t>-</w:t>
      </w:r>
      <w:r w:rsidR="00E84ED8" w:rsidRPr="00F276DA">
        <w:rPr>
          <w:rFonts w:ascii="Palatino Linotype" w:hAnsi="Palatino Linotype" w:cs="Calibri"/>
          <w:bCs/>
          <w:spacing w:val="-10"/>
        </w:rPr>
        <w:t xml:space="preserve">financing, property tax abatement, energy retrofits, </w:t>
      </w:r>
      <w:r w:rsidR="007F6223" w:rsidRPr="00F276DA">
        <w:rPr>
          <w:rFonts w:ascii="Palatino Linotype" w:hAnsi="Palatino Linotype" w:cs="Calibri"/>
          <w:bCs/>
          <w:spacing w:val="-10"/>
        </w:rPr>
        <w:t xml:space="preserve">or </w:t>
      </w:r>
      <w:r w:rsidR="00E84ED8" w:rsidRPr="00F276DA">
        <w:rPr>
          <w:rFonts w:ascii="Palatino Linotype" w:hAnsi="Palatino Linotype" w:cs="Calibri"/>
          <w:bCs/>
          <w:spacing w:val="-10"/>
        </w:rPr>
        <w:t xml:space="preserve">income diversification.  </w:t>
      </w:r>
      <w:r w:rsidR="00EF3EC6" w:rsidRPr="00F276DA">
        <w:rPr>
          <w:rFonts w:ascii="Palatino Linotype" w:hAnsi="Palatino Linotype" w:cs="Calibri"/>
          <w:spacing w:val="-10"/>
        </w:rPr>
        <w:t xml:space="preserve">Failure to do so will mean affordable rental housing development will be more expensive, driving up rents, reducing total production, and increasing the amount of debt, equity, or subsidies sponsors will have to raise.  </w:t>
      </w:r>
    </w:p>
    <w:p w14:paraId="03A45BF2" w14:textId="77777777" w:rsidR="00127133" w:rsidRPr="00F276DA" w:rsidRDefault="00127133" w:rsidP="00C34768">
      <w:pPr>
        <w:pStyle w:val="ListParagraph"/>
        <w:spacing w:after="0" w:line="240" w:lineRule="auto"/>
        <w:ind w:left="1440"/>
        <w:jc w:val="both"/>
        <w:rPr>
          <w:rFonts w:ascii="Palatino Linotype" w:hAnsi="Palatino Linotype"/>
          <w:spacing w:val="-10"/>
        </w:rPr>
      </w:pPr>
    </w:p>
    <w:p w14:paraId="15662154" w14:textId="77777777" w:rsidR="00C34768" w:rsidRPr="00F276DA" w:rsidRDefault="005C4CB0" w:rsidP="00B504E5">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t>FHFA</w:t>
      </w:r>
      <w:r w:rsidRPr="00F276DA">
        <w:rPr>
          <w:rFonts w:ascii="Palatino Linotype" w:hAnsi="Palatino Linotype"/>
          <w:spacing w:val="-10"/>
          <w:rtl/>
        </w:rPr>
        <w:t>’</w:t>
      </w:r>
      <w:r w:rsidRPr="00F276DA">
        <w:rPr>
          <w:rFonts w:ascii="Palatino Linotype" w:hAnsi="Palatino Linotype"/>
          <w:spacing w:val="-10"/>
        </w:rPr>
        <w:t xml:space="preserve">s approach also will make it more expensive for the owners of smaller, older multifamily properties to finance the rehabilitation of their properties.  These properties are common in and important to smaller cities and towns, older downtown areas, and rural communities.  Because they contain fewer units, small multifamily buildings require less debt </w:t>
      </w:r>
      <w:r w:rsidRPr="00F276DA">
        <w:rPr>
          <w:rFonts w:ascii="Palatino Linotype" w:hAnsi="Palatino Linotype"/>
          <w:spacing w:val="-10"/>
          <w:lang w:val="it-IT"/>
        </w:rPr>
        <w:t>per unit,</w:t>
      </w:r>
      <w:r w:rsidRPr="00F276DA">
        <w:rPr>
          <w:rFonts w:ascii="Palatino Linotype" w:hAnsi="Palatino Linotype"/>
          <w:spacing w:val="-10"/>
        </w:rPr>
        <w:t xml:space="preserve"> leading to smaller loans.  They also may require less debt because they have received subsidies.  Yet FHFA</w:t>
      </w:r>
      <w:r w:rsidRPr="00F276DA">
        <w:rPr>
          <w:rFonts w:ascii="Palatino Linotype" w:hAnsi="Palatino Linotype"/>
          <w:spacing w:val="-10"/>
          <w:rtl/>
        </w:rPr>
        <w:t>’</w:t>
      </w:r>
      <w:r w:rsidRPr="00F276DA">
        <w:rPr>
          <w:rFonts w:ascii="Palatino Linotype" w:hAnsi="Palatino Linotype"/>
          <w:spacing w:val="-10"/>
        </w:rPr>
        <w:t>s risk multiplier for loans of less than $2 million is 1.45, which will cause the risk weighting for small multifamily loans to rise by almost 50 percent due to this factor alone.</w:t>
      </w:r>
      <w:bookmarkEnd w:id="1"/>
      <w:r w:rsidR="007F6223" w:rsidRPr="00F276DA">
        <w:rPr>
          <w:rFonts w:ascii="Palatino Linotype" w:hAnsi="Palatino Linotype"/>
          <w:spacing w:val="-10"/>
        </w:rPr>
        <w:t xml:space="preserve">  </w:t>
      </w:r>
    </w:p>
    <w:p w14:paraId="5758A037" w14:textId="77777777" w:rsidR="00C34768" w:rsidRPr="00F276DA" w:rsidRDefault="00C34768" w:rsidP="00B504E5">
      <w:pPr>
        <w:pStyle w:val="Body"/>
        <w:spacing w:after="0" w:line="240" w:lineRule="auto"/>
        <w:ind w:firstLine="720"/>
        <w:jc w:val="both"/>
        <w:rPr>
          <w:rFonts w:ascii="Palatino Linotype" w:hAnsi="Palatino Linotype"/>
          <w:spacing w:val="-10"/>
        </w:rPr>
      </w:pPr>
    </w:p>
    <w:p w14:paraId="603EE201" w14:textId="60BAA80A" w:rsidR="00127133" w:rsidRPr="00F276DA" w:rsidRDefault="00171EA0" w:rsidP="00B504E5">
      <w:pPr>
        <w:pStyle w:val="Body"/>
        <w:spacing w:after="0" w:line="240" w:lineRule="auto"/>
        <w:ind w:firstLine="720"/>
        <w:jc w:val="both"/>
        <w:rPr>
          <w:rFonts w:ascii="Palatino Linotype" w:hAnsi="Palatino Linotype"/>
          <w:spacing w:val="-10"/>
        </w:rPr>
      </w:pPr>
      <w:r>
        <w:rPr>
          <w:rFonts w:ascii="Palatino Linotype" w:hAnsi="Palatino Linotype"/>
          <w:spacing w:val="-10"/>
        </w:rPr>
        <w:t>FHFA should</w:t>
      </w:r>
      <w:r w:rsidR="007F6223" w:rsidRPr="00F276DA">
        <w:rPr>
          <w:rFonts w:ascii="Palatino Linotype" w:hAnsi="Palatino Linotype"/>
          <w:spacing w:val="-10"/>
        </w:rPr>
        <w:t xml:space="preserve"> re-examine the risk weighting for small multifamily loans – perhaps in conjunction with any of the above-mentioned characteristics common to affordable rental properties – so as to more accurately reflect the risks posed by affordable small multifamily properties.</w:t>
      </w:r>
    </w:p>
    <w:p w14:paraId="5802B942" w14:textId="77777777" w:rsidR="00903565" w:rsidRPr="00F276DA" w:rsidRDefault="00903565" w:rsidP="00A53313">
      <w:pPr>
        <w:pStyle w:val="Body"/>
        <w:spacing w:after="0" w:line="240" w:lineRule="auto"/>
        <w:ind w:firstLine="720"/>
        <w:jc w:val="both"/>
        <w:rPr>
          <w:rFonts w:ascii="Palatino Linotype" w:hAnsi="Palatino Linotype"/>
          <w:spacing w:val="-10"/>
        </w:rPr>
      </w:pPr>
    </w:p>
    <w:p w14:paraId="49E163EE" w14:textId="56A021B1" w:rsidR="00903565" w:rsidRPr="00F276DA" w:rsidRDefault="00EE0EF6" w:rsidP="00EE0EF6">
      <w:pPr>
        <w:pStyle w:val="ListParagraph"/>
        <w:numPr>
          <w:ilvl w:val="0"/>
          <w:numId w:val="5"/>
        </w:numPr>
        <w:spacing w:after="0" w:line="240" w:lineRule="auto"/>
        <w:ind w:left="360"/>
        <w:jc w:val="both"/>
        <w:rPr>
          <w:rFonts w:ascii="Palatino Linotype" w:hAnsi="Palatino Linotype"/>
          <w:b/>
          <w:bCs/>
          <w:spacing w:val="-10"/>
        </w:rPr>
      </w:pPr>
      <w:r w:rsidRPr="00F276DA">
        <w:rPr>
          <w:rFonts w:ascii="Palatino Linotype" w:hAnsi="Palatino Linotype"/>
          <w:b/>
          <w:bCs/>
          <w:spacing w:val="-10"/>
        </w:rPr>
        <w:t>The proposed Framework’s rigidity will stifle product innovation.</w:t>
      </w:r>
    </w:p>
    <w:p w14:paraId="2FC1D132" w14:textId="77777777" w:rsidR="00EE0EF6" w:rsidRPr="00F276DA" w:rsidRDefault="00EE0EF6" w:rsidP="00A53313">
      <w:pPr>
        <w:pStyle w:val="Body"/>
        <w:spacing w:after="0" w:line="240" w:lineRule="auto"/>
        <w:ind w:firstLine="720"/>
        <w:jc w:val="both"/>
        <w:rPr>
          <w:rFonts w:ascii="Palatino Linotype" w:hAnsi="Palatino Linotype"/>
          <w:spacing w:val="-10"/>
        </w:rPr>
      </w:pPr>
    </w:p>
    <w:p w14:paraId="069A2ADC" w14:textId="5839781D" w:rsidR="00127133" w:rsidRPr="00F276DA" w:rsidRDefault="005C4CB0" w:rsidP="00A53313">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t>The Enterprises’ special role in the American housing finance system will diminish and stagnate if they cannot innovate.  Mortgage finance tools and procedures change constantly, so innovation is the key to serving and leading the markets. Post-conservatorship, investors who weigh whether to invest in an Enterprise or another company are sure to consider an Enterprise</w:t>
      </w:r>
      <w:r w:rsidRPr="00F276DA">
        <w:rPr>
          <w:rFonts w:ascii="Palatino Linotype" w:hAnsi="Palatino Linotype"/>
          <w:spacing w:val="-10"/>
          <w:rtl/>
        </w:rPr>
        <w:t>’</w:t>
      </w:r>
      <w:r w:rsidRPr="00F276DA">
        <w:rPr>
          <w:rFonts w:ascii="Palatino Linotype" w:hAnsi="Palatino Linotype"/>
          <w:spacing w:val="-10"/>
        </w:rPr>
        <w:t>s ability to stay competitive when making their investment decisions.</w:t>
      </w:r>
    </w:p>
    <w:p w14:paraId="7208258B" w14:textId="77777777" w:rsidR="00903565" w:rsidRPr="00F276DA" w:rsidRDefault="00903565" w:rsidP="00A53313">
      <w:pPr>
        <w:pStyle w:val="Body"/>
        <w:spacing w:after="0" w:line="240" w:lineRule="auto"/>
        <w:ind w:firstLine="720"/>
        <w:jc w:val="both"/>
        <w:rPr>
          <w:rFonts w:ascii="Palatino Linotype" w:hAnsi="Palatino Linotype"/>
          <w:spacing w:val="-10"/>
        </w:rPr>
      </w:pPr>
    </w:p>
    <w:p w14:paraId="636AF93C" w14:textId="19133F26" w:rsidR="00127133" w:rsidRPr="00F276DA" w:rsidRDefault="005C4CB0" w:rsidP="00A53313">
      <w:pPr>
        <w:pStyle w:val="Body"/>
        <w:spacing w:after="0" w:line="240" w:lineRule="auto"/>
        <w:jc w:val="both"/>
        <w:rPr>
          <w:rFonts w:ascii="Palatino Linotype" w:hAnsi="Palatino Linotype"/>
          <w:spacing w:val="-10"/>
        </w:rPr>
      </w:pPr>
      <w:r w:rsidRPr="00F276DA">
        <w:rPr>
          <w:rFonts w:ascii="Palatino Linotype" w:hAnsi="Palatino Linotype"/>
          <w:spacing w:val="-10"/>
        </w:rPr>
        <w:tab/>
        <w:t>The proposed Framework for both single-family or multifamily loan exposures does not contain any mechanism for an Enterprise to seek FHFA</w:t>
      </w:r>
      <w:r w:rsidRPr="00F276DA">
        <w:rPr>
          <w:rFonts w:ascii="Palatino Linotype" w:hAnsi="Palatino Linotype"/>
          <w:spacing w:val="-10"/>
          <w:rtl/>
        </w:rPr>
        <w:t>’</w:t>
      </w:r>
      <w:r w:rsidRPr="00F276DA">
        <w:rPr>
          <w:rFonts w:ascii="Palatino Linotype" w:hAnsi="Palatino Linotype"/>
          <w:spacing w:val="-10"/>
        </w:rPr>
        <w:t xml:space="preserve">s approval for any other risk-mitigating loan characteristics or other structures their partners, including state HFAs, might develop in the future.  Indeed, the Enterprises do not currently recognize the aforementioned MIPlus program’s </w:t>
      </w:r>
      <w:r w:rsidR="00E75638" w:rsidRPr="00F276DA">
        <w:rPr>
          <w:rFonts w:ascii="Palatino Linotype" w:hAnsi="Palatino Linotype"/>
          <w:spacing w:val="-10"/>
        </w:rPr>
        <w:t>benefits but</w:t>
      </w:r>
      <w:r w:rsidRPr="00F276DA">
        <w:rPr>
          <w:rFonts w:ascii="Palatino Linotype" w:hAnsi="Palatino Linotype"/>
          <w:spacing w:val="-10"/>
        </w:rPr>
        <w:t xml:space="preserve"> should consider doing so.  FHFA</w:t>
      </w:r>
      <w:r w:rsidRPr="00F276DA">
        <w:rPr>
          <w:rFonts w:ascii="Palatino Linotype" w:hAnsi="Palatino Linotype"/>
          <w:spacing w:val="-10"/>
          <w:rtl/>
        </w:rPr>
        <w:t>’</w:t>
      </w:r>
      <w:r w:rsidRPr="00F276DA">
        <w:rPr>
          <w:rFonts w:ascii="Palatino Linotype" w:hAnsi="Palatino Linotype"/>
          <w:spacing w:val="-10"/>
        </w:rPr>
        <w:t>s Framework would not allow for a reduction in credit capital when such characteristics</w:t>
      </w:r>
      <w:r w:rsidR="003573EB" w:rsidRPr="00F276DA">
        <w:rPr>
          <w:rFonts w:ascii="Palatino Linotype" w:hAnsi="Palatino Linotype"/>
          <w:spacing w:val="-10"/>
        </w:rPr>
        <w:t xml:space="preserve"> are in effect</w:t>
      </w:r>
      <w:r w:rsidRPr="00F276DA">
        <w:rPr>
          <w:rFonts w:ascii="Palatino Linotype" w:hAnsi="Palatino Linotype"/>
          <w:spacing w:val="-10"/>
        </w:rPr>
        <w:t>, nor is there a way to recognize and apply additional research that might be even more conclusive on risk mitiga</w:t>
      </w:r>
      <w:r w:rsidR="003573EB" w:rsidRPr="00F276DA">
        <w:rPr>
          <w:rFonts w:ascii="Palatino Linotype" w:hAnsi="Palatino Linotype"/>
          <w:spacing w:val="-10"/>
        </w:rPr>
        <w:t>tion</w:t>
      </w:r>
      <w:r w:rsidRPr="00F276DA">
        <w:rPr>
          <w:rFonts w:ascii="Palatino Linotype" w:hAnsi="Palatino Linotype"/>
          <w:spacing w:val="-10"/>
        </w:rPr>
        <w:t>.</w:t>
      </w:r>
    </w:p>
    <w:p w14:paraId="19E85F4C" w14:textId="77777777" w:rsidR="00127133" w:rsidRPr="00F276DA" w:rsidRDefault="00127133" w:rsidP="00A53313">
      <w:pPr>
        <w:pStyle w:val="Body"/>
        <w:spacing w:after="0" w:line="240" w:lineRule="auto"/>
        <w:jc w:val="both"/>
        <w:rPr>
          <w:rFonts w:ascii="Palatino Linotype" w:hAnsi="Palatino Linotype"/>
          <w:spacing w:val="-10"/>
        </w:rPr>
      </w:pPr>
    </w:p>
    <w:p w14:paraId="029C9AB0" w14:textId="2BDEC635" w:rsidR="00127133" w:rsidRPr="00F276DA" w:rsidRDefault="005C4CB0" w:rsidP="00A53313">
      <w:pPr>
        <w:pStyle w:val="Body"/>
        <w:spacing w:after="0" w:line="240" w:lineRule="auto"/>
        <w:ind w:firstLine="720"/>
        <w:jc w:val="both"/>
        <w:rPr>
          <w:rFonts w:ascii="Palatino Linotype" w:hAnsi="Palatino Linotype"/>
          <w:spacing w:val="-10"/>
        </w:rPr>
      </w:pPr>
      <w:r w:rsidRPr="00F276DA">
        <w:rPr>
          <w:rFonts w:ascii="Palatino Linotype" w:hAnsi="Palatino Linotype"/>
          <w:bCs/>
          <w:spacing w:val="-10"/>
        </w:rPr>
        <w:t xml:space="preserve">FHFA </w:t>
      </w:r>
      <w:r w:rsidR="00171EA0">
        <w:rPr>
          <w:rFonts w:ascii="Palatino Linotype" w:hAnsi="Palatino Linotype"/>
          <w:bCs/>
          <w:spacing w:val="-10"/>
        </w:rPr>
        <w:t xml:space="preserve">should </w:t>
      </w:r>
      <w:r w:rsidRPr="00F276DA">
        <w:rPr>
          <w:rFonts w:ascii="Palatino Linotype" w:hAnsi="Palatino Linotype"/>
          <w:bCs/>
          <w:spacing w:val="-10"/>
        </w:rPr>
        <w:t xml:space="preserve">make </w:t>
      </w:r>
      <w:r w:rsidR="003573EB" w:rsidRPr="00F276DA">
        <w:rPr>
          <w:rFonts w:ascii="Palatino Linotype" w:hAnsi="Palatino Linotype"/>
          <w:bCs/>
          <w:spacing w:val="-10"/>
        </w:rPr>
        <w:t xml:space="preserve">its final </w:t>
      </w:r>
      <w:r w:rsidRPr="00F276DA">
        <w:rPr>
          <w:rFonts w:ascii="Palatino Linotype" w:hAnsi="Palatino Linotype"/>
          <w:bCs/>
          <w:spacing w:val="-10"/>
        </w:rPr>
        <w:t>Framework flexible enough to adapt to an evolving market where new ideas are likely to emerge and should be valued and encouraged.  Or, in the alternative, FHFA needs to provide for a way to approve innovative risk mitigants in a timely manner.</w:t>
      </w:r>
      <w:r w:rsidRPr="00F276DA">
        <w:rPr>
          <w:rFonts w:ascii="Palatino Linotype" w:hAnsi="Palatino Linotype"/>
          <w:spacing w:val="-10"/>
        </w:rPr>
        <w:t xml:space="preserve">  Without such flexibility or approval mechanisms, the Enterprise</w:t>
      </w:r>
      <w:r w:rsidR="003573EB" w:rsidRPr="00F276DA">
        <w:rPr>
          <w:rFonts w:ascii="Palatino Linotype" w:hAnsi="Palatino Linotype"/>
          <w:spacing w:val="-10"/>
        </w:rPr>
        <w:t xml:space="preserve">s’ </w:t>
      </w:r>
      <w:r w:rsidRPr="00F276DA">
        <w:rPr>
          <w:rFonts w:ascii="Palatino Linotype" w:hAnsi="Palatino Linotype"/>
          <w:spacing w:val="-10"/>
        </w:rPr>
        <w:t>partners, including state HFAs, will not be incented to innovate because loan characteristics that do not fit FHFA</w:t>
      </w:r>
      <w:r w:rsidRPr="00F276DA">
        <w:rPr>
          <w:rFonts w:ascii="Palatino Linotype" w:hAnsi="Palatino Linotype"/>
          <w:spacing w:val="-10"/>
          <w:rtl/>
        </w:rPr>
        <w:t>’</w:t>
      </w:r>
      <w:r w:rsidRPr="00F276DA">
        <w:rPr>
          <w:rFonts w:ascii="Palatino Linotype" w:hAnsi="Palatino Linotype"/>
          <w:spacing w:val="-10"/>
        </w:rPr>
        <w:t>s mold will not receive favorable credit risk capital allocations, even if they mitigate risk.  This will stymie new product development and the continued evolution of affordable mortgage financ</w:t>
      </w:r>
      <w:r w:rsidR="003573EB" w:rsidRPr="00F276DA">
        <w:rPr>
          <w:rFonts w:ascii="Palatino Linotype" w:hAnsi="Palatino Linotype"/>
          <w:spacing w:val="-10"/>
        </w:rPr>
        <w:t>ing</w:t>
      </w:r>
      <w:r w:rsidRPr="00F276DA">
        <w:rPr>
          <w:rFonts w:ascii="Palatino Linotype" w:hAnsi="Palatino Linotype"/>
          <w:spacing w:val="-10"/>
        </w:rPr>
        <w:t>.</w:t>
      </w:r>
    </w:p>
    <w:p w14:paraId="1EC8A202" w14:textId="77777777" w:rsidR="00903565" w:rsidRPr="00F276DA" w:rsidRDefault="00903565" w:rsidP="00A53313">
      <w:pPr>
        <w:pStyle w:val="Body"/>
        <w:spacing w:after="0" w:line="240" w:lineRule="auto"/>
        <w:ind w:firstLine="720"/>
        <w:jc w:val="both"/>
        <w:rPr>
          <w:rFonts w:ascii="Palatino Linotype" w:hAnsi="Palatino Linotype"/>
          <w:b/>
          <w:bCs/>
          <w:spacing w:val="-10"/>
          <w:shd w:val="clear" w:color="auto" w:fill="00FF00"/>
        </w:rPr>
      </w:pPr>
    </w:p>
    <w:p w14:paraId="40B548E1" w14:textId="77777777" w:rsidR="00127133" w:rsidRPr="00F276DA" w:rsidRDefault="00127133" w:rsidP="00A53313">
      <w:pPr>
        <w:pStyle w:val="Body"/>
        <w:spacing w:after="0" w:line="240" w:lineRule="auto"/>
        <w:ind w:firstLine="720"/>
        <w:jc w:val="both"/>
        <w:rPr>
          <w:rFonts w:ascii="Palatino Linotype" w:hAnsi="Palatino Linotype"/>
          <w:spacing w:val="-10"/>
        </w:rPr>
      </w:pPr>
    </w:p>
    <w:p w14:paraId="05B9A6ED" w14:textId="6DED1206" w:rsidR="00127133" w:rsidRPr="00F276DA" w:rsidRDefault="005C4CB0" w:rsidP="005D56FC">
      <w:pPr>
        <w:pStyle w:val="Body"/>
        <w:spacing w:after="0" w:line="240" w:lineRule="auto"/>
        <w:jc w:val="center"/>
        <w:rPr>
          <w:rFonts w:ascii="Palatino Linotype" w:hAnsi="Palatino Linotype"/>
          <w:b/>
          <w:bCs/>
          <w:spacing w:val="-10"/>
          <w:lang w:val="it-IT"/>
        </w:rPr>
      </w:pPr>
      <w:r w:rsidRPr="00F276DA">
        <w:rPr>
          <w:rFonts w:ascii="Palatino Linotype" w:hAnsi="Palatino Linotype"/>
          <w:b/>
          <w:bCs/>
          <w:spacing w:val="-10"/>
          <w:lang w:val="it-IT"/>
        </w:rPr>
        <w:lastRenderedPageBreak/>
        <w:t>In Conclusion</w:t>
      </w:r>
    </w:p>
    <w:p w14:paraId="3AD963DF" w14:textId="77777777" w:rsidR="00903565" w:rsidRPr="00F276DA" w:rsidRDefault="00903565" w:rsidP="00A53313">
      <w:pPr>
        <w:pStyle w:val="Body"/>
        <w:spacing w:after="0" w:line="240" w:lineRule="auto"/>
        <w:jc w:val="both"/>
        <w:rPr>
          <w:rFonts w:ascii="Palatino Linotype" w:hAnsi="Palatino Linotype"/>
          <w:b/>
          <w:bCs/>
          <w:spacing w:val="-10"/>
        </w:rPr>
      </w:pPr>
    </w:p>
    <w:p w14:paraId="70ADE1A5" w14:textId="6E796E37" w:rsidR="00127133" w:rsidRPr="00F276DA" w:rsidRDefault="005C4CB0" w:rsidP="00A53313">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lang w:val="pt-PT"/>
        </w:rPr>
        <w:t xml:space="preserve">As </w:t>
      </w:r>
      <w:r w:rsidRPr="00F276DA">
        <w:rPr>
          <w:rFonts w:ascii="Palatino Linotype" w:hAnsi="Palatino Linotype"/>
          <w:spacing w:val="-10"/>
        </w:rPr>
        <w:t xml:space="preserve">state HFAs seek to reverse the downward trend of minority homeownership, ensure safe and sustainable housing options for all citizens during the global COVID-19 pandemic, and address local affordable housing needs generally, they need </w:t>
      </w:r>
      <w:r w:rsidRPr="00F276DA">
        <w:rPr>
          <w:rFonts w:ascii="Palatino Linotype" w:hAnsi="Palatino Linotype"/>
          <w:spacing w:val="-10"/>
          <w:lang w:val="de-DE"/>
        </w:rPr>
        <w:t>Fannie Mae and Freddie Mac</w:t>
      </w:r>
      <w:r w:rsidRPr="00F276DA">
        <w:rPr>
          <w:rFonts w:ascii="Palatino Linotype" w:hAnsi="Palatino Linotype"/>
          <w:spacing w:val="-10"/>
        </w:rPr>
        <w:t xml:space="preserve"> to offer robust, affordable, and innovative products.   NCSHA urges FHFA to make the necessary changes we have described above to ensure the Enterprises will be able to do so.  </w:t>
      </w:r>
    </w:p>
    <w:p w14:paraId="1B305915" w14:textId="77777777" w:rsidR="00903565" w:rsidRPr="00F276DA" w:rsidRDefault="00903565" w:rsidP="00A53313">
      <w:pPr>
        <w:pStyle w:val="Body"/>
        <w:spacing w:after="0" w:line="240" w:lineRule="auto"/>
        <w:ind w:firstLine="720"/>
        <w:jc w:val="both"/>
        <w:rPr>
          <w:rFonts w:ascii="Palatino Linotype" w:hAnsi="Palatino Linotype"/>
          <w:spacing w:val="-10"/>
        </w:rPr>
      </w:pPr>
    </w:p>
    <w:p w14:paraId="59B65F51" w14:textId="0DAB900C" w:rsidR="00127133" w:rsidRPr="00F276DA" w:rsidRDefault="005C4CB0" w:rsidP="00A53313">
      <w:pPr>
        <w:pStyle w:val="Body"/>
        <w:spacing w:after="0" w:line="240" w:lineRule="auto"/>
        <w:ind w:firstLine="720"/>
        <w:jc w:val="both"/>
        <w:rPr>
          <w:rFonts w:ascii="Palatino Linotype" w:hAnsi="Palatino Linotype"/>
          <w:spacing w:val="-10"/>
        </w:rPr>
      </w:pPr>
      <w:r w:rsidRPr="00F276DA">
        <w:rPr>
          <w:rFonts w:ascii="Palatino Linotype" w:hAnsi="Palatino Linotype"/>
          <w:spacing w:val="-10"/>
        </w:rPr>
        <w:t>NCSHA appreciates the opportunity to provide comments on FHFA</w:t>
      </w:r>
      <w:r w:rsidRPr="00F276DA">
        <w:rPr>
          <w:rFonts w:ascii="Palatino Linotype" w:hAnsi="Palatino Linotype"/>
          <w:spacing w:val="-10"/>
          <w:rtl/>
        </w:rPr>
        <w:t>’</w:t>
      </w:r>
      <w:r w:rsidRPr="00F276DA">
        <w:rPr>
          <w:rFonts w:ascii="Palatino Linotype" w:hAnsi="Palatino Linotype"/>
          <w:spacing w:val="-10"/>
        </w:rPr>
        <w:t>s proposed Framework and would welcome the opportunity to provide clarifications or additional information to FHFA as it works to finalize the Framework, including during any listening sessions or public hearings it may schedule to consider public comments.</w:t>
      </w:r>
    </w:p>
    <w:p w14:paraId="3B0AA86B" w14:textId="77777777" w:rsidR="00903565" w:rsidRPr="00F276DA" w:rsidRDefault="00903565" w:rsidP="00A53313">
      <w:pPr>
        <w:pStyle w:val="Body"/>
        <w:spacing w:after="0" w:line="240" w:lineRule="auto"/>
        <w:jc w:val="both"/>
        <w:rPr>
          <w:rFonts w:ascii="Palatino Linotype" w:hAnsi="Palatino Linotype"/>
          <w:spacing w:val="-10"/>
        </w:rPr>
      </w:pPr>
    </w:p>
    <w:p w14:paraId="44738150" w14:textId="22EBF547" w:rsidR="00127133" w:rsidRPr="00F276DA" w:rsidRDefault="005C4CB0" w:rsidP="00A53313">
      <w:pPr>
        <w:pStyle w:val="Body"/>
        <w:spacing w:after="0" w:line="240" w:lineRule="auto"/>
        <w:jc w:val="both"/>
        <w:rPr>
          <w:rFonts w:ascii="Palatino Linotype" w:hAnsi="Palatino Linotype"/>
          <w:spacing w:val="-10"/>
        </w:rPr>
      </w:pPr>
      <w:r w:rsidRPr="00F276DA">
        <w:rPr>
          <w:rFonts w:ascii="Palatino Linotype" w:hAnsi="Palatino Linotype"/>
          <w:spacing w:val="-10"/>
        </w:rPr>
        <w:t>Sincerely,</w:t>
      </w:r>
    </w:p>
    <w:p w14:paraId="4430B969" w14:textId="30BFEA8B" w:rsidR="00903565" w:rsidRPr="00F276DA" w:rsidRDefault="00DD4B92" w:rsidP="00DD4B92">
      <w:pPr>
        <w:pStyle w:val="Body"/>
        <w:spacing w:after="0" w:line="240" w:lineRule="auto"/>
        <w:jc w:val="both"/>
        <w:rPr>
          <w:rFonts w:ascii="Palatino Linotype" w:hAnsi="Palatino Linotype"/>
          <w:spacing w:val="-10"/>
        </w:rPr>
      </w:pPr>
      <w:r w:rsidRPr="00F276DA">
        <w:rPr>
          <w:rFonts w:ascii="Palatino Linotype" w:hAnsi="Palatino Linotype"/>
          <w:noProof/>
          <w:spacing w:val="-10"/>
        </w:rPr>
        <w:drawing>
          <wp:inline distT="0" distB="0" distL="0" distR="0" wp14:anchorId="4D95B521" wp14:editId="1DD1ED1A">
            <wp:extent cx="2362200" cy="58160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5465" cy="582406"/>
                    </a:xfrm>
                    <a:prstGeom prst="rect">
                      <a:avLst/>
                    </a:prstGeom>
                    <a:noFill/>
                    <a:ln>
                      <a:noFill/>
                    </a:ln>
                  </pic:spPr>
                </pic:pic>
              </a:graphicData>
            </a:graphic>
          </wp:inline>
        </w:drawing>
      </w:r>
    </w:p>
    <w:p w14:paraId="1E7E5C0B" w14:textId="77777777" w:rsidR="00DD4B92" w:rsidRPr="00F276DA" w:rsidRDefault="005C4CB0" w:rsidP="00A53313">
      <w:pPr>
        <w:pStyle w:val="Body"/>
        <w:spacing w:after="0" w:line="240" w:lineRule="auto"/>
        <w:jc w:val="both"/>
        <w:rPr>
          <w:rFonts w:ascii="Palatino Linotype" w:hAnsi="Palatino Linotype"/>
          <w:spacing w:val="-10"/>
        </w:rPr>
      </w:pPr>
      <w:r w:rsidRPr="00F276DA">
        <w:rPr>
          <w:rFonts w:ascii="Palatino Linotype" w:hAnsi="Palatino Linotype"/>
          <w:spacing w:val="-10"/>
        </w:rPr>
        <w:t>Garth Rieman</w:t>
      </w:r>
    </w:p>
    <w:p w14:paraId="1E34C091" w14:textId="709DD5E1" w:rsidR="00127133" w:rsidRPr="00F276DA" w:rsidRDefault="005C4CB0" w:rsidP="00A53313">
      <w:pPr>
        <w:pStyle w:val="Body"/>
        <w:spacing w:after="0" w:line="240" w:lineRule="auto"/>
        <w:jc w:val="both"/>
        <w:rPr>
          <w:rFonts w:ascii="Palatino Linotype" w:hAnsi="Palatino Linotype"/>
          <w:spacing w:val="-10"/>
        </w:rPr>
      </w:pPr>
      <w:r w:rsidRPr="00F276DA">
        <w:rPr>
          <w:rFonts w:ascii="Palatino Linotype" w:hAnsi="Palatino Linotype"/>
          <w:spacing w:val="-10"/>
        </w:rPr>
        <w:t>Director of Housing Advocacy and Strategic Initiatives</w:t>
      </w:r>
    </w:p>
    <w:sectPr w:rsidR="00127133" w:rsidRPr="00F276DA" w:rsidSect="00B46FD2">
      <w:footerReference w:type="defaul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017CD" w14:textId="77777777" w:rsidR="008433F6" w:rsidRDefault="008433F6">
      <w:r>
        <w:separator/>
      </w:r>
    </w:p>
  </w:endnote>
  <w:endnote w:type="continuationSeparator" w:id="0">
    <w:p w14:paraId="35B27088" w14:textId="77777777" w:rsidR="008433F6" w:rsidRDefault="0084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3EBEA" w14:textId="28F01034" w:rsidR="005C4CB0" w:rsidRDefault="005C4CB0">
    <w:pPr>
      <w:pStyle w:val="Footer"/>
      <w:tabs>
        <w:tab w:val="clear" w:pos="9360"/>
        <w:tab w:val="right" w:pos="9340"/>
      </w:tabs>
      <w:jc w:val="center"/>
    </w:pPr>
    <w:r>
      <w:fldChar w:fldCharType="begin"/>
    </w:r>
    <w:r>
      <w:instrText xml:space="preserve"> PAGE </w:instrText>
    </w:r>
    <w:r>
      <w:fldChar w:fldCharType="separate"/>
    </w:r>
    <w:r w:rsidR="005039BF">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03C91" w14:textId="77777777" w:rsidR="008433F6" w:rsidRDefault="008433F6">
      <w:r>
        <w:separator/>
      </w:r>
    </w:p>
  </w:footnote>
  <w:footnote w:type="continuationSeparator" w:id="0">
    <w:p w14:paraId="31DBFA08" w14:textId="77777777" w:rsidR="008433F6" w:rsidRDefault="008433F6">
      <w:r>
        <w:continuationSeparator/>
      </w:r>
    </w:p>
  </w:footnote>
  <w:footnote w:type="continuationNotice" w:id="1">
    <w:p w14:paraId="155E3934" w14:textId="77777777" w:rsidR="008433F6" w:rsidRDefault="008433F6"/>
  </w:footnote>
  <w:footnote w:id="2">
    <w:p w14:paraId="7363D4F6" w14:textId="77777777" w:rsidR="005C4CB0" w:rsidRPr="006F616A" w:rsidRDefault="005C4CB0" w:rsidP="00C6047F">
      <w:pPr>
        <w:pStyle w:val="NoSpacing"/>
        <w:jc w:val="both"/>
        <w:rPr>
          <w:rFonts w:ascii="Palatino Linotype" w:hAnsi="Palatino Linotype"/>
          <w:spacing w:val="-10"/>
          <w:sz w:val="20"/>
          <w:szCs w:val="20"/>
        </w:rPr>
      </w:pPr>
      <w:r w:rsidRPr="006F616A">
        <w:rPr>
          <w:rFonts w:ascii="Palatino Linotype" w:hAnsi="Palatino Linotype"/>
          <w:spacing w:val="-10"/>
          <w:sz w:val="20"/>
          <w:szCs w:val="20"/>
          <w:vertAlign w:val="superscript"/>
        </w:rPr>
        <w:footnoteRef/>
      </w:r>
      <w:r w:rsidRPr="006F616A">
        <w:rPr>
          <w:rFonts w:ascii="Palatino Linotype" w:hAnsi="Palatino Linotype"/>
          <w:spacing w:val="-10"/>
          <w:sz w:val="20"/>
          <w:szCs w:val="20"/>
        </w:rPr>
        <w:t xml:space="preserve"> NCSHA is a nonprofit, nonpartisan organization. None of NCSHA’s activities related to federal legislation or regulation are funded by organizations that are prohibited by law from engaging in lobbying or related activities.</w:t>
      </w:r>
    </w:p>
  </w:footnote>
  <w:footnote w:id="3">
    <w:p w14:paraId="2DC7E0AC" w14:textId="145B37CA" w:rsidR="00BA6F81" w:rsidRPr="006F616A" w:rsidRDefault="00BA6F81">
      <w:pPr>
        <w:pStyle w:val="FootnoteText"/>
        <w:rPr>
          <w:rFonts w:ascii="Palatino Linotype" w:hAnsi="Palatino Linotype"/>
        </w:rPr>
      </w:pPr>
      <w:r w:rsidRPr="006F616A">
        <w:rPr>
          <w:rStyle w:val="FootnoteReference"/>
          <w:rFonts w:ascii="Palatino Linotype" w:hAnsi="Palatino Linotype"/>
        </w:rPr>
        <w:footnoteRef/>
      </w:r>
      <w:r w:rsidRPr="006F616A">
        <w:rPr>
          <w:rFonts w:ascii="Palatino Linotype" w:hAnsi="Palatino Linotype"/>
        </w:rPr>
        <w:t xml:space="preserve"> Fannie Mae, “2018 Annual Housing Activities Report and Annual Mortgage Report.” </w:t>
      </w:r>
    </w:p>
  </w:footnote>
  <w:footnote w:id="4">
    <w:p w14:paraId="565F1728" w14:textId="447A79A5" w:rsidR="00BA6F81" w:rsidRDefault="00BA6F81">
      <w:pPr>
        <w:pStyle w:val="FootnoteText"/>
      </w:pPr>
      <w:r>
        <w:rPr>
          <w:rStyle w:val="FootnoteReference"/>
        </w:rPr>
        <w:footnoteRef/>
      </w:r>
      <w:r>
        <w:t xml:space="preserve"> Fr</w:t>
      </w:r>
      <w:r w:rsidR="006F77BB">
        <w:t>e</w:t>
      </w:r>
      <w:r>
        <w:t>ddie Mac, “2018 Annual Housing Activities Report.</w:t>
      </w:r>
      <w:r w:rsidR="006F77BB">
        <w:t>”</w:t>
      </w:r>
    </w:p>
  </w:footnote>
  <w:footnote w:id="5">
    <w:p w14:paraId="7EF18B15" w14:textId="77777777" w:rsidR="00304A98" w:rsidRDefault="00304A98" w:rsidP="00304A98">
      <w:pPr>
        <w:pStyle w:val="FootnoteText"/>
      </w:pPr>
      <w:r>
        <w:rPr>
          <w:vertAlign w:val="superscript"/>
        </w:rPr>
        <w:footnoteRef/>
      </w:r>
      <w:r>
        <w:rPr>
          <w:rFonts w:eastAsia="Arial Unicode MS" w:cs="Arial Unicode MS"/>
        </w:rPr>
        <w:t xml:space="preserve"> </w:t>
      </w:r>
      <w:hyperlink r:id="rId1" w:history="1">
        <w:r>
          <w:rPr>
            <w:rStyle w:val="Hyperlink0"/>
            <w:rFonts w:eastAsia="Arial Unicode MS" w:cs="Arial Unicode MS"/>
          </w:rPr>
          <w:t>https://www.housingwire.com/articles/46427-housing-stock-age-shows-desperate-need-for-new-construction/</w:t>
        </w:r>
      </w:hyperlink>
    </w:p>
  </w:footnote>
  <w:footnote w:id="6">
    <w:p w14:paraId="584D39E4" w14:textId="77777777" w:rsidR="005C4CB0" w:rsidRDefault="005C4CB0">
      <w:pPr>
        <w:pStyle w:val="FootnoteText"/>
      </w:pPr>
      <w:r>
        <w:rPr>
          <w:vertAlign w:val="superscript"/>
        </w:rPr>
        <w:footnoteRef/>
      </w:r>
      <w:r>
        <w:rPr>
          <w:rFonts w:eastAsia="Arial Unicode MS" w:cs="Arial Unicode MS"/>
        </w:rPr>
        <w:t xml:space="preserve"> </w:t>
      </w:r>
      <w:hyperlink r:id="rId2" w:history="1">
        <w:r>
          <w:rPr>
            <w:rStyle w:val="Hyperlink0"/>
            <w:rFonts w:eastAsia="Arial Unicode MS" w:cs="Arial Unicode MS"/>
          </w:rPr>
          <w:t>https://www.huduser.gov/portal/periodicals/em/spring16/highlight2.html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87FE9"/>
    <w:multiLevelType w:val="hybridMultilevel"/>
    <w:tmpl w:val="D54C7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9B7FF1"/>
    <w:multiLevelType w:val="hybridMultilevel"/>
    <w:tmpl w:val="F77E4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54839"/>
    <w:multiLevelType w:val="hybridMultilevel"/>
    <w:tmpl w:val="2DE0649E"/>
    <w:numStyleLink w:val="ImportedStyle1"/>
  </w:abstractNum>
  <w:abstractNum w:abstractNumId="3" w15:restartNumberingAfterBreak="0">
    <w:nsid w:val="24737DB9"/>
    <w:multiLevelType w:val="hybridMultilevel"/>
    <w:tmpl w:val="88C4411E"/>
    <w:numStyleLink w:val="ImportedStyle2"/>
  </w:abstractNum>
  <w:abstractNum w:abstractNumId="4" w15:restartNumberingAfterBreak="0">
    <w:nsid w:val="5401628A"/>
    <w:multiLevelType w:val="hybridMultilevel"/>
    <w:tmpl w:val="2DE0649E"/>
    <w:styleLink w:val="ImportedStyle1"/>
    <w:lvl w:ilvl="0" w:tplc="8D44E6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2013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4A544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D7A6F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2A85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D05DF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996E5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3CA0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B69FF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1534F09"/>
    <w:multiLevelType w:val="hybridMultilevel"/>
    <w:tmpl w:val="88C4411E"/>
    <w:styleLink w:val="ImportedStyle2"/>
    <w:lvl w:ilvl="0" w:tplc="ACB0633C">
      <w:start w:val="1"/>
      <w:numFmt w:val="lowerLetter"/>
      <w:lvlText w:val="%1."/>
      <w:lvlJc w:val="left"/>
      <w:pPr>
        <w:ind w:left="1080"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F4439A0">
      <w:start w:val="1"/>
      <w:numFmt w:val="lowerLetter"/>
      <w:lvlText w:val="%2."/>
      <w:lvlJc w:val="left"/>
      <w:pPr>
        <w:ind w:left="1620" w:hanging="5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9545914">
      <w:start w:val="1"/>
      <w:numFmt w:val="lowerRoman"/>
      <w:lvlText w:val="%3."/>
      <w:lvlJc w:val="left"/>
      <w:pPr>
        <w:ind w:left="216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1C651A0">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98ECFA0">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3407342">
      <w:start w:val="1"/>
      <w:numFmt w:val="lowerRoman"/>
      <w:lvlText w:val="%6."/>
      <w:lvlJc w:val="left"/>
      <w:pPr>
        <w:ind w:left="432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E0EB1A2">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D6E4DEC">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DB6C41C">
      <w:start w:val="1"/>
      <w:numFmt w:val="lowerRoman"/>
      <w:lvlText w:val="%9."/>
      <w:lvlJc w:val="left"/>
      <w:pPr>
        <w:ind w:left="648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lvlOverride w:ilvl="0">
      <w:lvl w:ilvl="0" w:tplc="3C0AA9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133"/>
    <w:rsid w:val="0005103A"/>
    <w:rsid w:val="00127133"/>
    <w:rsid w:val="001337EC"/>
    <w:rsid w:val="00171EA0"/>
    <w:rsid w:val="002410AF"/>
    <w:rsid w:val="002E28F6"/>
    <w:rsid w:val="00304A98"/>
    <w:rsid w:val="0033591D"/>
    <w:rsid w:val="003573EB"/>
    <w:rsid w:val="003578AF"/>
    <w:rsid w:val="003D133F"/>
    <w:rsid w:val="003D778E"/>
    <w:rsid w:val="003F036C"/>
    <w:rsid w:val="00436945"/>
    <w:rsid w:val="004B11E8"/>
    <w:rsid w:val="005039BF"/>
    <w:rsid w:val="00513303"/>
    <w:rsid w:val="00535C0C"/>
    <w:rsid w:val="0054673B"/>
    <w:rsid w:val="005A3D4C"/>
    <w:rsid w:val="005B2D79"/>
    <w:rsid w:val="005C4CB0"/>
    <w:rsid w:val="005D56FC"/>
    <w:rsid w:val="00644E91"/>
    <w:rsid w:val="006A558D"/>
    <w:rsid w:val="006B78AE"/>
    <w:rsid w:val="006F616A"/>
    <w:rsid w:val="006F77BB"/>
    <w:rsid w:val="00746840"/>
    <w:rsid w:val="00752A63"/>
    <w:rsid w:val="0078507B"/>
    <w:rsid w:val="007A1326"/>
    <w:rsid w:val="007A2FC5"/>
    <w:rsid w:val="007F6223"/>
    <w:rsid w:val="00800462"/>
    <w:rsid w:val="00821128"/>
    <w:rsid w:val="00825080"/>
    <w:rsid w:val="008433F6"/>
    <w:rsid w:val="008A2654"/>
    <w:rsid w:val="008B206E"/>
    <w:rsid w:val="008C69D5"/>
    <w:rsid w:val="00903565"/>
    <w:rsid w:val="009539AD"/>
    <w:rsid w:val="00954F00"/>
    <w:rsid w:val="00964950"/>
    <w:rsid w:val="00970995"/>
    <w:rsid w:val="00986BC6"/>
    <w:rsid w:val="009B0905"/>
    <w:rsid w:val="009B71BE"/>
    <w:rsid w:val="00A53313"/>
    <w:rsid w:val="00A61FD4"/>
    <w:rsid w:val="00AB68D4"/>
    <w:rsid w:val="00AC1BB7"/>
    <w:rsid w:val="00AE53B5"/>
    <w:rsid w:val="00B17CF1"/>
    <w:rsid w:val="00B46FD2"/>
    <w:rsid w:val="00B504E5"/>
    <w:rsid w:val="00B54960"/>
    <w:rsid w:val="00B74A08"/>
    <w:rsid w:val="00B84BD1"/>
    <w:rsid w:val="00B92CFF"/>
    <w:rsid w:val="00BA6F81"/>
    <w:rsid w:val="00BB1A6D"/>
    <w:rsid w:val="00BB3653"/>
    <w:rsid w:val="00C04045"/>
    <w:rsid w:val="00C20B8B"/>
    <w:rsid w:val="00C34768"/>
    <w:rsid w:val="00C6047F"/>
    <w:rsid w:val="00CF062F"/>
    <w:rsid w:val="00D15CCB"/>
    <w:rsid w:val="00D5777B"/>
    <w:rsid w:val="00D617DA"/>
    <w:rsid w:val="00D66DBA"/>
    <w:rsid w:val="00DA40F4"/>
    <w:rsid w:val="00DD3B88"/>
    <w:rsid w:val="00DD4B92"/>
    <w:rsid w:val="00DE753A"/>
    <w:rsid w:val="00E75638"/>
    <w:rsid w:val="00E84ED8"/>
    <w:rsid w:val="00EE0EF6"/>
    <w:rsid w:val="00EF3EC6"/>
    <w:rsid w:val="00F03AA8"/>
    <w:rsid w:val="00F209A2"/>
    <w:rsid w:val="00F276DA"/>
    <w:rsid w:val="00F35EB4"/>
    <w:rsid w:val="00FA1FCD"/>
    <w:rsid w:val="00FC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431E"/>
  <w15:docId w15:val="{12DFAEF0-85EE-4F97-8B71-F4E89C63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rPr>
      <w:rFonts w:ascii="Palatino Linotype" w:eastAsia="Palatino Linotype" w:hAnsi="Palatino Linotype" w:cs="Palatino Linotype"/>
      <w:color w:val="000000"/>
      <w:sz w:val="24"/>
      <w:szCs w:val="24"/>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FootnoteText">
    <w:name w:val="footnote text"/>
    <w:link w:val="FootnoteTextChar"/>
    <w:rPr>
      <w:rFonts w:ascii="Calibri" w:eastAsia="Calibri" w:hAnsi="Calibri" w:cs="Calibri"/>
      <w:color w:val="000000"/>
      <w:u w:color="000000"/>
    </w:rPr>
  </w:style>
  <w:style w:type="character" w:customStyle="1" w:styleId="Hyperlink0">
    <w:name w:val="Hyperlink.0"/>
    <w:basedOn w:val="Hyperlink"/>
    <w:rPr>
      <w:outline w:val="0"/>
      <w:color w:val="0563C1"/>
      <w:u w:val="single" w:color="0563C1"/>
    </w:r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A53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313"/>
    <w:rPr>
      <w:rFonts w:ascii="Segoe UI" w:hAnsi="Segoe UI" w:cs="Segoe UI"/>
      <w:sz w:val="18"/>
      <w:szCs w:val="18"/>
    </w:rPr>
  </w:style>
  <w:style w:type="paragraph" w:styleId="Header">
    <w:name w:val="header"/>
    <w:basedOn w:val="Normal"/>
    <w:link w:val="HeaderChar"/>
    <w:uiPriority w:val="99"/>
    <w:unhideWhenUsed/>
    <w:rsid w:val="00B46FD2"/>
    <w:pPr>
      <w:tabs>
        <w:tab w:val="center" w:pos="4680"/>
        <w:tab w:val="right" w:pos="9360"/>
      </w:tabs>
    </w:pPr>
  </w:style>
  <w:style w:type="character" w:customStyle="1" w:styleId="HeaderChar">
    <w:name w:val="Header Char"/>
    <w:basedOn w:val="DefaultParagraphFont"/>
    <w:link w:val="Header"/>
    <w:uiPriority w:val="99"/>
    <w:rsid w:val="00B46FD2"/>
    <w:rPr>
      <w:sz w:val="24"/>
      <w:szCs w:val="24"/>
    </w:rPr>
  </w:style>
  <w:style w:type="character" w:styleId="CommentReference">
    <w:name w:val="annotation reference"/>
    <w:basedOn w:val="DefaultParagraphFont"/>
    <w:uiPriority w:val="99"/>
    <w:semiHidden/>
    <w:unhideWhenUsed/>
    <w:rsid w:val="009B0905"/>
    <w:rPr>
      <w:sz w:val="16"/>
      <w:szCs w:val="16"/>
    </w:rPr>
  </w:style>
  <w:style w:type="paragraph" w:styleId="CommentText">
    <w:name w:val="annotation text"/>
    <w:basedOn w:val="Normal"/>
    <w:link w:val="CommentTextChar"/>
    <w:uiPriority w:val="99"/>
    <w:semiHidden/>
    <w:unhideWhenUsed/>
    <w:rsid w:val="009B0905"/>
    <w:rPr>
      <w:sz w:val="20"/>
      <w:szCs w:val="20"/>
    </w:rPr>
  </w:style>
  <w:style w:type="character" w:customStyle="1" w:styleId="CommentTextChar">
    <w:name w:val="Comment Text Char"/>
    <w:basedOn w:val="DefaultParagraphFont"/>
    <w:link w:val="CommentText"/>
    <w:uiPriority w:val="99"/>
    <w:semiHidden/>
    <w:rsid w:val="009B0905"/>
  </w:style>
  <w:style w:type="paragraph" w:styleId="CommentSubject">
    <w:name w:val="annotation subject"/>
    <w:basedOn w:val="CommentText"/>
    <w:next w:val="CommentText"/>
    <w:link w:val="CommentSubjectChar"/>
    <w:uiPriority w:val="99"/>
    <w:semiHidden/>
    <w:unhideWhenUsed/>
    <w:rsid w:val="009B0905"/>
    <w:rPr>
      <w:b/>
      <w:bCs/>
    </w:rPr>
  </w:style>
  <w:style w:type="character" w:customStyle="1" w:styleId="CommentSubjectChar">
    <w:name w:val="Comment Subject Char"/>
    <w:basedOn w:val="CommentTextChar"/>
    <w:link w:val="CommentSubject"/>
    <w:uiPriority w:val="99"/>
    <w:semiHidden/>
    <w:rsid w:val="009B0905"/>
    <w:rPr>
      <w:b/>
      <w:bCs/>
    </w:rPr>
  </w:style>
  <w:style w:type="character" w:customStyle="1" w:styleId="FootnoteTextChar">
    <w:name w:val="Footnote Text Char"/>
    <w:basedOn w:val="DefaultParagraphFont"/>
    <w:link w:val="FootnoteText"/>
    <w:rsid w:val="00304A98"/>
    <w:rPr>
      <w:rFonts w:ascii="Calibri" w:eastAsia="Calibri" w:hAnsi="Calibri" w:cs="Calibri"/>
      <w:color w:val="000000"/>
      <w:u w:color="000000"/>
    </w:rPr>
  </w:style>
  <w:style w:type="paragraph" w:styleId="NoSpacing">
    <w:name w:val="No Spacing"/>
    <w:uiPriority w:val="1"/>
    <w:qFormat/>
    <w:rsid w:val="004B11E8"/>
    <w:rPr>
      <w:sz w:val="24"/>
      <w:szCs w:val="24"/>
    </w:rPr>
  </w:style>
  <w:style w:type="character" w:styleId="FootnoteReference">
    <w:name w:val="footnote reference"/>
    <w:basedOn w:val="DefaultParagraphFont"/>
    <w:uiPriority w:val="99"/>
    <w:semiHidden/>
    <w:unhideWhenUsed/>
    <w:rsid w:val="00BA6F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97759">
      <w:bodyDiv w:val="1"/>
      <w:marLeft w:val="0"/>
      <w:marRight w:val="0"/>
      <w:marTop w:val="0"/>
      <w:marBottom w:val="0"/>
      <w:divBdr>
        <w:top w:val="none" w:sz="0" w:space="0" w:color="auto"/>
        <w:left w:val="none" w:sz="0" w:space="0" w:color="auto"/>
        <w:bottom w:val="none" w:sz="0" w:space="0" w:color="auto"/>
        <w:right w:val="none" w:sz="0" w:space="0" w:color="auto"/>
      </w:divBdr>
    </w:div>
    <w:div w:id="393506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huduser.gov/portal/periodicals/em/spring16/highlight2.html" TargetMode="External"/><Relationship Id="rId1" Type="http://schemas.openxmlformats.org/officeDocument/2006/relationships/hyperlink" Target="https://www.housingwire.com/articles/46427-housing-stock-age-shows-desperate-need-for-new-constructio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B2598-4ED1-4CB8-B6F4-0D48F47C2710}">
  <ds:schemaRefs>
    <ds:schemaRef ds:uri="http://schemas.openxmlformats.org/officeDocument/2006/bibliography"/>
  </ds:schemaRefs>
</ds:datastoreItem>
</file>

<file path=customXml/itemProps2.xml><?xml version="1.0" encoding="utf-8"?>
<ds:datastoreItem xmlns:ds="http://schemas.openxmlformats.org/officeDocument/2006/customXml" ds:itemID="{A64A0E98-459B-43D9-B2C9-E55FF52414F0}"/>
</file>

<file path=customXml/itemProps3.xml><?xml version="1.0" encoding="utf-8"?>
<ds:datastoreItem xmlns:ds="http://schemas.openxmlformats.org/officeDocument/2006/customXml" ds:itemID="{96D7B62A-0769-4A32-9535-343699F0C605}"/>
</file>

<file path=customXml/itemProps4.xml><?xml version="1.0" encoding="utf-8"?>
<ds:datastoreItem xmlns:ds="http://schemas.openxmlformats.org/officeDocument/2006/customXml" ds:itemID="{D33DFED4-08F0-4C90-A6E9-CE5B12E09BBD}"/>
</file>

<file path=docProps/app.xml><?xml version="1.0" encoding="utf-8"?>
<Properties xmlns="http://schemas.openxmlformats.org/officeDocument/2006/extended-properties" xmlns:vt="http://schemas.openxmlformats.org/officeDocument/2006/docPropsVTypes">
  <Template>Normal</Template>
  <TotalTime>70</TotalTime>
  <Pages>12</Pages>
  <Words>5223</Words>
  <Characters>29774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Rieman</dc:creator>
  <cp:lastModifiedBy>Garth Rieman</cp:lastModifiedBy>
  <cp:revision>8</cp:revision>
  <dcterms:created xsi:type="dcterms:W3CDTF">2020-08-31T18:47:00Z</dcterms:created>
  <dcterms:modified xsi:type="dcterms:W3CDTF">2020-08-31T20:48:00Z</dcterms:modified>
</cp:coreProperties>
</file>