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August 31, 2020 </w:t>
      </w:r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VIA ELECTRONIC MAIL – </w:t>
      </w:r>
      <w:hyperlink r:id="rId7" w:history="1">
        <w:r w:rsidR="00F667C4" w:rsidRPr="00F667C4">
          <w:rPr>
            <w:rStyle w:val="Hyperlink"/>
            <w:rFonts w:ascii="Georgia" w:hAnsi="Georgia"/>
            <w:i/>
            <w:iCs/>
            <w:color w:val="4472C4" w:themeColor="accent1"/>
            <w:bdr w:val="none" w:sz="0" w:space="0" w:color="auto" w:frame="1"/>
          </w:rPr>
          <w:t>www.fhfa.gov/</w:t>
        </w:r>
        <w:r w:rsidR="00F667C4" w:rsidRPr="00F667C4">
          <w:rPr>
            <w:rStyle w:val="Hyperlink"/>
            <w:rFonts w:ascii="Times New Roman" w:hAnsi="Times New Roman" w:cs="Times New Roman"/>
            <w:i/>
            <w:iCs/>
            <w:color w:val="4472C4" w:themeColor="accent1"/>
            <w:bdr w:val="none" w:sz="0" w:space="0" w:color="auto" w:frame="1"/>
          </w:rPr>
          <w:t>​</w:t>
        </w:r>
        <w:r w:rsidR="00F667C4" w:rsidRPr="00F667C4">
          <w:rPr>
            <w:rStyle w:val="Hyperlink"/>
            <w:rFonts w:ascii="Georgia" w:hAnsi="Georgia"/>
            <w:i/>
            <w:iCs/>
            <w:color w:val="4472C4" w:themeColor="accent1"/>
            <w:bdr w:val="none" w:sz="0" w:space="0" w:color="auto" w:frame="1"/>
          </w:rPr>
          <w:t>open-for-comment-or-input</w:t>
        </w:r>
      </w:hyperlink>
      <w:r w:rsidR="00F667C4" w:rsidRPr="00F667C4">
        <w:rPr>
          <w:rStyle w:val="Emphasis"/>
          <w:rFonts w:ascii="Georgia" w:hAnsi="Georgia"/>
          <w:color w:val="4472C4" w:themeColor="accent1"/>
          <w:bdr w:val="none" w:sz="0" w:space="0" w:color="auto" w:frame="1"/>
          <w:shd w:val="clear" w:color="auto" w:fill="F1F1F1"/>
        </w:rPr>
        <w:t xml:space="preserve"> </w:t>
      </w:r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830" w:rsidRPr="00210823" w:rsidRDefault="003D7830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>Mr. Alfred M. Pollard</w:t>
      </w:r>
    </w:p>
    <w:p w:rsidR="003D7830" w:rsidRPr="00210823" w:rsidRDefault="003D7830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General Counsel </w:t>
      </w:r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Federal Housing Finance Agency </w:t>
      </w:r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Office of Federal Housing Enterprise Oversight </w:t>
      </w:r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400 Seventh Street SW, 8th Floor </w:t>
      </w:r>
      <w:bookmarkStart w:id="0" w:name="_GoBack"/>
      <w:bookmarkEnd w:id="0"/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Washington, DC 20219 </w:t>
      </w:r>
    </w:p>
    <w:p w:rsidR="00611502" w:rsidRPr="00210823" w:rsidRDefault="00611502" w:rsidP="007C0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7A" w:rsidRPr="00210823" w:rsidRDefault="00397F7A" w:rsidP="00397F7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23">
        <w:rPr>
          <w:rFonts w:ascii="Times New Roman" w:hAnsi="Times New Roman" w:cs="Times New Roman"/>
          <w:b/>
          <w:sz w:val="24"/>
          <w:szCs w:val="24"/>
        </w:rPr>
        <w:t>RE</w:t>
      </w:r>
      <w:r w:rsidR="00611502" w:rsidRPr="002108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0823">
        <w:rPr>
          <w:rFonts w:ascii="Times New Roman" w:hAnsi="Times New Roman" w:cs="Times New Roman"/>
          <w:b/>
          <w:sz w:val="24"/>
          <w:szCs w:val="24"/>
        </w:rPr>
        <w:tab/>
      </w:r>
      <w:r w:rsidR="00611502" w:rsidRPr="00210823">
        <w:rPr>
          <w:rFonts w:ascii="Times New Roman" w:hAnsi="Times New Roman" w:cs="Times New Roman"/>
          <w:b/>
          <w:sz w:val="24"/>
          <w:szCs w:val="24"/>
        </w:rPr>
        <w:t>Comm</w:t>
      </w:r>
      <w:r w:rsidRPr="00210823">
        <w:rPr>
          <w:rFonts w:ascii="Times New Roman" w:hAnsi="Times New Roman" w:cs="Times New Roman"/>
          <w:b/>
          <w:sz w:val="24"/>
          <w:szCs w:val="24"/>
        </w:rPr>
        <w:t>ents on Proposed Enterprise Regulatory Capital Framework</w:t>
      </w:r>
    </w:p>
    <w:p w:rsidR="00611502" w:rsidRPr="00210823" w:rsidRDefault="00611502" w:rsidP="00397F7A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b/>
          <w:sz w:val="24"/>
          <w:szCs w:val="24"/>
        </w:rPr>
        <w:t>RIN 2590-AA95</w:t>
      </w:r>
      <w:r w:rsidRPr="0021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02" w:rsidRPr="00210823" w:rsidRDefault="00611502" w:rsidP="00611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502" w:rsidRPr="00210823" w:rsidRDefault="00611502" w:rsidP="00611502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>Dear Mr. Pollard</w:t>
      </w:r>
      <w:r w:rsidR="00507F6C" w:rsidRPr="00210823">
        <w:rPr>
          <w:rFonts w:ascii="Times New Roman" w:hAnsi="Times New Roman" w:cs="Times New Roman"/>
          <w:sz w:val="24"/>
          <w:szCs w:val="24"/>
        </w:rPr>
        <w:t>:</w:t>
      </w:r>
      <w:r w:rsidRPr="0021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02" w:rsidRPr="00210823" w:rsidRDefault="00611502" w:rsidP="00611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502" w:rsidRPr="00210823" w:rsidRDefault="00611502" w:rsidP="00611502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The Council of Insurance Agents and Brokers (“The Council”) appreciates this opportunity to comment </w:t>
      </w:r>
      <w:r w:rsidR="009924AD" w:rsidRPr="00210823">
        <w:rPr>
          <w:rFonts w:ascii="Times New Roman" w:hAnsi="Times New Roman" w:cs="Times New Roman"/>
          <w:sz w:val="24"/>
          <w:szCs w:val="24"/>
        </w:rPr>
        <w:t xml:space="preserve">in response to the Federal Housing Finance Agency’s (“FHFA”) </w:t>
      </w:r>
      <w:r w:rsidRPr="00210823">
        <w:rPr>
          <w:rFonts w:ascii="Times New Roman" w:hAnsi="Times New Roman" w:cs="Times New Roman"/>
          <w:sz w:val="24"/>
          <w:szCs w:val="24"/>
        </w:rPr>
        <w:t>proposed rule</w:t>
      </w:r>
      <w:r w:rsidR="00C579DB" w:rsidRPr="0021082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10823">
        <w:rPr>
          <w:rFonts w:ascii="Times New Roman" w:hAnsi="Times New Roman" w:cs="Times New Roman"/>
          <w:sz w:val="24"/>
          <w:szCs w:val="24"/>
        </w:rPr>
        <w:t xml:space="preserve"> regarding</w:t>
      </w:r>
      <w:r w:rsidR="00507F6C" w:rsidRPr="00210823">
        <w:rPr>
          <w:rFonts w:ascii="Times New Roman" w:hAnsi="Times New Roman" w:cs="Times New Roman"/>
          <w:sz w:val="24"/>
          <w:szCs w:val="24"/>
        </w:rPr>
        <w:t xml:space="preserve"> a</w:t>
      </w:r>
      <w:r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B66287" w:rsidRPr="00210823">
        <w:rPr>
          <w:rFonts w:ascii="Times New Roman" w:hAnsi="Times New Roman" w:cs="Times New Roman"/>
          <w:sz w:val="24"/>
          <w:szCs w:val="24"/>
        </w:rPr>
        <w:t xml:space="preserve">new regulatory capital framework for the Government Sponsored Enterprises, Fannie Mae and Freddie Mac (“Enterprises”). </w:t>
      </w:r>
      <w:r w:rsidRPr="00210823">
        <w:rPr>
          <w:rFonts w:ascii="Times New Roman" w:hAnsi="Times New Roman" w:cs="Times New Roman"/>
          <w:sz w:val="24"/>
          <w:szCs w:val="24"/>
        </w:rPr>
        <w:t xml:space="preserve">We applaud </w:t>
      </w:r>
      <w:r w:rsidR="006327AB" w:rsidRPr="00210823">
        <w:rPr>
          <w:rFonts w:ascii="Times New Roman" w:hAnsi="Times New Roman" w:cs="Times New Roman"/>
          <w:sz w:val="24"/>
          <w:szCs w:val="24"/>
        </w:rPr>
        <w:t>the</w:t>
      </w:r>
      <w:r w:rsidRPr="00210823">
        <w:rPr>
          <w:rFonts w:ascii="Times New Roman" w:hAnsi="Times New Roman" w:cs="Times New Roman"/>
          <w:sz w:val="24"/>
          <w:szCs w:val="24"/>
        </w:rPr>
        <w:t xml:space="preserve"> efforts</w:t>
      </w:r>
      <w:r w:rsidR="009924AD" w:rsidRPr="00210823">
        <w:rPr>
          <w:rFonts w:ascii="Times New Roman" w:hAnsi="Times New Roman" w:cs="Times New Roman"/>
          <w:sz w:val="24"/>
          <w:szCs w:val="24"/>
        </w:rPr>
        <w:t xml:space="preserve"> of the FHFA</w:t>
      </w:r>
      <w:r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B66287" w:rsidRPr="00210823">
        <w:rPr>
          <w:rFonts w:ascii="Times New Roman" w:hAnsi="Times New Roman" w:cs="Times New Roman"/>
          <w:sz w:val="24"/>
          <w:szCs w:val="24"/>
        </w:rPr>
        <w:t xml:space="preserve">to establish a post-conservatorship regulatory capital framework </w:t>
      </w:r>
      <w:r w:rsidR="00507F6C" w:rsidRPr="00210823">
        <w:rPr>
          <w:rFonts w:ascii="Times New Roman" w:hAnsi="Times New Roman" w:cs="Times New Roman"/>
          <w:sz w:val="24"/>
          <w:szCs w:val="24"/>
        </w:rPr>
        <w:t>to</w:t>
      </w:r>
      <w:r w:rsidR="00B66287" w:rsidRPr="00210823">
        <w:rPr>
          <w:rFonts w:ascii="Times New Roman" w:hAnsi="Times New Roman" w:cs="Times New Roman"/>
          <w:sz w:val="24"/>
          <w:szCs w:val="24"/>
        </w:rPr>
        <w:t xml:space="preserve"> ensure the Enterprises operate in a prudent and fiscally responsible manner. </w:t>
      </w:r>
    </w:p>
    <w:p w:rsidR="00611502" w:rsidRPr="00210823" w:rsidRDefault="00611502" w:rsidP="00611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502" w:rsidRPr="00210823" w:rsidRDefault="00611502" w:rsidP="00611502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>By way of background, The Council represents the largest and most successful property/casualty and employee benefits agencies and brokerage firms</w:t>
      </w:r>
      <w:r w:rsidR="003D7830" w:rsidRPr="00210823">
        <w:rPr>
          <w:rFonts w:ascii="Times New Roman" w:hAnsi="Times New Roman" w:cs="Times New Roman"/>
          <w:sz w:val="24"/>
          <w:szCs w:val="24"/>
        </w:rPr>
        <w:t>. Council member firms annual</w:t>
      </w:r>
      <w:r w:rsidR="00507F6C" w:rsidRPr="00210823">
        <w:rPr>
          <w:rFonts w:ascii="Times New Roman" w:hAnsi="Times New Roman" w:cs="Times New Roman"/>
          <w:sz w:val="24"/>
          <w:szCs w:val="24"/>
        </w:rPr>
        <w:t>ly</w:t>
      </w:r>
      <w:r w:rsidR="003D7830" w:rsidRPr="00210823">
        <w:rPr>
          <w:rFonts w:ascii="Times New Roman" w:hAnsi="Times New Roman" w:cs="Times New Roman"/>
          <w:sz w:val="24"/>
          <w:szCs w:val="24"/>
        </w:rPr>
        <w:t xml:space="preserve"> place more than $300 billion in commercial insurance business in the United States and abroad</w:t>
      </w:r>
      <w:r w:rsidR="00507F6C" w:rsidRPr="00210823">
        <w:rPr>
          <w:rFonts w:ascii="Times New Roman" w:hAnsi="Times New Roman" w:cs="Times New Roman"/>
          <w:sz w:val="24"/>
          <w:szCs w:val="24"/>
        </w:rPr>
        <w:t xml:space="preserve">, </w:t>
      </w:r>
      <w:r w:rsidR="003D7830" w:rsidRPr="00210823">
        <w:rPr>
          <w:rFonts w:ascii="Times New Roman" w:hAnsi="Times New Roman" w:cs="Times New Roman"/>
          <w:sz w:val="24"/>
          <w:szCs w:val="24"/>
        </w:rPr>
        <w:t>conduct business in some 30,000 location</w:t>
      </w:r>
      <w:r w:rsidR="00507F6C" w:rsidRPr="00210823">
        <w:rPr>
          <w:rFonts w:ascii="Times New Roman" w:hAnsi="Times New Roman" w:cs="Times New Roman"/>
          <w:sz w:val="24"/>
          <w:szCs w:val="24"/>
        </w:rPr>
        <w:t>s,</w:t>
      </w:r>
      <w:r w:rsidR="003D7830" w:rsidRPr="00210823">
        <w:rPr>
          <w:rFonts w:ascii="Times New Roman" w:hAnsi="Times New Roman" w:cs="Times New Roman"/>
          <w:sz w:val="24"/>
          <w:szCs w:val="24"/>
        </w:rPr>
        <w:t xml:space="preserve"> an</w:t>
      </w:r>
      <w:r w:rsidR="00507F6C" w:rsidRPr="00210823">
        <w:rPr>
          <w:rFonts w:ascii="Times New Roman" w:hAnsi="Times New Roman" w:cs="Times New Roman"/>
          <w:sz w:val="24"/>
          <w:szCs w:val="24"/>
        </w:rPr>
        <w:t>d</w:t>
      </w:r>
      <w:r w:rsidR="003D7830" w:rsidRPr="00210823">
        <w:rPr>
          <w:rFonts w:ascii="Times New Roman" w:hAnsi="Times New Roman" w:cs="Times New Roman"/>
          <w:sz w:val="24"/>
          <w:szCs w:val="24"/>
        </w:rPr>
        <w:t xml:space="preserve"> employ upwards of 350,000 people worldwide. In addition, Council member firms specialize in a wide range of insurance products and risk management services for business, industry, government, and the public. </w:t>
      </w:r>
    </w:p>
    <w:p w:rsidR="003D7830" w:rsidRPr="00210823" w:rsidRDefault="003D7830" w:rsidP="00611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D" w:rsidRPr="00210823" w:rsidRDefault="00D70D4C" w:rsidP="00611502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>The Council supports the use of Credit Risk Transfer (CRT)</w:t>
      </w:r>
      <w:r w:rsidR="00507F6C" w:rsidRPr="00210823">
        <w:rPr>
          <w:rFonts w:ascii="Times New Roman" w:hAnsi="Times New Roman" w:cs="Times New Roman"/>
          <w:sz w:val="24"/>
          <w:szCs w:val="24"/>
        </w:rPr>
        <w:t xml:space="preserve"> transactions</w:t>
      </w:r>
      <w:r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816C37" w:rsidRPr="00210823">
        <w:rPr>
          <w:rFonts w:ascii="Times New Roman" w:hAnsi="Times New Roman" w:cs="Times New Roman"/>
          <w:sz w:val="24"/>
          <w:szCs w:val="24"/>
        </w:rPr>
        <w:t xml:space="preserve">by the </w:t>
      </w:r>
      <w:r w:rsidR="00507F6C" w:rsidRPr="00210823">
        <w:rPr>
          <w:rFonts w:ascii="Times New Roman" w:hAnsi="Times New Roman" w:cs="Times New Roman"/>
          <w:sz w:val="24"/>
          <w:szCs w:val="24"/>
        </w:rPr>
        <w:t>Enterprises</w:t>
      </w:r>
      <w:r w:rsidR="00816C37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507F6C" w:rsidRPr="00210823">
        <w:rPr>
          <w:rFonts w:ascii="Times New Roman" w:hAnsi="Times New Roman" w:cs="Times New Roman"/>
          <w:sz w:val="24"/>
          <w:szCs w:val="24"/>
        </w:rPr>
        <w:t xml:space="preserve">as an effective means to </w:t>
      </w:r>
      <w:r w:rsidR="00861710" w:rsidRPr="00210823">
        <w:rPr>
          <w:rFonts w:ascii="Times New Roman" w:hAnsi="Times New Roman" w:cs="Times New Roman"/>
          <w:sz w:val="24"/>
          <w:szCs w:val="24"/>
        </w:rPr>
        <w:t>transfer risk from taxpayers to the capital market</w:t>
      </w:r>
      <w:r w:rsidR="00507F6C" w:rsidRPr="00210823">
        <w:rPr>
          <w:rFonts w:ascii="Times New Roman" w:hAnsi="Times New Roman" w:cs="Times New Roman"/>
          <w:sz w:val="24"/>
          <w:szCs w:val="24"/>
        </w:rPr>
        <w:t>s and to provide the private sector with opportunities to invest in markets now dominated by the Enterprises</w:t>
      </w:r>
      <w:r w:rsidR="00861710" w:rsidRPr="00210823">
        <w:rPr>
          <w:rFonts w:ascii="Times New Roman" w:hAnsi="Times New Roman" w:cs="Times New Roman"/>
          <w:sz w:val="24"/>
          <w:szCs w:val="24"/>
        </w:rPr>
        <w:t xml:space="preserve">. </w:t>
      </w:r>
      <w:r w:rsidR="00816C37" w:rsidRPr="00210823">
        <w:rPr>
          <w:rFonts w:ascii="Times New Roman" w:hAnsi="Times New Roman" w:cs="Times New Roman"/>
          <w:sz w:val="24"/>
          <w:szCs w:val="24"/>
        </w:rPr>
        <w:t>Through our member firms, we have seen success not only with the Enterprises’ CRT programs, but also with</w:t>
      </w:r>
      <w:r w:rsidR="00507F6C" w:rsidRPr="00210823">
        <w:rPr>
          <w:rFonts w:ascii="Times New Roman" w:hAnsi="Times New Roman" w:cs="Times New Roman"/>
          <w:sz w:val="24"/>
          <w:szCs w:val="24"/>
        </w:rPr>
        <w:t xml:space="preserve"> those of</w:t>
      </w:r>
      <w:r w:rsidR="00816C37" w:rsidRPr="00210823">
        <w:rPr>
          <w:rFonts w:ascii="Times New Roman" w:hAnsi="Times New Roman" w:cs="Times New Roman"/>
          <w:sz w:val="24"/>
          <w:szCs w:val="24"/>
        </w:rPr>
        <w:t xml:space="preserve"> the National Flood Insurance Program and the Export-Import Bank. </w:t>
      </w:r>
      <w:r w:rsidR="009924AD" w:rsidRPr="00210823">
        <w:rPr>
          <w:rFonts w:ascii="Times New Roman" w:hAnsi="Times New Roman" w:cs="Times New Roman"/>
          <w:sz w:val="24"/>
          <w:szCs w:val="24"/>
        </w:rPr>
        <w:t xml:space="preserve">In fact, </w:t>
      </w:r>
      <w:r w:rsidR="00507F6C" w:rsidRPr="00210823">
        <w:rPr>
          <w:rFonts w:ascii="Times New Roman" w:hAnsi="Times New Roman" w:cs="Times New Roman"/>
          <w:sz w:val="24"/>
          <w:szCs w:val="24"/>
        </w:rPr>
        <w:t xml:space="preserve">according to internal data from Aon (a Council member firm), </w:t>
      </w:r>
      <w:r w:rsidR="009924AD" w:rsidRPr="00210823">
        <w:rPr>
          <w:rFonts w:ascii="Times New Roman" w:hAnsi="Times New Roman" w:cs="Times New Roman"/>
          <w:sz w:val="24"/>
          <w:szCs w:val="24"/>
        </w:rPr>
        <w:t xml:space="preserve">due to </w:t>
      </w:r>
      <w:r w:rsidR="00507F6C" w:rsidRPr="00210823">
        <w:rPr>
          <w:rFonts w:ascii="Times New Roman" w:hAnsi="Times New Roman" w:cs="Times New Roman"/>
          <w:sz w:val="24"/>
          <w:szCs w:val="24"/>
        </w:rPr>
        <w:t xml:space="preserve">the Enterprises’ </w:t>
      </w:r>
      <w:r w:rsidR="009924AD" w:rsidRPr="00210823">
        <w:rPr>
          <w:rFonts w:ascii="Times New Roman" w:hAnsi="Times New Roman" w:cs="Times New Roman"/>
          <w:sz w:val="24"/>
          <w:szCs w:val="24"/>
        </w:rPr>
        <w:t>’s current CRT program</w:t>
      </w:r>
      <w:r w:rsidR="00507F6C" w:rsidRPr="00210823">
        <w:rPr>
          <w:rFonts w:ascii="Times New Roman" w:hAnsi="Times New Roman" w:cs="Times New Roman"/>
          <w:sz w:val="24"/>
          <w:szCs w:val="24"/>
        </w:rPr>
        <w:t>s</w:t>
      </w:r>
      <w:r w:rsidR="009924AD" w:rsidRPr="00210823">
        <w:rPr>
          <w:rFonts w:ascii="Times New Roman" w:hAnsi="Times New Roman" w:cs="Times New Roman"/>
          <w:sz w:val="24"/>
          <w:szCs w:val="24"/>
        </w:rPr>
        <w:t xml:space="preserve">, over 200 CRT transactions have transferred over $100 billion of risk on over $3 trillion </w:t>
      </w:r>
      <w:r w:rsidR="00771A11" w:rsidRPr="00210823">
        <w:rPr>
          <w:rFonts w:ascii="Times New Roman" w:hAnsi="Times New Roman" w:cs="Times New Roman"/>
          <w:sz w:val="24"/>
          <w:szCs w:val="24"/>
        </w:rPr>
        <w:t xml:space="preserve">worth of single and multi-family mortgages. </w:t>
      </w:r>
    </w:p>
    <w:p w:rsidR="009924AD" w:rsidRPr="00210823" w:rsidRDefault="009924AD" w:rsidP="00611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A11" w:rsidRPr="00210823" w:rsidRDefault="00771A11" w:rsidP="00771A11">
      <w:pPr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>While CRT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 transactions</w:t>
      </w:r>
      <w:r w:rsidRPr="00210823">
        <w:rPr>
          <w:rFonts w:ascii="Times New Roman" w:hAnsi="Times New Roman" w:cs="Times New Roman"/>
          <w:sz w:val="24"/>
          <w:szCs w:val="24"/>
        </w:rPr>
        <w:t xml:space="preserve"> ha</w:t>
      </w:r>
      <w:r w:rsidR="009F452C" w:rsidRPr="00210823">
        <w:rPr>
          <w:rFonts w:ascii="Times New Roman" w:hAnsi="Times New Roman" w:cs="Times New Roman"/>
          <w:sz w:val="24"/>
          <w:szCs w:val="24"/>
        </w:rPr>
        <w:t>ve</w:t>
      </w:r>
      <w:r w:rsidRPr="00210823">
        <w:rPr>
          <w:rFonts w:ascii="Times New Roman" w:hAnsi="Times New Roman" w:cs="Times New Roman"/>
          <w:sz w:val="24"/>
          <w:szCs w:val="24"/>
        </w:rPr>
        <w:t xml:space="preserve"> proven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 to be a beneficial</w:t>
      </w:r>
      <w:r w:rsidRPr="00210823">
        <w:rPr>
          <w:rFonts w:ascii="Times New Roman" w:hAnsi="Times New Roman" w:cs="Times New Roman"/>
          <w:sz w:val="24"/>
          <w:szCs w:val="24"/>
        </w:rPr>
        <w:t xml:space="preserve"> component of the Enterprises’ post-financial crisis risk management framework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 for both taxpayers and private industry investors, </w:t>
      </w:r>
      <w:r w:rsidRPr="00210823">
        <w:rPr>
          <w:rFonts w:ascii="Times New Roman" w:hAnsi="Times New Roman" w:cs="Times New Roman"/>
          <w:sz w:val="24"/>
          <w:szCs w:val="24"/>
        </w:rPr>
        <w:t>the proposed rule disincentivize</w:t>
      </w:r>
      <w:r w:rsidR="00210823">
        <w:rPr>
          <w:rFonts w:ascii="Times New Roman" w:hAnsi="Times New Roman" w:cs="Times New Roman"/>
          <w:sz w:val="24"/>
          <w:szCs w:val="24"/>
        </w:rPr>
        <w:t>s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 the Enterprises’ deployment of these effective risk mitigation tools</w:t>
      </w:r>
      <w:r w:rsidR="00203FAB" w:rsidRPr="00210823">
        <w:rPr>
          <w:rFonts w:ascii="Times New Roman" w:hAnsi="Times New Roman" w:cs="Times New Roman"/>
          <w:sz w:val="24"/>
          <w:szCs w:val="24"/>
        </w:rPr>
        <w:t xml:space="preserve">. Under the </w:t>
      </w:r>
      <w:r w:rsidR="009F452C" w:rsidRPr="00210823">
        <w:rPr>
          <w:rFonts w:ascii="Times New Roman" w:hAnsi="Times New Roman" w:cs="Times New Roman"/>
          <w:sz w:val="24"/>
          <w:szCs w:val="24"/>
        </w:rPr>
        <w:t>proposal</w:t>
      </w:r>
      <w:r w:rsidR="00203FAB" w:rsidRPr="00210823">
        <w:rPr>
          <w:rFonts w:ascii="Times New Roman" w:hAnsi="Times New Roman" w:cs="Times New Roman"/>
          <w:sz w:val="24"/>
          <w:szCs w:val="24"/>
        </w:rPr>
        <w:t xml:space="preserve">, 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the </w:t>
      </w:r>
      <w:r w:rsidR="00203FAB" w:rsidRPr="00210823">
        <w:rPr>
          <w:rFonts w:ascii="Times New Roman" w:hAnsi="Times New Roman" w:cs="Times New Roman"/>
          <w:sz w:val="24"/>
          <w:szCs w:val="24"/>
        </w:rPr>
        <w:t xml:space="preserve">regulatory capital benefits of CRT </w:t>
      </w:r>
      <w:r w:rsidR="00C579DB" w:rsidRPr="00210823">
        <w:rPr>
          <w:rFonts w:ascii="Times New Roman" w:hAnsi="Times New Roman" w:cs="Times New Roman"/>
          <w:sz w:val="24"/>
          <w:szCs w:val="24"/>
        </w:rPr>
        <w:t xml:space="preserve">would </w:t>
      </w:r>
      <w:r w:rsidR="00203FAB" w:rsidRPr="00210823">
        <w:rPr>
          <w:rFonts w:ascii="Times New Roman" w:hAnsi="Times New Roman" w:cs="Times New Roman"/>
          <w:sz w:val="24"/>
          <w:szCs w:val="24"/>
        </w:rPr>
        <w:t xml:space="preserve">decrease 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substantially (via a far </w:t>
      </w:r>
      <w:r w:rsidR="009F452C" w:rsidRPr="00210823">
        <w:rPr>
          <w:rFonts w:ascii="Times New Roman" w:hAnsi="Times New Roman" w:cs="Times New Roman"/>
          <w:sz w:val="24"/>
          <w:szCs w:val="24"/>
        </w:rPr>
        <w:lastRenderedPageBreak/>
        <w:t>less generous capital credit and a risk weight floor for such transactions)</w:t>
      </w:r>
      <w:r w:rsidR="00C579DB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and </w:t>
      </w:r>
      <w:r w:rsidR="00C579DB" w:rsidRPr="00210823">
        <w:rPr>
          <w:rFonts w:ascii="Times New Roman" w:hAnsi="Times New Roman" w:cs="Times New Roman"/>
          <w:sz w:val="24"/>
          <w:szCs w:val="24"/>
        </w:rPr>
        <w:t xml:space="preserve">no credit </w:t>
      </w:r>
      <w:r w:rsidR="00720075" w:rsidRPr="00210823">
        <w:rPr>
          <w:rFonts w:ascii="Times New Roman" w:hAnsi="Times New Roman" w:cs="Times New Roman"/>
          <w:sz w:val="24"/>
          <w:szCs w:val="24"/>
        </w:rPr>
        <w:t xml:space="preserve">for CRT or mortgage insurance </w:t>
      </w:r>
      <w:r w:rsidR="00C579DB" w:rsidRPr="00210823">
        <w:rPr>
          <w:rFonts w:ascii="Times New Roman" w:hAnsi="Times New Roman" w:cs="Times New Roman"/>
          <w:sz w:val="24"/>
          <w:szCs w:val="24"/>
        </w:rPr>
        <w:t xml:space="preserve">would be provided </w:t>
      </w:r>
      <w:r w:rsidR="00720075" w:rsidRPr="00210823">
        <w:rPr>
          <w:rFonts w:ascii="Times New Roman" w:hAnsi="Times New Roman" w:cs="Times New Roman"/>
          <w:sz w:val="24"/>
          <w:szCs w:val="24"/>
        </w:rPr>
        <w:t xml:space="preserve">under the leverage ratio </w:t>
      </w:r>
      <w:r w:rsidR="009F452C" w:rsidRPr="00210823">
        <w:rPr>
          <w:rFonts w:ascii="Times New Roman" w:hAnsi="Times New Roman" w:cs="Times New Roman"/>
          <w:sz w:val="24"/>
          <w:szCs w:val="24"/>
        </w:rPr>
        <w:t>calculation, which is currently the binding regulatory capital constraint</w:t>
      </w:r>
      <w:r w:rsidR="00720075" w:rsidRPr="00210823">
        <w:rPr>
          <w:rFonts w:ascii="Times New Roman" w:hAnsi="Times New Roman" w:cs="Times New Roman"/>
          <w:sz w:val="24"/>
          <w:szCs w:val="24"/>
        </w:rPr>
        <w:t xml:space="preserve">. </w:t>
      </w:r>
      <w:r w:rsidR="009F452C" w:rsidRPr="00210823">
        <w:rPr>
          <w:rFonts w:ascii="Times New Roman" w:hAnsi="Times New Roman" w:cs="Times New Roman"/>
          <w:sz w:val="24"/>
          <w:szCs w:val="24"/>
        </w:rPr>
        <w:t xml:space="preserve"> Many private-sector CRT transaction participants, including some Council members, are concerned that the overly punitive nature of the proposal with respect to CRT will do away with this tool completely.</w:t>
      </w:r>
    </w:p>
    <w:p w:rsidR="00771A11" w:rsidRPr="00210823" w:rsidRDefault="00771A11" w:rsidP="0077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7A" w:rsidRPr="00210823" w:rsidRDefault="0072007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CRT significantly reduces the risk held by the Enterprises, particularly in </w:t>
      </w:r>
      <w:r w:rsidR="009F452C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economic </w:t>
      </w: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stress scenarios, and provides a diversified source of capital to support the U.S. mortgage market. </w:t>
      </w:r>
      <w:r w:rsidR="009F452C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or these reasons</w:t>
      </w:r>
      <w:r w:rsidR="009F452C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52C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we encourage</w:t>
      </w: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FHFA </w:t>
      </w:r>
      <w:r w:rsidR="009F452C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rethink its proposal with respect to CRT transactions and to avoid </w:t>
      </w:r>
      <w:r w:rsidR="00F040FE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disincentiviz</w:t>
      </w:r>
      <w:r w:rsidR="009F452C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use of CRT </w:t>
      </w:r>
      <w:r w:rsidR="00397F7A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transactions.</w:t>
      </w:r>
    </w:p>
    <w:p w:rsidR="00397F7A" w:rsidRPr="00210823" w:rsidRDefault="00397F7A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24AD" w:rsidRPr="00210823" w:rsidRDefault="00397F7A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We appreciate your consideration of our comments. Please do not hesitate to contact me if you have any questions or if we can provide further information.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005" w:rsidRPr="00210823" w:rsidRDefault="00221612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0EE48D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1835150" cy="11733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ACrer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005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Respectfully submitted, 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612" w:rsidRPr="00210823" w:rsidRDefault="00221612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612" w:rsidRPr="00210823" w:rsidRDefault="00221612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 A. Crerar 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President/CEO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The Council of Insurance Agents &amp; Brokers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701 Pennsylvania Avenue NW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Suite 750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Washington, DC 20001 </w:t>
      </w:r>
    </w:p>
    <w:p w:rsidR="000B3005" w:rsidRPr="00210823" w:rsidRDefault="000B3005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>202-783-4400</w:t>
      </w:r>
    </w:p>
    <w:p w:rsidR="000B3005" w:rsidRPr="00210823" w:rsidRDefault="00F667C4" w:rsidP="00992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0B3005" w:rsidRPr="00210823">
          <w:rPr>
            <w:rStyle w:val="Hyperlink"/>
            <w:rFonts w:ascii="Times New Roman" w:hAnsi="Times New Roman" w:cs="Times New Roman"/>
            <w:sz w:val="24"/>
            <w:szCs w:val="24"/>
          </w:rPr>
          <w:t>ken.a.crerar@ciab.com</w:t>
        </w:r>
      </w:hyperlink>
      <w:r w:rsidR="000B3005" w:rsidRPr="00210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06E1" w:rsidRPr="00210823" w:rsidRDefault="007C06E1" w:rsidP="00F040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06E1" w:rsidRPr="0021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5A" w:rsidRDefault="0069485A" w:rsidP="00C106AD">
      <w:r>
        <w:separator/>
      </w:r>
    </w:p>
  </w:endnote>
  <w:endnote w:type="continuationSeparator" w:id="0">
    <w:p w:rsidR="0069485A" w:rsidRDefault="0069485A" w:rsidP="00C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5A" w:rsidRDefault="0069485A" w:rsidP="00C106AD">
      <w:r>
        <w:separator/>
      </w:r>
    </w:p>
  </w:footnote>
  <w:footnote w:type="continuationSeparator" w:id="0">
    <w:p w:rsidR="0069485A" w:rsidRDefault="0069485A" w:rsidP="00C106AD">
      <w:r>
        <w:continuationSeparator/>
      </w:r>
    </w:p>
  </w:footnote>
  <w:footnote w:id="1">
    <w:p w:rsidR="00C579DB" w:rsidRDefault="00C579DB" w:rsidP="00397F7A">
      <w:pPr>
        <w:pStyle w:val="FootnoteText"/>
        <w:ind w:firstLine="720"/>
        <w:rPr>
          <w:rStyle w:val="Hyperlink"/>
        </w:rPr>
      </w:pPr>
      <w:r>
        <w:rPr>
          <w:rStyle w:val="FootnoteReference"/>
        </w:rPr>
        <w:footnoteRef/>
      </w:r>
      <w:r>
        <w:t xml:space="preserve"> </w:t>
      </w:r>
      <w:r w:rsidR="00507F6C">
        <w:t xml:space="preserve">Federal Housing Finance Agency, </w:t>
      </w:r>
      <w:r w:rsidR="009F452C">
        <w:t xml:space="preserve">Notice of Proposed Rulemaking, </w:t>
      </w:r>
      <w:r w:rsidR="009F452C">
        <w:rPr>
          <w:i/>
        </w:rPr>
        <w:t>Enterprise Regulatory Capital Framework</w:t>
      </w:r>
      <w:r w:rsidR="009F452C">
        <w:t>, 85 Fed. Reg. 39274 (June 30, 2020).</w:t>
      </w:r>
      <w:r w:rsidR="009F452C" w:rsidDel="009F452C">
        <w:t xml:space="preserve"> </w:t>
      </w:r>
      <w:hyperlink w:history="1"/>
    </w:p>
    <w:p w:rsidR="00507F6C" w:rsidRDefault="00507F6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D5AE5"/>
    <w:multiLevelType w:val="hybridMultilevel"/>
    <w:tmpl w:val="92E2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876A5"/>
    <w:multiLevelType w:val="hybridMultilevel"/>
    <w:tmpl w:val="DB70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E1"/>
    <w:rsid w:val="0008244F"/>
    <w:rsid w:val="000B3005"/>
    <w:rsid w:val="001C7FFC"/>
    <w:rsid w:val="00203FAB"/>
    <w:rsid w:val="00210823"/>
    <w:rsid w:val="00221612"/>
    <w:rsid w:val="00391E46"/>
    <w:rsid w:val="00397F7A"/>
    <w:rsid w:val="003D586C"/>
    <w:rsid w:val="003D7830"/>
    <w:rsid w:val="00507F6C"/>
    <w:rsid w:val="00611502"/>
    <w:rsid w:val="006327AB"/>
    <w:rsid w:val="0069485A"/>
    <w:rsid w:val="00720075"/>
    <w:rsid w:val="00771A11"/>
    <w:rsid w:val="007901D8"/>
    <w:rsid w:val="007C06E1"/>
    <w:rsid w:val="00816C37"/>
    <w:rsid w:val="00861710"/>
    <w:rsid w:val="009924AD"/>
    <w:rsid w:val="009F452C"/>
    <w:rsid w:val="00B66287"/>
    <w:rsid w:val="00C106AD"/>
    <w:rsid w:val="00C579DB"/>
    <w:rsid w:val="00D70D4C"/>
    <w:rsid w:val="00F040FE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5618"/>
  <w15:chartTrackingRefBased/>
  <w15:docId w15:val="{5E76D5C4-3F03-485C-A248-8A0443A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6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50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06AD"/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06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06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9D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79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1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66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hfa.gov/open-for-comment-or-inpu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n.a.crerar@ciab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AEFA5-F5B0-4D41-A9C2-DDA51DECA76F}"/>
</file>

<file path=customXml/itemProps2.xml><?xml version="1.0" encoding="utf-8"?>
<ds:datastoreItem xmlns:ds="http://schemas.openxmlformats.org/officeDocument/2006/customXml" ds:itemID="{5B51C518-5CB1-4C21-A16E-369895D82868}"/>
</file>

<file path=customXml/itemProps3.xml><?xml version="1.0" encoding="utf-8"?>
<ds:datastoreItem xmlns:ds="http://schemas.openxmlformats.org/officeDocument/2006/customXml" ds:itemID="{B5732BD9-3FF1-49B0-912F-3AC6CA82E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Blaire Bartlett</cp:lastModifiedBy>
  <cp:revision>3</cp:revision>
  <cp:lastPrinted>1900-01-01T07:00:00Z</cp:lastPrinted>
  <dcterms:created xsi:type="dcterms:W3CDTF">2020-08-31T14:42:00Z</dcterms:created>
  <dcterms:modified xsi:type="dcterms:W3CDTF">2020-08-31T19:52:00Z</dcterms:modified>
</cp:coreProperties>
</file>