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C1" w:rsidRPr="008F4525" w:rsidRDefault="009764C1">
      <w:pPr>
        <w:jc w:val="center"/>
        <w:rPr>
          <w:sz w:val="21"/>
          <w:szCs w:val="21"/>
        </w:rPr>
      </w:pPr>
      <w:r w:rsidRPr="008F4525">
        <w:rPr>
          <w:noProof/>
          <w:sz w:val="21"/>
          <w:szCs w:val="21"/>
        </w:rPr>
        <w:pict>
          <v:line id="_x0000_s1026" style="position:absolute;left:0;text-align:left;z-index:251657728" from="0,83.75pt" to="468pt,83.75pt" strokecolor="#1d3d7a" strokeweight="1.5pt"/>
        </w:pict>
      </w:r>
      <w:r w:rsidR="008F4525">
        <w:rPr>
          <w:noProof/>
          <w:sz w:val="21"/>
          <w:szCs w:val="21"/>
        </w:rPr>
        <w:drawing>
          <wp:inline distT="0" distB="0" distL="0" distR="0">
            <wp:extent cx="2571750" cy="1095375"/>
            <wp:effectExtent l="19050" t="0" r="0" b="0"/>
            <wp:docPr id="1" name="Picture 1" descr="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Logo"/>
                    <pic:cNvPicPr>
                      <a:picLocks noChangeAspect="1" noChangeArrowheads="1"/>
                    </pic:cNvPicPr>
                  </pic:nvPicPr>
                  <pic:blipFill>
                    <a:blip r:embed="rId7" cstate="print"/>
                    <a:srcRect/>
                    <a:stretch>
                      <a:fillRect/>
                    </a:stretch>
                  </pic:blipFill>
                  <pic:spPr bwMode="auto">
                    <a:xfrm>
                      <a:off x="0" y="0"/>
                      <a:ext cx="2571750" cy="1095375"/>
                    </a:xfrm>
                    <a:prstGeom prst="rect">
                      <a:avLst/>
                    </a:prstGeom>
                    <a:noFill/>
                    <a:ln w="9525">
                      <a:noFill/>
                      <a:miter lim="800000"/>
                      <a:headEnd/>
                      <a:tailEnd/>
                    </a:ln>
                  </pic:spPr>
                </pic:pic>
              </a:graphicData>
            </a:graphic>
          </wp:inline>
        </w:drawing>
      </w:r>
    </w:p>
    <w:p w:rsidR="009764C1" w:rsidRPr="008F4525" w:rsidRDefault="009764C1">
      <w:pPr>
        <w:jc w:val="center"/>
        <w:rPr>
          <w:i/>
          <w:iCs/>
          <w:color w:val="1D3D7A"/>
          <w:sz w:val="21"/>
          <w:szCs w:val="21"/>
        </w:rPr>
      </w:pPr>
      <w:r w:rsidRPr="008F4525">
        <w:rPr>
          <w:i/>
          <w:iCs/>
          <w:color w:val="1D3D7A"/>
          <w:sz w:val="21"/>
          <w:szCs w:val="21"/>
        </w:rPr>
        <w:t xml:space="preserve">8404 West Kellogg Drive    Wichita, Kansas 67209    </w:t>
      </w:r>
      <w:hyperlink r:id="rId8" w:history="1">
        <w:r w:rsidRPr="008F4525">
          <w:rPr>
            <w:rStyle w:val="Hyperlink"/>
            <w:i/>
            <w:iCs/>
            <w:color w:val="1D3D7A"/>
            <w:sz w:val="21"/>
            <w:szCs w:val="21"/>
            <w:u w:val="none"/>
          </w:rPr>
          <w:t>www.midamerican.org</w:t>
        </w:r>
      </w:hyperlink>
      <w:r w:rsidRPr="008F4525">
        <w:rPr>
          <w:i/>
          <w:iCs/>
          <w:color w:val="1D3D7A"/>
          <w:sz w:val="21"/>
          <w:szCs w:val="21"/>
        </w:rPr>
        <w:t xml:space="preserve">    316-722-3921    Fax 316-722-0920</w:t>
      </w:r>
    </w:p>
    <w:p w:rsidR="004D49F7" w:rsidRPr="008F4525" w:rsidRDefault="004D49F7" w:rsidP="004D49F7">
      <w:pPr>
        <w:pStyle w:val="NoSpacing"/>
        <w:rPr>
          <w:b/>
          <w:sz w:val="21"/>
          <w:szCs w:val="21"/>
        </w:rPr>
      </w:pPr>
    </w:p>
    <w:p w:rsidR="004D49F7" w:rsidRPr="008F4525" w:rsidRDefault="004D49F7" w:rsidP="004D49F7">
      <w:pPr>
        <w:pStyle w:val="NoSpacing"/>
        <w:rPr>
          <w:sz w:val="21"/>
          <w:szCs w:val="21"/>
        </w:rPr>
      </w:pPr>
      <w:r w:rsidRPr="008F4525">
        <w:rPr>
          <w:sz w:val="21"/>
          <w:szCs w:val="21"/>
        </w:rPr>
        <w:t>January 12, 2015</w:t>
      </w:r>
    </w:p>
    <w:p w:rsidR="004D49F7" w:rsidRPr="008F4525" w:rsidRDefault="004D49F7" w:rsidP="004D49F7">
      <w:pPr>
        <w:pStyle w:val="NoSpacing"/>
        <w:rPr>
          <w:sz w:val="21"/>
          <w:szCs w:val="21"/>
        </w:rPr>
      </w:pPr>
    </w:p>
    <w:p w:rsidR="004D49F7" w:rsidRPr="008F4525" w:rsidRDefault="004D49F7" w:rsidP="004D49F7">
      <w:pPr>
        <w:pStyle w:val="NoSpacing"/>
        <w:rPr>
          <w:color w:val="000000"/>
          <w:sz w:val="21"/>
          <w:szCs w:val="21"/>
        </w:rPr>
      </w:pPr>
      <w:r w:rsidRPr="008F4525">
        <w:rPr>
          <w:color w:val="000000"/>
          <w:sz w:val="21"/>
          <w:szCs w:val="21"/>
        </w:rPr>
        <w:t xml:space="preserve">Alfred M. Pollard, General Counsel </w:t>
      </w:r>
    </w:p>
    <w:p w:rsidR="004D49F7" w:rsidRPr="008F4525" w:rsidRDefault="004D49F7" w:rsidP="004D49F7">
      <w:pPr>
        <w:pStyle w:val="NoSpacing"/>
        <w:rPr>
          <w:color w:val="000000"/>
          <w:sz w:val="21"/>
          <w:szCs w:val="21"/>
        </w:rPr>
      </w:pPr>
      <w:r w:rsidRPr="008F4525">
        <w:rPr>
          <w:color w:val="000000"/>
          <w:sz w:val="21"/>
          <w:szCs w:val="21"/>
        </w:rPr>
        <w:t xml:space="preserve">Attention: Comments/RIN 2590–AA39 </w:t>
      </w:r>
    </w:p>
    <w:p w:rsidR="004D49F7" w:rsidRPr="008F4525" w:rsidRDefault="004D49F7" w:rsidP="004D49F7">
      <w:pPr>
        <w:pStyle w:val="NoSpacing"/>
        <w:rPr>
          <w:color w:val="000000"/>
          <w:sz w:val="21"/>
          <w:szCs w:val="21"/>
        </w:rPr>
      </w:pPr>
      <w:r w:rsidRPr="008F4525">
        <w:rPr>
          <w:color w:val="000000"/>
          <w:sz w:val="21"/>
          <w:szCs w:val="21"/>
        </w:rPr>
        <w:t xml:space="preserve">Federal Housing Finance Agency </w:t>
      </w:r>
    </w:p>
    <w:p w:rsidR="004D49F7" w:rsidRPr="008F4525" w:rsidRDefault="004D49F7" w:rsidP="004D49F7">
      <w:pPr>
        <w:pStyle w:val="NoSpacing"/>
        <w:rPr>
          <w:color w:val="000000"/>
          <w:sz w:val="21"/>
          <w:szCs w:val="21"/>
        </w:rPr>
      </w:pPr>
      <w:r w:rsidRPr="008F4525">
        <w:rPr>
          <w:color w:val="000000"/>
          <w:sz w:val="21"/>
          <w:szCs w:val="21"/>
        </w:rPr>
        <w:t xml:space="preserve">400 Seventh Street SW </w:t>
      </w:r>
    </w:p>
    <w:p w:rsidR="004D49F7" w:rsidRPr="008F4525" w:rsidRDefault="004D49F7" w:rsidP="004D49F7">
      <w:pPr>
        <w:pStyle w:val="NoSpacing"/>
        <w:rPr>
          <w:color w:val="000000"/>
          <w:sz w:val="21"/>
          <w:szCs w:val="21"/>
        </w:rPr>
      </w:pPr>
      <w:r w:rsidRPr="008F4525">
        <w:rPr>
          <w:color w:val="000000"/>
          <w:sz w:val="21"/>
          <w:szCs w:val="21"/>
        </w:rPr>
        <w:t xml:space="preserve">Washington, D.C. 20024 </w:t>
      </w:r>
    </w:p>
    <w:p w:rsidR="004D49F7" w:rsidRPr="008F4525" w:rsidRDefault="004D49F7" w:rsidP="004D49F7">
      <w:pPr>
        <w:pStyle w:val="NoSpacing"/>
        <w:rPr>
          <w:rFonts w:eastAsiaTheme="minorEastAsia"/>
          <w:sz w:val="21"/>
          <w:szCs w:val="21"/>
        </w:rPr>
      </w:pPr>
    </w:p>
    <w:p w:rsidR="004D49F7" w:rsidRPr="008F4525" w:rsidRDefault="004D49F7" w:rsidP="004D49F7">
      <w:pPr>
        <w:pStyle w:val="NoSpacing"/>
        <w:rPr>
          <w:rFonts w:eastAsiaTheme="minorEastAsia"/>
          <w:sz w:val="21"/>
          <w:szCs w:val="21"/>
        </w:rPr>
      </w:pPr>
      <w:r w:rsidRPr="008F4525">
        <w:rPr>
          <w:rFonts w:eastAsiaTheme="minorEastAsia"/>
          <w:sz w:val="21"/>
          <w:szCs w:val="21"/>
        </w:rPr>
        <w:t xml:space="preserve">Mr. Pollard: </w:t>
      </w:r>
    </w:p>
    <w:p w:rsidR="004D49F7" w:rsidRPr="008F4525" w:rsidRDefault="004D49F7" w:rsidP="004D49F7">
      <w:pPr>
        <w:pStyle w:val="NoSpacing"/>
        <w:rPr>
          <w:sz w:val="21"/>
          <w:szCs w:val="21"/>
        </w:rPr>
      </w:pPr>
    </w:p>
    <w:p w:rsidR="004D49F7" w:rsidRPr="008F4525" w:rsidRDefault="004D49F7" w:rsidP="004D49F7">
      <w:pPr>
        <w:pStyle w:val="NoSpacing"/>
        <w:rPr>
          <w:sz w:val="21"/>
          <w:szCs w:val="21"/>
        </w:rPr>
      </w:pPr>
      <w:r w:rsidRPr="008F4525">
        <w:rPr>
          <w:sz w:val="21"/>
          <w:szCs w:val="21"/>
        </w:rPr>
        <w:t xml:space="preserve">​ Mid American Credit Union (MACU) is approximately $240 million in assets with around 37,000 members and 8 branches from Arkansas City to Wichita to Larned and Lawrence. We have about 115% of our members funds loaned out most all of the time.  This creates a demand for affordable funds.  The Federal Home Loan Bank of Topeka has been a great partner of ours for several decades now.  In fact, I am told we were the first credit union to join, once membership became available.  </w:t>
      </w:r>
    </w:p>
    <w:p w:rsidR="004D49F7" w:rsidRPr="008F4525" w:rsidRDefault="004D49F7" w:rsidP="004D49F7">
      <w:pPr>
        <w:pStyle w:val="NoSpacing"/>
        <w:rPr>
          <w:sz w:val="21"/>
          <w:szCs w:val="21"/>
        </w:rPr>
      </w:pPr>
    </w:p>
    <w:p w:rsidR="004D49F7" w:rsidRPr="008F4525" w:rsidRDefault="004D49F7" w:rsidP="004D49F7">
      <w:pPr>
        <w:pStyle w:val="NoSpacing"/>
        <w:rPr>
          <w:rFonts w:eastAsia="Times New Roman"/>
          <w:sz w:val="21"/>
          <w:szCs w:val="21"/>
        </w:rPr>
      </w:pPr>
      <w:r w:rsidRPr="008F4525">
        <w:rPr>
          <w:sz w:val="21"/>
          <w:szCs w:val="21"/>
        </w:rPr>
        <w:t>Today I want to share my</w:t>
      </w:r>
      <w:r w:rsidRPr="008F4525">
        <w:rPr>
          <w:rStyle w:val="s3"/>
          <w:sz w:val="21"/>
          <w:szCs w:val="21"/>
        </w:rPr>
        <w:t xml:space="preserve"> concern about the notice of proposed rulemaking regarding membership in the Federal Home Loan Banks (FHLB) that the Federal Housing Finance Agency (FHFA) recently issued</w:t>
      </w:r>
      <w:r w:rsidR="00840790">
        <w:rPr>
          <w:rStyle w:val="s3"/>
          <w:sz w:val="21"/>
          <w:szCs w:val="21"/>
        </w:rPr>
        <w:t xml:space="preserve"> (see </w:t>
      </w:r>
      <w:r w:rsidR="001B40E0">
        <w:rPr>
          <w:rStyle w:val="s3"/>
          <w:sz w:val="21"/>
          <w:szCs w:val="21"/>
        </w:rPr>
        <w:t>the</w:t>
      </w:r>
      <w:r w:rsidR="00840790">
        <w:rPr>
          <w:rStyle w:val="s3"/>
          <w:sz w:val="21"/>
          <w:szCs w:val="21"/>
        </w:rPr>
        <w:t xml:space="preserve"> reference in the Attention line above)</w:t>
      </w:r>
      <w:r w:rsidRPr="008F4525">
        <w:rPr>
          <w:rStyle w:val="s3"/>
          <w:sz w:val="21"/>
          <w:szCs w:val="21"/>
        </w:rPr>
        <w:t xml:space="preserve">. The proposed rule includes changes to long-standing membership rules for the FHLBank system. </w:t>
      </w:r>
      <w:r w:rsidRPr="008F4525">
        <w:rPr>
          <w:rFonts w:eastAsia="Times New Roman"/>
          <w:sz w:val="21"/>
          <w:szCs w:val="21"/>
        </w:rPr>
        <w:t xml:space="preserve">The proposed changes are also </w:t>
      </w:r>
      <w:proofErr w:type="gramStart"/>
      <w:r w:rsidRPr="008F4525">
        <w:rPr>
          <w:rFonts w:eastAsia="Times New Roman"/>
          <w:sz w:val="21"/>
          <w:szCs w:val="21"/>
        </w:rPr>
        <w:t>seem</w:t>
      </w:r>
      <w:proofErr w:type="gramEnd"/>
      <w:r w:rsidRPr="008F4525">
        <w:rPr>
          <w:rFonts w:eastAsia="Times New Roman"/>
          <w:sz w:val="21"/>
          <w:szCs w:val="21"/>
        </w:rPr>
        <w:t xml:space="preserve"> to me to be inconsistent with Congressional intent and the Federal Home Loan Bank Act (FHLBank Act). </w:t>
      </w:r>
    </w:p>
    <w:p w:rsidR="004D49F7" w:rsidRPr="008F4525" w:rsidRDefault="004D49F7" w:rsidP="004D49F7">
      <w:pPr>
        <w:pStyle w:val="NoSpacing"/>
        <w:rPr>
          <w:rStyle w:val="s3"/>
          <w:sz w:val="21"/>
          <w:szCs w:val="21"/>
        </w:rPr>
      </w:pPr>
    </w:p>
    <w:p w:rsidR="004D49F7" w:rsidRPr="008F4525" w:rsidRDefault="004D49F7" w:rsidP="004D49F7">
      <w:pPr>
        <w:pStyle w:val="NoSpacing"/>
        <w:rPr>
          <w:rStyle w:val="s3"/>
          <w:sz w:val="21"/>
          <w:szCs w:val="21"/>
        </w:rPr>
      </w:pPr>
      <w:r w:rsidRPr="008F4525">
        <w:rPr>
          <w:rStyle w:val="s3"/>
          <w:sz w:val="21"/>
          <w:szCs w:val="21"/>
        </w:rPr>
        <w:t>The potential for adverse impact the proposed rule could have on MACU seems far ranging and unnecessary.  It is difficult for me to understand the need for such a change and I would be interested in eng</w:t>
      </w:r>
      <w:r w:rsidR="001B40E0">
        <w:rPr>
          <w:rStyle w:val="s3"/>
          <w:sz w:val="21"/>
          <w:szCs w:val="21"/>
        </w:rPr>
        <w:t>aging further about why the FHFA</w:t>
      </w:r>
      <w:r w:rsidRPr="008F4525">
        <w:rPr>
          <w:rStyle w:val="s3"/>
          <w:sz w:val="21"/>
          <w:szCs w:val="21"/>
        </w:rPr>
        <w:t xml:space="preserve"> thinks it is appropriate.  It appears the rule could result in fewer members of FHLB Topeka. This could concentrate the risk the FHLB would take in fewer institutions and make the effectiveness of the FHLB less valuable in this region.  </w:t>
      </w:r>
      <w:r w:rsidR="001B40E0">
        <w:rPr>
          <w:rStyle w:val="s3"/>
          <w:sz w:val="21"/>
          <w:szCs w:val="21"/>
        </w:rPr>
        <w:t>The potential c</w:t>
      </w:r>
      <w:r w:rsidR="008F4525" w:rsidRPr="008F4525">
        <w:rPr>
          <w:rStyle w:val="s3"/>
          <w:sz w:val="21"/>
          <w:szCs w:val="21"/>
        </w:rPr>
        <w:t xml:space="preserve">ould make its contributions to </w:t>
      </w:r>
      <w:r w:rsidRPr="008F4525">
        <w:rPr>
          <w:rStyle w:val="s3"/>
          <w:sz w:val="21"/>
          <w:szCs w:val="21"/>
        </w:rPr>
        <w:t>the Affordable Housing Program</w:t>
      </w:r>
      <w:r w:rsidR="008F4525" w:rsidRPr="008F4525">
        <w:rPr>
          <w:rStyle w:val="s3"/>
          <w:sz w:val="21"/>
          <w:szCs w:val="21"/>
        </w:rPr>
        <w:t xml:space="preserve"> significantly smaller</w:t>
      </w:r>
      <w:r w:rsidRPr="008F4525">
        <w:rPr>
          <w:rStyle w:val="s3"/>
          <w:sz w:val="21"/>
          <w:szCs w:val="21"/>
        </w:rPr>
        <w:t>.</w:t>
      </w:r>
      <w:r w:rsidRPr="008F4525">
        <w:rPr>
          <w:rFonts w:eastAsia="Times New Roman"/>
          <w:sz w:val="21"/>
          <w:szCs w:val="21"/>
        </w:rPr>
        <w:t xml:space="preserve"> </w:t>
      </w:r>
    </w:p>
    <w:p w:rsidR="004D49F7" w:rsidRPr="008F4525" w:rsidRDefault="004D49F7" w:rsidP="004D49F7">
      <w:pPr>
        <w:pStyle w:val="NoSpacing"/>
        <w:rPr>
          <w:rStyle w:val="s3"/>
          <w:sz w:val="21"/>
          <w:szCs w:val="21"/>
        </w:rPr>
      </w:pPr>
    </w:p>
    <w:p w:rsidR="008F4525" w:rsidRPr="008F4525" w:rsidRDefault="004D49F7" w:rsidP="004D49F7">
      <w:pPr>
        <w:pStyle w:val="s2"/>
        <w:spacing w:before="0" w:beforeAutospacing="0" w:after="0" w:afterAutospacing="0"/>
        <w:rPr>
          <w:rStyle w:val="s3"/>
          <w:rFonts w:asciiTheme="minorHAnsi" w:hAnsiTheme="minorHAnsi"/>
          <w:sz w:val="21"/>
          <w:szCs w:val="21"/>
        </w:rPr>
      </w:pPr>
      <w:r w:rsidRPr="008F4525">
        <w:rPr>
          <w:rStyle w:val="s3"/>
          <w:rFonts w:asciiTheme="minorHAnsi" w:hAnsiTheme="minorHAnsi"/>
          <w:sz w:val="21"/>
          <w:szCs w:val="21"/>
        </w:rPr>
        <w:t xml:space="preserve">Access to FHLBank advances is important </w:t>
      </w:r>
      <w:r w:rsidR="008F4525" w:rsidRPr="008F4525">
        <w:rPr>
          <w:rStyle w:val="s3"/>
          <w:rFonts w:asciiTheme="minorHAnsi" w:hAnsiTheme="minorHAnsi"/>
          <w:sz w:val="21"/>
          <w:szCs w:val="21"/>
        </w:rPr>
        <w:t>MACU</w:t>
      </w:r>
      <w:r w:rsidRPr="008F4525">
        <w:rPr>
          <w:rStyle w:val="s3"/>
          <w:rFonts w:asciiTheme="minorHAnsi" w:hAnsiTheme="minorHAnsi"/>
          <w:sz w:val="21"/>
          <w:szCs w:val="21"/>
        </w:rPr>
        <w:t xml:space="preserve">. </w:t>
      </w:r>
      <w:r w:rsidR="008F4525" w:rsidRPr="008F4525">
        <w:rPr>
          <w:rStyle w:val="s3"/>
          <w:rFonts w:asciiTheme="minorHAnsi" w:hAnsiTheme="minorHAnsi"/>
          <w:sz w:val="21"/>
          <w:szCs w:val="21"/>
        </w:rPr>
        <w:t xml:space="preserve"> The </w:t>
      </w:r>
      <w:r w:rsidRPr="008F4525">
        <w:rPr>
          <w:rStyle w:val="s3"/>
          <w:rFonts w:asciiTheme="minorHAnsi" w:hAnsiTheme="minorHAnsi"/>
          <w:sz w:val="21"/>
          <w:szCs w:val="21"/>
        </w:rPr>
        <w:t xml:space="preserve">FHLB Topeka </w:t>
      </w:r>
      <w:r w:rsidR="008F4525" w:rsidRPr="008F4525">
        <w:rPr>
          <w:rStyle w:val="s3"/>
          <w:rFonts w:asciiTheme="minorHAnsi" w:hAnsiTheme="minorHAnsi"/>
          <w:sz w:val="21"/>
          <w:szCs w:val="21"/>
        </w:rPr>
        <w:t>is a valuable partner and a great liquidity source for us.</w:t>
      </w:r>
      <w:r w:rsidRPr="008F4525">
        <w:rPr>
          <w:rStyle w:val="s3"/>
          <w:rFonts w:asciiTheme="minorHAnsi" w:hAnsiTheme="minorHAnsi"/>
          <w:sz w:val="21"/>
          <w:szCs w:val="21"/>
        </w:rPr>
        <w:t xml:space="preserve"> The membership requirements being contemplated by FHFA would change long-standing requirements that have worked well, and the proposed rule would ignore the collateral expansions approved by Congress over time. Because the proposed rule outlines no safety and soundness concerns</w:t>
      </w:r>
      <w:r w:rsidR="008F4525" w:rsidRPr="008F4525">
        <w:rPr>
          <w:rStyle w:val="s3"/>
          <w:rFonts w:asciiTheme="minorHAnsi" w:hAnsiTheme="minorHAnsi"/>
          <w:sz w:val="21"/>
          <w:szCs w:val="21"/>
        </w:rPr>
        <w:t xml:space="preserve">, because of its potential harm to MACU in serving its 37,000 </w:t>
      </w:r>
      <w:r w:rsidR="001B40E0" w:rsidRPr="008F4525">
        <w:rPr>
          <w:rStyle w:val="s3"/>
          <w:rFonts w:asciiTheme="minorHAnsi" w:hAnsiTheme="minorHAnsi"/>
          <w:sz w:val="21"/>
          <w:szCs w:val="21"/>
        </w:rPr>
        <w:t>members and</w:t>
      </w:r>
      <w:r w:rsidRPr="008F4525">
        <w:rPr>
          <w:rStyle w:val="s3"/>
          <w:rFonts w:asciiTheme="minorHAnsi" w:hAnsiTheme="minorHAnsi"/>
          <w:sz w:val="21"/>
          <w:szCs w:val="21"/>
        </w:rPr>
        <w:t xml:space="preserve"> because there </w:t>
      </w:r>
      <w:r w:rsidR="008F4525" w:rsidRPr="008F4525">
        <w:rPr>
          <w:rStyle w:val="s3"/>
          <w:rFonts w:asciiTheme="minorHAnsi" w:hAnsiTheme="minorHAnsi"/>
          <w:sz w:val="21"/>
          <w:szCs w:val="21"/>
        </w:rPr>
        <w:t>seems to be no</w:t>
      </w:r>
      <w:r w:rsidRPr="008F4525">
        <w:rPr>
          <w:rStyle w:val="s3"/>
          <w:rFonts w:asciiTheme="minorHAnsi" w:hAnsiTheme="minorHAnsi"/>
          <w:sz w:val="21"/>
          <w:szCs w:val="21"/>
        </w:rPr>
        <w:t xml:space="preserve"> legitimate public policy goal </w:t>
      </w:r>
      <w:r w:rsidR="008F4525" w:rsidRPr="008F4525">
        <w:rPr>
          <w:rStyle w:val="s3"/>
          <w:rFonts w:asciiTheme="minorHAnsi" w:hAnsiTheme="minorHAnsi"/>
          <w:sz w:val="21"/>
          <w:szCs w:val="21"/>
        </w:rPr>
        <w:t>for it</w:t>
      </w:r>
      <w:r w:rsidR="001B40E0" w:rsidRPr="008F4525">
        <w:rPr>
          <w:rStyle w:val="s3"/>
          <w:rFonts w:asciiTheme="minorHAnsi" w:hAnsiTheme="minorHAnsi"/>
          <w:sz w:val="21"/>
          <w:szCs w:val="21"/>
        </w:rPr>
        <w:t>, I</w:t>
      </w:r>
      <w:r w:rsidR="008F4525" w:rsidRPr="008F4525">
        <w:rPr>
          <w:rStyle w:val="s3"/>
          <w:rFonts w:asciiTheme="minorHAnsi" w:hAnsiTheme="minorHAnsi"/>
          <w:sz w:val="21"/>
          <w:szCs w:val="21"/>
        </w:rPr>
        <w:t xml:space="preserve"> request you</w:t>
      </w:r>
      <w:r w:rsidRPr="008F4525">
        <w:rPr>
          <w:rStyle w:val="s3"/>
          <w:rFonts w:asciiTheme="minorHAnsi" w:hAnsiTheme="minorHAnsi"/>
          <w:sz w:val="21"/>
          <w:szCs w:val="21"/>
        </w:rPr>
        <w:t xml:space="preserve"> rescind the proposed rule. </w:t>
      </w:r>
    </w:p>
    <w:p w:rsidR="008F4525" w:rsidRPr="008F4525" w:rsidRDefault="008F4525" w:rsidP="004D49F7">
      <w:pPr>
        <w:pStyle w:val="s2"/>
        <w:spacing w:before="0" w:beforeAutospacing="0" w:after="0" w:afterAutospacing="0"/>
        <w:rPr>
          <w:rStyle w:val="s3"/>
          <w:rFonts w:asciiTheme="minorHAnsi" w:hAnsiTheme="minorHAnsi"/>
          <w:sz w:val="21"/>
          <w:szCs w:val="21"/>
        </w:rPr>
      </w:pPr>
    </w:p>
    <w:p w:rsidR="008F4525" w:rsidRPr="008F4525" w:rsidRDefault="008F4525" w:rsidP="004D49F7">
      <w:pPr>
        <w:pStyle w:val="s2"/>
        <w:spacing w:before="0" w:beforeAutospacing="0" w:after="0" w:afterAutospacing="0"/>
        <w:rPr>
          <w:rStyle w:val="s3"/>
          <w:rFonts w:asciiTheme="minorHAnsi" w:hAnsiTheme="minorHAnsi"/>
          <w:sz w:val="21"/>
          <w:szCs w:val="21"/>
        </w:rPr>
      </w:pPr>
      <w:r w:rsidRPr="008F4525">
        <w:rPr>
          <w:rStyle w:val="s3"/>
          <w:rFonts w:asciiTheme="minorHAnsi" w:hAnsiTheme="minorHAnsi"/>
          <w:sz w:val="21"/>
          <w:szCs w:val="21"/>
        </w:rPr>
        <w:t>Please contact me if you need additional information.</w:t>
      </w:r>
    </w:p>
    <w:p w:rsidR="008F4525" w:rsidRPr="008F4525" w:rsidRDefault="008F4525" w:rsidP="004D49F7">
      <w:pPr>
        <w:pStyle w:val="s2"/>
        <w:spacing w:before="0" w:beforeAutospacing="0" w:after="0" w:afterAutospacing="0"/>
        <w:rPr>
          <w:rStyle w:val="s3"/>
          <w:rFonts w:asciiTheme="minorHAnsi" w:hAnsiTheme="minorHAnsi"/>
          <w:sz w:val="21"/>
          <w:szCs w:val="21"/>
        </w:rPr>
      </w:pPr>
    </w:p>
    <w:p w:rsidR="008F4525" w:rsidRPr="008F4525" w:rsidRDefault="004D49F7" w:rsidP="004D49F7">
      <w:pPr>
        <w:pStyle w:val="s2"/>
        <w:spacing w:before="0" w:beforeAutospacing="0" w:after="0" w:afterAutospacing="0"/>
        <w:rPr>
          <w:rStyle w:val="s3"/>
          <w:rFonts w:asciiTheme="minorHAnsi" w:hAnsiTheme="minorHAnsi"/>
          <w:sz w:val="21"/>
          <w:szCs w:val="21"/>
        </w:rPr>
      </w:pPr>
      <w:r w:rsidRPr="008F4525">
        <w:rPr>
          <w:rFonts w:asciiTheme="minorHAnsi" w:hAnsiTheme="minorHAnsi"/>
          <w:sz w:val="21"/>
          <w:szCs w:val="21"/>
        </w:rPr>
        <w:t>​</w:t>
      </w:r>
      <w:r w:rsidRPr="008F4525">
        <w:rPr>
          <w:rStyle w:val="s3"/>
          <w:rFonts w:asciiTheme="minorHAnsi" w:hAnsiTheme="minorHAnsi"/>
          <w:sz w:val="21"/>
          <w:szCs w:val="21"/>
        </w:rPr>
        <w:t>Sincerely,</w:t>
      </w:r>
    </w:p>
    <w:p w:rsidR="004D49F7" w:rsidRDefault="004D49F7" w:rsidP="008F4525">
      <w:pPr>
        <w:pStyle w:val="s2"/>
        <w:spacing w:before="0" w:beforeAutospacing="0" w:after="0" w:afterAutospacing="0"/>
        <w:rPr>
          <w:rStyle w:val="s3"/>
          <w:rFonts w:asciiTheme="minorHAnsi" w:hAnsiTheme="minorHAnsi"/>
          <w:sz w:val="22"/>
          <w:szCs w:val="22"/>
        </w:rPr>
      </w:pPr>
      <w:r w:rsidRPr="005A1869">
        <w:rPr>
          <w:rStyle w:val="s3"/>
          <w:rFonts w:asciiTheme="minorHAnsi" w:hAnsiTheme="minorHAnsi"/>
          <w:sz w:val="22"/>
          <w:szCs w:val="22"/>
        </w:rPr>
        <w:t>    </w:t>
      </w:r>
      <w:r w:rsidR="008F4525">
        <w:rPr>
          <w:noProof/>
        </w:rPr>
        <w:drawing>
          <wp:inline distT="0" distB="0" distL="0" distR="0">
            <wp:extent cx="2076450" cy="781050"/>
            <wp:effectExtent l="19050" t="0" r="0" b="0"/>
            <wp:docPr id="2" name="Picture 2" descr="Copy of Copy of ji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Copy of jim signature"/>
                    <pic:cNvPicPr>
                      <a:picLocks noChangeAspect="1" noChangeArrowheads="1"/>
                    </pic:cNvPicPr>
                  </pic:nvPicPr>
                  <pic:blipFill>
                    <a:blip r:embed="rId9" cstate="print"/>
                    <a:srcRect/>
                    <a:stretch>
                      <a:fillRect/>
                    </a:stretch>
                  </pic:blipFill>
                  <pic:spPr bwMode="auto">
                    <a:xfrm>
                      <a:off x="0" y="0"/>
                      <a:ext cx="2076450" cy="781050"/>
                    </a:xfrm>
                    <a:prstGeom prst="rect">
                      <a:avLst/>
                    </a:prstGeom>
                    <a:noFill/>
                    <a:ln w="9525">
                      <a:noFill/>
                      <a:miter lim="800000"/>
                      <a:headEnd/>
                      <a:tailEnd/>
                    </a:ln>
                  </pic:spPr>
                </pic:pic>
              </a:graphicData>
            </a:graphic>
          </wp:inline>
        </w:drawing>
      </w:r>
      <w:r w:rsidRPr="005A1869">
        <w:rPr>
          <w:rStyle w:val="s3"/>
          <w:rFonts w:asciiTheme="minorHAnsi" w:hAnsiTheme="minorHAnsi"/>
          <w:sz w:val="22"/>
          <w:szCs w:val="22"/>
        </w:rPr>
        <w:t>   </w:t>
      </w:r>
      <w:bookmarkStart w:id="0" w:name="_GoBack"/>
      <w:bookmarkEnd w:id="0"/>
    </w:p>
    <w:p w:rsidR="00160E04" w:rsidRPr="008F4525" w:rsidRDefault="008F4525" w:rsidP="008F4525">
      <w:pPr>
        <w:pStyle w:val="s2"/>
        <w:spacing w:before="0" w:beforeAutospacing="0" w:after="0" w:afterAutospacing="0"/>
      </w:pPr>
      <w:r>
        <w:rPr>
          <w:rStyle w:val="s3"/>
          <w:rFonts w:asciiTheme="minorHAnsi" w:hAnsiTheme="minorHAnsi"/>
          <w:sz w:val="22"/>
          <w:szCs w:val="22"/>
        </w:rPr>
        <w:t>James D. Holt, President</w:t>
      </w:r>
    </w:p>
    <w:sectPr w:rsidR="00160E04" w:rsidRPr="008F4525">
      <w:pgSz w:w="12240" w:h="15840"/>
      <w:pgMar w:top="36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F7" w:rsidRDefault="004D49F7">
      <w:r>
        <w:separator/>
      </w:r>
    </w:p>
  </w:endnote>
  <w:endnote w:type="continuationSeparator" w:id="0">
    <w:p w:rsidR="004D49F7" w:rsidRDefault="004D4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F7" w:rsidRDefault="004D49F7">
      <w:r>
        <w:separator/>
      </w:r>
    </w:p>
  </w:footnote>
  <w:footnote w:type="continuationSeparator" w:id="0">
    <w:p w:rsidR="004D49F7" w:rsidRDefault="004D4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37060"/>
    <w:multiLevelType w:val="hybridMultilevel"/>
    <w:tmpl w:val="C77A2C86"/>
    <w:lvl w:ilvl="0" w:tplc="0409000F">
      <w:start w:val="1"/>
      <w:numFmt w:val="decimal"/>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60E04"/>
    <w:rsid w:val="00160E04"/>
    <w:rsid w:val="001B40E0"/>
    <w:rsid w:val="001D674C"/>
    <w:rsid w:val="003B4A48"/>
    <w:rsid w:val="004D49F7"/>
    <w:rsid w:val="00840790"/>
    <w:rsid w:val="008F4525"/>
    <w:rsid w:val="009764C1"/>
    <w:rsid w:val="00AD1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d3d7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paragraph" w:customStyle="1" w:styleId="msolistparagraph0">
    <w:name w:val="msolistparagraph"/>
    <w:basedOn w:val="Normal"/>
    <w:pPr>
      <w:ind w:left="720"/>
    </w:pPr>
    <w:rPr>
      <w:rFonts w:ascii="Calibri" w:eastAsia="Calibri" w:hAnsi="Calibri"/>
      <w:sz w:val="22"/>
      <w:szCs w:val="22"/>
    </w:rPr>
  </w:style>
  <w:style w:type="paragraph" w:customStyle="1" w:styleId="s2">
    <w:name w:val="s2"/>
    <w:basedOn w:val="Normal"/>
    <w:rsid w:val="004D49F7"/>
    <w:pPr>
      <w:spacing w:before="100" w:beforeAutospacing="1" w:after="100" w:afterAutospacing="1"/>
    </w:pPr>
    <w:rPr>
      <w:rFonts w:eastAsiaTheme="minorHAnsi"/>
    </w:rPr>
  </w:style>
  <w:style w:type="character" w:customStyle="1" w:styleId="s3">
    <w:name w:val="s3"/>
    <w:basedOn w:val="DefaultParagraphFont"/>
    <w:rsid w:val="004D49F7"/>
  </w:style>
  <w:style w:type="paragraph" w:styleId="NoSpacing">
    <w:name w:val="No Spacing"/>
    <w:uiPriority w:val="1"/>
    <w:qFormat/>
    <w:rsid w:val="004D49F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40790"/>
    <w:rPr>
      <w:rFonts w:ascii="Tahoma" w:hAnsi="Tahoma" w:cs="Tahoma"/>
      <w:sz w:val="16"/>
      <w:szCs w:val="16"/>
    </w:rPr>
  </w:style>
  <w:style w:type="character" w:customStyle="1" w:styleId="BalloonTextChar">
    <w:name w:val="Balloon Text Char"/>
    <w:basedOn w:val="DefaultParagraphFont"/>
    <w:link w:val="BalloonText"/>
    <w:uiPriority w:val="99"/>
    <w:semiHidden/>
    <w:rsid w:val="00840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2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american.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CE65B-F4B2-4292-8548-BA2421601368}"/>
</file>

<file path=customXml/itemProps2.xml><?xml version="1.0" encoding="utf-8"?>
<ds:datastoreItem xmlns:ds="http://schemas.openxmlformats.org/officeDocument/2006/customXml" ds:itemID="{59723B39-F606-4AC1-8BF1-3E1906FE828D}"/>
</file>

<file path=customXml/itemProps3.xml><?xml version="1.0" encoding="utf-8"?>
<ds:datastoreItem xmlns:ds="http://schemas.openxmlformats.org/officeDocument/2006/customXml" ds:itemID="{92AE5D58-E105-44D2-8480-CD899DFDE12E}"/>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 American Credit Union</Company>
  <LinksUpToDate>false</LinksUpToDate>
  <CharactersWithSpaces>2551</CharactersWithSpaces>
  <SharedDoc>false</SharedDoc>
  <HLinks>
    <vt:vector size="6" baseType="variant">
      <vt:variant>
        <vt:i4>3670121</vt:i4>
      </vt:variant>
      <vt:variant>
        <vt:i4>0</vt:i4>
      </vt:variant>
      <vt:variant>
        <vt:i4>0</vt:i4>
      </vt:variant>
      <vt:variant>
        <vt:i4>5</vt:i4>
      </vt:variant>
      <vt:variant>
        <vt:lpwstr>http://www.midamerican.org/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MikeW</dc:creator>
  <cp:lastModifiedBy>jimh</cp:lastModifiedBy>
  <cp:revision>4</cp:revision>
  <cp:lastPrinted>2010-01-08T23:10:00Z</cp:lastPrinted>
  <dcterms:created xsi:type="dcterms:W3CDTF">2015-01-12T14:29:00Z</dcterms:created>
  <dcterms:modified xsi:type="dcterms:W3CDTF">2015-01-12T14:32:00Z</dcterms:modified>
</cp:coreProperties>
</file>