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E0E" w:rsidRPr="00741E0E" w:rsidRDefault="00ED2DC4" w:rsidP="00741E0E">
      <w:pPr>
        <w:autoSpaceDE w:val="0"/>
        <w:autoSpaceDN w:val="0"/>
        <w:adjustRightInd w:val="0"/>
        <w:rPr>
          <w:rFonts w:ascii="Arial" w:hAnsi="Arial" w:cs="Arial"/>
          <w:color w:val="000000"/>
        </w:rPr>
      </w:pPr>
      <w:r>
        <w:rPr>
          <w:rFonts w:ascii="Arial" w:hAnsi="Arial" w:cs="Arial"/>
          <w:color w:val="000000"/>
        </w:rPr>
        <w:t xml:space="preserve"> </w:t>
      </w:r>
    </w:p>
    <w:p w:rsidR="00741E0E" w:rsidRPr="00532954" w:rsidRDefault="00E75ED9" w:rsidP="00741E0E">
      <w:pPr>
        <w:autoSpaceDE w:val="0"/>
        <w:autoSpaceDN w:val="0"/>
        <w:adjustRightInd w:val="0"/>
        <w:rPr>
          <w:rFonts w:ascii="Arial" w:hAnsi="Arial" w:cs="Arial"/>
          <w:color w:val="000000"/>
          <w:sz w:val="22"/>
          <w:szCs w:val="22"/>
        </w:rPr>
      </w:pPr>
      <w:r>
        <w:rPr>
          <w:rFonts w:ascii="Arial" w:hAnsi="Arial" w:cs="Arial"/>
          <w:color w:val="000000"/>
          <w:sz w:val="22"/>
          <w:szCs w:val="22"/>
        </w:rPr>
        <w:t>January 9</w:t>
      </w:r>
      <w:r w:rsidR="00135306" w:rsidRPr="00532954">
        <w:rPr>
          <w:rFonts w:ascii="Arial" w:hAnsi="Arial" w:cs="Arial"/>
          <w:color w:val="000000"/>
          <w:sz w:val="22"/>
          <w:szCs w:val="22"/>
        </w:rPr>
        <w:t>, 2015</w:t>
      </w:r>
    </w:p>
    <w:p w:rsidR="00741E0E" w:rsidRPr="00532954" w:rsidRDefault="00741E0E" w:rsidP="00741E0E">
      <w:pPr>
        <w:autoSpaceDE w:val="0"/>
        <w:autoSpaceDN w:val="0"/>
        <w:adjustRightInd w:val="0"/>
        <w:rPr>
          <w:rFonts w:ascii="Arial" w:hAnsi="Arial" w:cs="Arial"/>
          <w:color w:val="000000"/>
          <w:sz w:val="22"/>
          <w:szCs w:val="22"/>
        </w:rPr>
      </w:pPr>
    </w:p>
    <w:p w:rsidR="00135306" w:rsidRPr="00532954" w:rsidRDefault="00135306" w:rsidP="00741E0E">
      <w:pPr>
        <w:autoSpaceDE w:val="0"/>
        <w:autoSpaceDN w:val="0"/>
        <w:adjustRightInd w:val="0"/>
        <w:rPr>
          <w:rFonts w:ascii="Arial" w:hAnsi="Arial" w:cs="Arial"/>
          <w:color w:val="000000"/>
          <w:sz w:val="22"/>
          <w:szCs w:val="22"/>
        </w:rPr>
      </w:pPr>
      <w:r w:rsidRPr="00532954">
        <w:rPr>
          <w:rFonts w:ascii="Arial" w:hAnsi="Arial" w:cs="Arial"/>
          <w:color w:val="000000"/>
          <w:sz w:val="22"/>
          <w:szCs w:val="22"/>
        </w:rPr>
        <w:t>Alfred M. Pollard, General Counsel</w:t>
      </w:r>
    </w:p>
    <w:p w:rsidR="00135306" w:rsidRPr="00532954" w:rsidRDefault="00135306" w:rsidP="00741E0E">
      <w:pPr>
        <w:autoSpaceDE w:val="0"/>
        <w:autoSpaceDN w:val="0"/>
        <w:adjustRightInd w:val="0"/>
        <w:rPr>
          <w:rFonts w:ascii="Arial" w:hAnsi="Arial" w:cs="Arial"/>
          <w:color w:val="000000"/>
          <w:sz w:val="22"/>
          <w:szCs w:val="22"/>
        </w:rPr>
      </w:pPr>
      <w:r w:rsidRPr="00532954">
        <w:rPr>
          <w:rFonts w:ascii="Arial" w:hAnsi="Arial" w:cs="Arial"/>
          <w:color w:val="000000"/>
          <w:sz w:val="22"/>
          <w:szCs w:val="22"/>
        </w:rPr>
        <w:t>Attention: Comments/RIN 2590-AA39</w:t>
      </w:r>
    </w:p>
    <w:p w:rsidR="00135306" w:rsidRPr="00532954" w:rsidRDefault="00135306" w:rsidP="00741E0E">
      <w:pPr>
        <w:autoSpaceDE w:val="0"/>
        <w:autoSpaceDN w:val="0"/>
        <w:adjustRightInd w:val="0"/>
        <w:rPr>
          <w:rFonts w:ascii="Arial" w:hAnsi="Arial" w:cs="Arial"/>
          <w:color w:val="000000"/>
          <w:sz w:val="22"/>
          <w:szCs w:val="22"/>
        </w:rPr>
      </w:pPr>
      <w:r w:rsidRPr="00532954">
        <w:rPr>
          <w:rFonts w:ascii="Arial" w:hAnsi="Arial" w:cs="Arial"/>
          <w:color w:val="000000"/>
          <w:sz w:val="22"/>
          <w:szCs w:val="22"/>
        </w:rPr>
        <w:t>Federal Housing Finance Agency</w:t>
      </w:r>
    </w:p>
    <w:p w:rsidR="00135306" w:rsidRPr="00532954" w:rsidRDefault="00135306" w:rsidP="00741E0E">
      <w:pPr>
        <w:autoSpaceDE w:val="0"/>
        <w:autoSpaceDN w:val="0"/>
        <w:adjustRightInd w:val="0"/>
        <w:rPr>
          <w:rFonts w:ascii="Arial" w:hAnsi="Arial" w:cs="Arial"/>
          <w:color w:val="000000"/>
          <w:sz w:val="22"/>
          <w:szCs w:val="22"/>
        </w:rPr>
      </w:pPr>
      <w:r w:rsidRPr="00532954">
        <w:rPr>
          <w:rFonts w:ascii="Arial" w:hAnsi="Arial" w:cs="Arial"/>
          <w:color w:val="000000"/>
          <w:sz w:val="22"/>
          <w:szCs w:val="22"/>
        </w:rPr>
        <w:t>400 Seventh Street SW, Eighth Floor</w:t>
      </w:r>
    </w:p>
    <w:p w:rsidR="00135306" w:rsidRPr="00532954" w:rsidRDefault="00135306" w:rsidP="00741E0E">
      <w:pPr>
        <w:autoSpaceDE w:val="0"/>
        <w:autoSpaceDN w:val="0"/>
        <w:adjustRightInd w:val="0"/>
        <w:rPr>
          <w:rFonts w:ascii="Arial" w:hAnsi="Arial" w:cs="Arial"/>
          <w:color w:val="000000"/>
          <w:sz w:val="22"/>
          <w:szCs w:val="22"/>
        </w:rPr>
      </w:pPr>
      <w:r w:rsidRPr="00532954">
        <w:rPr>
          <w:rFonts w:ascii="Arial" w:hAnsi="Arial" w:cs="Arial"/>
          <w:color w:val="000000"/>
          <w:sz w:val="22"/>
          <w:szCs w:val="22"/>
        </w:rPr>
        <w:t>Washington, DC 20024</w:t>
      </w:r>
    </w:p>
    <w:p w:rsidR="00741E0E" w:rsidRPr="00532954" w:rsidRDefault="00741E0E" w:rsidP="00741E0E">
      <w:pPr>
        <w:autoSpaceDE w:val="0"/>
        <w:autoSpaceDN w:val="0"/>
        <w:adjustRightInd w:val="0"/>
        <w:rPr>
          <w:rFonts w:ascii="Arial" w:hAnsi="Arial" w:cs="Arial"/>
          <w:b/>
          <w:bCs/>
          <w:color w:val="000000"/>
          <w:sz w:val="22"/>
          <w:szCs w:val="22"/>
        </w:rPr>
      </w:pPr>
    </w:p>
    <w:p w:rsidR="00741E0E" w:rsidRPr="00532954" w:rsidRDefault="00741E0E" w:rsidP="00942341">
      <w:pPr>
        <w:autoSpaceDE w:val="0"/>
        <w:autoSpaceDN w:val="0"/>
        <w:adjustRightInd w:val="0"/>
        <w:rPr>
          <w:rFonts w:ascii="Arial" w:hAnsi="Arial" w:cs="Arial"/>
          <w:b/>
          <w:bCs/>
          <w:color w:val="000000"/>
          <w:sz w:val="22"/>
          <w:szCs w:val="22"/>
        </w:rPr>
      </w:pPr>
      <w:r w:rsidRPr="00532954">
        <w:rPr>
          <w:rFonts w:ascii="Arial" w:hAnsi="Arial" w:cs="Arial"/>
          <w:b/>
          <w:bCs/>
          <w:color w:val="000000"/>
          <w:sz w:val="22"/>
          <w:szCs w:val="22"/>
        </w:rPr>
        <w:t xml:space="preserve">RE: </w:t>
      </w:r>
      <w:r w:rsidR="00135306" w:rsidRPr="00532954">
        <w:rPr>
          <w:rFonts w:ascii="Arial" w:hAnsi="Arial" w:cs="Arial"/>
          <w:b/>
          <w:bCs/>
          <w:color w:val="000000"/>
          <w:sz w:val="22"/>
          <w:szCs w:val="22"/>
        </w:rPr>
        <w:tab/>
        <w:t>Members of Federal Home Loan Banks</w:t>
      </w:r>
    </w:p>
    <w:p w:rsidR="00135306" w:rsidRPr="00532954" w:rsidRDefault="00135306" w:rsidP="00942341">
      <w:pPr>
        <w:autoSpaceDE w:val="0"/>
        <w:autoSpaceDN w:val="0"/>
        <w:adjustRightInd w:val="0"/>
        <w:rPr>
          <w:rFonts w:ascii="Arial" w:hAnsi="Arial" w:cs="Arial"/>
          <w:color w:val="000000"/>
          <w:sz w:val="22"/>
          <w:szCs w:val="22"/>
        </w:rPr>
      </w:pPr>
      <w:r w:rsidRPr="00532954">
        <w:rPr>
          <w:rFonts w:ascii="Arial" w:hAnsi="Arial" w:cs="Arial"/>
          <w:b/>
          <w:bCs/>
          <w:color w:val="000000"/>
          <w:sz w:val="22"/>
          <w:szCs w:val="22"/>
        </w:rPr>
        <w:tab/>
        <w:t>Notice of Proposed Rulemaking, RIN 2590-AA39</w:t>
      </w:r>
    </w:p>
    <w:p w:rsidR="00741E0E" w:rsidRPr="00F13A9E" w:rsidRDefault="00741E0E" w:rsidP="00741E0E">
      <w:pPr>
        <w:autoSpaceDE w:val="0"/>
        <w:autoSpaceDN w:val="0"/>
        <w:adjustRightInd w:val="0"/>
        <w:rPr>
          <w:rFonts w:ascii="Arial" w:hAnsi="Arial" w:cs="Arial"/>
          <w:color w:val="000000"/>
        </w:rPr>
      </w:pPr>
    </w:p>
    <w:p w:rsidR="00666F4F" w:rsidRDefault="00741E0E" w:rsidP="00741E0E">
      <w:pPr>
        <w:autoSpaceDE w:val="0"/>
        <w:autoSpaceDN w:val="0"/>
        <w:adjustRightInd w:val="0"/>
        <w:rPr>
          <w:rFonts w:ascii="Arial" w:hAnsi="Arial" w:cs="Arial"/>
          <w:color w:val="000000"/>
        </w:rPr>
      </w:pPr>
      <w:r w:rsidRPr="00F13A9E">
        <w:rPr>
          <w:rFonts w:ascii="Arial" w:hAnsi="Arial" w:cs="Arial"/>
          <w:color w:val="000000"/>
        </w:rPr>
        <w:t xml:space="preserve">VIA ELECTRONIC MAIL: </w:t>
      </w:r>
      <w:hyperlink r:id="rId8" w:history="1">
        <w:r w:rsidR="00666F4F" w:rsidRPr="00423B93">
          <w:rPr>
            <w:rStyle w:val="Hyperlink"/>
            <w:rFonts w:ascii="Arial" w:hAnsi="Arial" w:cs="Arial"/>
          </w:rPr>
          <w:t>www.fhfa.gov/open-for-comment-or-input</w:t>
        </w:r>
      </w:hyperlink>
    </w:p>
    <w:p w:rsidR="00741E0E" w:rsidRPr="00F13A9E" w:rsidRDefault="00741E0E" w:rsidP="00741E0E">
      <w:pPr>
        <w:autoSpaceDE w:val="0"/>
        <w:autoSpaceDN w:val="0"/>
        <w:adjustRightInd w:val="0"/>
        <w:rPr>
          <w:rFonts w:ascii="Arial" w:hAnsi="Arial" w:cs="Arial"/>
          <w:color w:val="000000"/>
        </w:rPr>
      </w:pPr>
    </w:p>
    <w:p w:rsidR="00741E0E" w:rsidRPr="00532954" w:rsidRDefault="00741E0E" w:rsidP="00741E0E">
      <w:pPr>
        <w:autoSpaceDE w:val="0"/>
        <w:autoSpaceDN w:val="0"/>
        <w:adjustRightInd w:val="0"/>
        <w:rPr>
          <w:rFonts w:ascii="Arial" w:hAnsi="Arial" w:cs="Arial"/>
          <w:color w:val="000000"/>
          <w:sz w:val="22"/>
          <w:szCs w:val="22"/>
        </w:rPr>
      </w:pPr>
      <w:r w:rsidRPr="00532954">
        <w:rPr>
          <w:rFonts w:ascii="Arial" w:hAnsi="Arial" w:cs="Arial"/>
          <w:color w:val="000000"/>
          <w:sz w:val="22"/>
          <w:szCs w:val="22"/>
        </w:rPr>
        <w:t xml:space="preserve">Dear Mr. </w:t>
      </w:r>
      <w:r w:rsidR="00666F4F" w:rsidRPr="00532954">
        <w:rPr>
          <w:rFonts w:ascii="Arial" w:hAnsi="Arial" w:cs="Arial"/>
          <w:color w:val="000000"/>
          <w:sz w:val="22"/>
          <w:szCs w:val="22"/>
        </w:rPr>
        <w:t>Pollard</w:t>
      </w:r>
      <w:r w:rsidRPr="00532954">
        <w:rPr>
          <w:rFonts w:ascii="Arial" w:hAnsi="Arial" w:cs="Arial"/>
          <w:color w:val="000000"/>
          <w:sz w:val="22"/>
          <w:szCs w:val="22"/>
        </w:rPr>
        <w:t xml:space="preserve">, </w:t>
      </w:r>
    </w:p>
    <w:p w:rsidR="00ED2DC4" w:rsidRPr="00532954" w:rsidRDefault="00ED2DC4" w:rsidP="00741E0E">
      <w:pPr>
        <w:autoSpaceDE w:val="0"/>
        <w:autoSpaceDN w:val="0"/>
        <w:adjustRightInd w:val="0"/>
        <w:rPr>
          <w:rFonts w:ascii="Arial" w:hAnsi="Arial" w:cs="Arial"/>
          <w:color w:val="000000"/>
          <w:sz w:val="22"/>
          <w:szCs w:val="22"/>
        </w:rPr>
      </w:pPr>
    </w:p>
    <w:p w:rsidR="00741E0E" w:rsidRPr="00532954" w:rsidRDefault="00741E0E" w:rsidP="00A93AAB">
      <w:pPr>
        <w:autoSpaceDE w:val="0"/>
        <w:autoSpaceDN w:val="0"/>
        <w:adjustRightInd w:val="0"/>
        <w:jc w:val="both"/>
        <w:rPr>
          <w:rFonts w:ascii="Arial" w:hAnsi="Arial" w:cs="Arial"/>
          <w:color w:val="000000"/>
          <w:sz w:val="22"/>
          <w:szCs w:val="22"/>
        </w:rPr>
      </w:pPr>
      <w:r w:rsidRPr="00532954">
        <w:rPr>
          <w:rFonts w:ascii="Arial" w:hAnsi="Arial" w:cs="Arial"/>
          <w:color w:val="000000"/>
          <w:sz w:val="22"/>
          <w:szCs w:val="22"/>
        </w:rPr>
        <w:t>The Michigan Credit Union League (MCUL), the statewide t</w:t>
      </w:r>
      <w:r w:rsidR="008F5376" w:rsidRPr="00532954">
        <w:rPr>
          <w:rFonts w:ascii="Arial" w:hAnsi="Arial" w:cs="Arial"/>
          <w:color w:val="000000"/>
          <w:sz w:val="22"/>
          <w:szCs w:val="22"/>
        </w:rPr>
        <w:t>rade association representing 9</w:t>
      </w:r>
      <w:r w:rsidR="00654F0D">
        <w:rPr>
          <w:rFonts w:ascii="Arial" w:hAnsi="Arial" w:cs="Arial"/>
          <w:color w:val="000000"/>
          <w:sz w:val="22"/>
          <w:szCs w:val="22"/>
        </w:rPr>
        <w:t>8</w:t>
      </w:r>
      <w:r w:rsidRPr="00532954">
        <w:rPr>
          <w:rFonts w:ascii="Arial" w:hAnsi="Arial" w:cs="Arial"/>
          <w:color w:val="000000"/>
          <w:sz w:val="22"/>
          <w:szCs w:val="22"/>
        </w:rPr>
        <w:t xml:space="preserve">% of the credit unions located in Michigan and their 4.5 million members, appreciates the opportunity to comment on the </w:t>
      </w:r>
      <w:r w:rsidR="00736212" w:rsidRPr="00532954">
        <w:rPr>
          <w:rFonts w:ascii="Arial" w:hAnsi="Arial" w:cs="Arial"/>
          <w:color w:val="000000"/>
          <w:sz w:val="22"/>
          <w:szCs w:val="22"/>
        </w:rPr>
        <w:t>Federal Housing Finance Agency’s (FHFA</w:t>
      </w:r>
      <w:r w:rsidR="00ED2DC4" w:rsidRPr="00532954">
        <w:rPr>
          <w:rFonts w:ascii="Arial" w:hAnsi="Arial" w:cs="Arial"/>
          <w:color w:val="000000"/>
          <w:sz w:val="22"/>
          <w:szCs w:val="22"/>
        </w:rPr>
        <w:t>) pro</w:t>
      </w:r>
      <w:r w:rsidR="00AA5B5A" w:rsidRPr="00532954">
        <w:rPr>
          <w:rFonts w:ascii="Arial" w:hAnsi="Arial" w:cs="Arial"/>
          <w:color w:val="000000"/>
          <w:sz w:val="22"/>
          <w:szCs w:val="22"/>
        </w:rPr>
        <w:t>posal to amend</w:t>
      </w:r>
      <w:r w:rsidR="00FD6CA1" w:rsidRPr="00532954">
        <w:rPr>
          <w:rFonts w:ascii="Arial" w:hAnsi="Arial" w:cs="Arial"/>
          <w:color w:val="000000"/>
          <w:sz w:val="22"/>
          <w:szCs w:val="22"/>
        </w:rPr>
        <w:t xml:space="preserve"> regulation</w:t>
      </w:r>
      <w:r w:rsidR="008F5376" w:rsidRPr="00532954">
        <w:rPr>
          <w:rFonts w:ascii="Arial" w:hAnsi="Arial" w:cs="Arial"/>
          <w:color w:val="000000"/>
          <w:sz w:val="22"/>
          <w:szCs w:val="22"/>
        </w:rPr>
        <w:t>s</w:t>
      </w:r>
      <w:r w:rsidR="00FD6CA1" w:rsidRPr="00532954">
        <w:rPr>
          <w:rFonts w:ascii="Arial" w:hAnsi="Arial" w:cs="Arial"/>
          <w:color w:val="000000"/>
          <w:sz w:val="22"/>
          <w:szCs w:val="22"/>
        </w:rPr>
        <w:t xml:space="preserve"> governing </w:t>
      </w:r>
      <w:r w:rsidR="00C42A56" w:rsidRPr="00532954">
        <w:rPr>
          <w:rFonts w:ascii="Arial" w:hAnsi="Arial" w:cs="Arial"/>
          <w:color w:val="000000"/>
          <w:sz w:val="22"/>
          <w:szCs w:val="22"/>
        </w:rPr>
        <w:t>Federal Home Loan Bank (FHLB) membership</w:t>
      </w:r>
      <w:r w:rsidR="00FD6CA1" w:rsidRPr="00532954">
        <w:rPr>
          <w:rFonts w:ascii="Arial" w:hAnsi="Arial" w:cs="Arial"/>
          <w:color w:val="000000"/>
          <w:sz w:val="22"/>
          <w:szCs w:val="22"/>
        </w:rPr>
        <w:t>.</w:t>
      </w:r>
    </w:p>
    <w:p w:rsidR="0077453E" w:rsidRPr="00532954" w:rsidRDefault="0077453E" w:rsidP="00A93AAB">
      <w:pPr>
        <w:autoSpaceDE w:val="0"/>
        <w:autoSpaceDN w:val="0"/>
        <w:adjustRightInd w:val="0"/>
        <w:jc w:val="both"/>
        <w:rPr>
          <w:rFonts w:ascii="Arial" w:hAnsi="Arial" w:cs="Arial"/>
          <w:color w:val="000000"/>
          <w:sz w:val="22"/>
          <w:szCs w:val="22"/>
        </w:rPr>
      </w:pPr>
    </w:p>
    <w:p w:rsidR="00EE6BEA" w:rsidRPr="00532954" w:rsidRDefault="00EE6BEA" w:rsidP="00A93AAB">
      <w:pPr>
        <w:jc w:val="both"/>
        <w:rPr>
          <w:rFonts w:ascii="Arial" w:hAnsi="Arial" w:cs="Arial"/>
          <w:b/>
          <w:sz w:val="22"/>
          <w:szCs w:val="22"/>
          <w:u w:val="single"/>
        </w:rPr>
      </w:pPr>
      <w:r w:rsidRPr="00532954">
        <w:rPr>
          <w:rFonts w:ascii="Arial" w:hAnsi="Arial" w:cs="Arial"/>
          <w:b/>
          <w:sz w:val="22"/>
          <w:szCs w:val="22"/>
          <w:u w:val="single"/>
        </w:rPr>
        <w:t>Community Financial Institution</w:t>
      </w:r>
      <w:r w:rsidR="00654F0D">
        <w:rPr>
          <w:rFonts w:ascii="Arial" w:hAnsi="Arial" w:cs="Arial"/>
          <w:b/>
          <w:sz w:val="22"/>
          <w:szCs w:val="22"/>
          <w:u w:val="single"/>
        </w:rPr>
        <w:t>s</w:t>
      </w:r>
    </w:p>
    <w:p w:rsidR="00D260D8" w:rsidRPr="00532954" w:rsidRDefault="00C346C7" w:rsidP="00A93AAB">
      <w:pPr>
        <w:jc w:val="both"/>
        <w:rPr>
          <w:rFonts w:ascii="Arial" w:hAnsi="Arial" w:cs="Arial"/>
          <w:sz w:val="22"/>
          <w:szCs w:val="22"/>
        </w:rPr>
      </w:pPr>
      <w:r>
        <w:rPr>
          <w:rFonts w:ascii="Arial" w:hAnsi="Arial" w:cs="Arial"/>
          <w:sz w:val="22"/>
          <w:szCs w:val="22"/>
        </w:rPr>
        <w:t xml:space="preserve">The </w:t>
      </w:r>
      <w:r w:rsidR="00D260D8" w:rsidRPr="00532954">
        <w:rPr>
          <w:rFonts w:ascii="Arial" w:hAnsi="Arial" w:cs="Arial"/>
          <w:sz w:val="22"/>
          <w:szCs w:val="22"/>
        </w:rPr>
        <w:t>M</w:t>
      </w:r>
      <w:r w:rsidR="00654F0D">
        <w:rPr>
          <w:rFonts w:ascii="Arial" w:hAnsi="Arial" w:cs="Arial"/>
          <w:sz w:val="22"/>
          <w:szCs w:val="22"/>
        </w:rPr>
        <w:t xml:space="preserve">CUL is </w:t>
      </w:r>
      <w:r w:rsidR="00D260D8" w:rsidRPr="00532954">
        <w:rPr>
          <w:rFonts w:ascii="Arial" w:hAnsi="Arial" w:cs="Arial"/>
          <w:sz w:val="22"/>
          <w:szCs w:val="22"/>
        </w:rPr>
        <w:t xml:space="preserve">concerned with the definition of </w:t>
      </w:r>
      <w:r w:rsidR="00791278" w:rsidRPr="00532954">
        <w:rPr>
          <w:rFonts w:ascii="Arial" w:hAnsi="Arial" w:cs="Arial"/>
          <w:sz w:val="22"/>
          <w:szCs w:val="22"/>
        </w:rPr>
        <w:t xml:space="preserve">“community financial institution.”  It is unclear why the definition </w:t>
      </w:r>
      <w:r w:rsidR="0077453E" w:rsidRPr="00532954">
        <w:rPr>
          <w:rFonts w:ascii="Arial" w:hAnsi="Arial" w:cs="Arial"/>
          <w:sz w:val="22"/>
          <w:szCs w:val="22"/>
        </w:rPr>
        <w:t>does not</w:t>
      </w:r>
      <w:r w:rsidR="00EE6BEA" w:rsidRPr="00532954">
        <w:rPr>
          <w:rFonts w:ascii="Arial" w:hAnsi="Arial" w:cs="Arial"/>
          <w:sz w:val="22"/>
          <w:szCs w:val="22"/>
        </w:rPr>
        <w:t xml:space="preserve"> include</w:t>
      </w:r>
      <w:r w:rsidR="00BB7EC0" w:rsidRPr="00532954">
        <w:rPr>
          <w:rFonts w:ascii="Arial" w:hAnsi="Arial" w:cs="Arial"/>
          <w:sz w:val="22"/>
          <w:szCs w:val="22"/>
        </w:rPr>
        <w:t xml:space="preserve"> financial</w:t>
      </w:r>
      <w:r w:rsidR="00EE6BEA" w:rsidRPr="00532954">
        <w:rPr>
          <w:rFonts w:ascii="Arial" w:hAnsi="Arial" w:cs="Arial"/>
          <w:sz w:val="22"/>
          <w:szCs w:val="22"/>
        </w:rPr>
        <w:t xml:space="preserve"> institutions whose deposits are insured </w:t>
      </w:r>
      <w:r w:rsidR="00D73829" w:rsidRPr="00532954">
        <w:rPr>
          <w:rFonts w:ascii="Arial" w:hAnsi="Arial" w:cs="Arial"/>
          <w:sz w:val="22"/>
          <w:szCs w:val="22"/>
        </w:rPr>
        <w:t>by</w:t>
      </w:r>
      <w:r w:rsidR="00EE6BEA" w:rsidRPr="00532954">
        <w:rPr>
          <w:rFonts w:ascii="Arial" w:hAnsi="Arial" w:cs="Arial"/>
          <w:sz w:val="22"/>
          <w:szCs w:val="22"/>
        </w:rPr>
        <w:t xml:space="preserve"> the National Credit Union Administration, similar to the </w:t>
      </w:r>
      <w:r w:rsidR="00D73829" w:rsidRPr="00532954">
        <w:rPr>
          <w:rFonts w:ascii="Arial" w:hAnsi="Arial" w:cs="Arial"/>
          <w:sz w:val="22"/>
          <w:szCs w:val="22"/>
        </w:rPr>
        <w:t>exclusion for</w:t>
      </w:r>
      <w:r w:rsidR="00791278" w:rsidRPr="00532954">
        <w:rPr>
          <w:rFonts w:ascii="Arial" w:hAnsi="Arial" w:cs="Arial"/>
          <w:sz w:val="22"/>
          <w:szCs w:val="22"/>
        </w:rPr>
        <w:t xml:space="preserve"> </w:t>
      </w:r>
      <w:r w:rsidR="00CE1EA1" w:rsidRPr="00532954">
        <w:rPr>
          <w:rFonts w:ascii="Arial" w:hAnsi="Arial" w:cs="Arial"/>
          <w:sz w:val="22"/>
          <w:szCs w:val="22"/>
        </w:rPr>
        <w:t>FDIC</w:t>
      </w:r>
      <w:r w:rsidR="00CE1EA1">
        <w:rPr>
          <w:rFonts w:ascii="Arial" w:hAnsi="Arial" w:cs="Arial"/>
          <w:sz w:val="22"/>
          <w:szCs w:val="22"/>
        </w:rPr>
        <w:t>-</w:t>
      </w:r>
      <w:r w:rsidR="00791278" w:rsidRPr="00532954">
        <w:rPr>
          <w:rFonts w:ascii="Arial" w:hAnsi="Arial" w:cs="Arial"/>
          <w:sz w:val="22"/>
          <w:szCs w:val="22"/>
        </w:rPr>
        <w:t>insured institutions</w:t>
      </w:r>
      <w:r w:rsidR="00EE6BEA" w:rsidRPr="00532954">
        <w:rPr>
          <w:rFonts w:ascii="Arial" w:hAnsi="Arial" w:cs="Arial"/>
          <w:sz w:val="22"/>
          <w:szCs w:val="22"/>
        </w:rPr>
        <w:t xml:space="preserve">.  The footnote in the proposal that references 12 U.S.C. 1430 (a)(2), indicates that exempting “community financial institutions” allows the FHLB to make </w:t>
      </w:r>
      <w:r w:rsidR="00CE1EA1" w:rsidRPr="00532954">
        <w:rPr>
          <w:rFonts w:ascii="Arial" w:hAnsi="Arial" w:cs="Arial"/>
          <w:sz w:val="22"/>
          <w:szCs w:val="22"/>
        </w:rPr>
        <w:t>long</w:t>
      </w:r>
      <w:r w:rsidR="00CE1EA1">
        <w:rPr>
          <w:rFonts w:ascii="Arial" w:hAnsi="Arial" w:cs="Arial"/>
          <w:sz w:val="22"/>
          <w:szCs w:val="22"/>
        </w:rPr>
        <w:t>-</w:t>
      </w:r>
      <w:r w:rsidR="00EE6BEA" w:rsidRPr="00532954">
        <w:rPr>
          <w:rFonts w:ascii="Arial" w:hAnsi="Arial" w:cs="Arial"/>
          <w:sz w:val="22"/>
          <w:szCs w:val="22"/>
        </w:rPr>
        <w:t>term investments for the purposes of providing funding to small businesses, small farms, small agri-business and community development lending activities.</w:t>
      </w:r>
      <w:r w:rsidR="00C504E1" w:rsidRPr="00532954">
        <w:rPr>
          <w:rFonts w:ascii="Arial" w:hAnsi="Arial" w:cs="Arial"/>
          <w:sz w:val="22"/>
          <w:szCs w:val="22"/>
        </w:rPr>
        <w:t xml:space="preserve">  As a member-owned not-for profit organization, that is exactly what the credit union model aims to achieve</w:t>
      </w:r>
      <w:r w:rsidR="0077453E" w:rsidRPr="00532954">
        <w:rPr>
          <w:rFonts w:ascii="Arial" w:hAnsi="Arial" w:cs="Arial"/>
          <w:sz w:val="22"/>
          <w:szCs w:val="22"/>
        </w:rPr>
        <w:t xml:space="preserve"> and how borrowings from the FHLB are utilized</w:t>
      </w:r>
      <w:r w:rsidR="00C504E1" w:rsidRPr="00532954">
        <w:rPr>
          <w:rFonts w:ascii="Arial" w:hAnsi="Arial" w:cs="Arial"/>
          <w:sz w:val="22"/>
          <w:szCs w:val="22"/>
        </w:rPr>
        <w:t>.</w:t>
      </w:r>
      <w:r>
        <w:rPr>
          <w:rFonts w:ascii="Arial" w:hAnsi="Arial" w:cs="Arial"/>
          <w:sz w:val="22"/>
          <w:szCs w:val="22"/>
        </w:rPr>
        <w:t xml:space="preserve">  The </w:t>
      </w:r>
      <w:r w:rsidR="00D73829" w:rsidRPr="00532954">
        <w:rPr>
          <w:rFonts w:ascii="Arial" w:hAnsi="Arial" w:cs="Arial"/>
          <w:sz w:val="22"/>
          <w:szCs w:val="22"/>
        </w:rPr>
        <w:t>MCUL strongly encourages the FHFA to reconsider their limited exclusion and provide parity by permitting federally insured credit unions with less than $1 billion in assets to be exempt from the requirement to have at least 10% of total assets in residential mortgage loans, similar to FDIC insured institutions.</w:t>
      </w:r>
    </w:p>
    <w:p w:rsidR="00EE6BEA" w:rsidRPr="00532954" w:rsidRDefault="00EE6BEA" w:rsidP="00A93AAB">
      <w:pPr>
        <w:jc w:val="both"/>
        <w:rPr>
          <w:rFonts w:ascii="Arial" w:hAnsi="Arial" w:cs="Arial"/>
          <w:sz w:val="22"/>
          <w:szCs w:val="22"/>
        </w:rPr>
      </w:pPr>
      <w:bookmarkStart w:id="0" w:name="_GoBack"/>
      <w:bookmarkEnd w:id="0"/>
    </w:p>
    <w:p w:rsidR="00C42A56" w:rsidRPr="00532954" w:rsidRDefault="00D73829" w:rsidP="00A93AAB">
      <w:pPr>
        <w:autoSpaceDE w:val="0"/>
        <w:autoSpaceDN w:val="0"/>
        <w:adjustRightInd w:val="0"/>
        <w:jc w:val="both"/>
        <w:rPr>
          <w:rFonts w:ascii="Arial" w:hAnsi="Arial" w:cs="Arial"/>
          <w:b/>
          <w:color w:val="000000"/>
          <w:sz w:val="22"/>
          <w:szCs w:val="22"/>
          <w:u w:val="single"/>
        </w:rPr>
      </w:pPr>
      <w:r w:rsidRPr="00532954">
        <w:rPr>
          <w:rFonts w:ascii="Arial" w:hAnsi="Arial" w:cs="Arial"/>
          <w:b/>
          <w:color w:val="000000"/>
          <w:sz w:val="22"/>
          <w:szCs w:val="22"/>
          <w:u w:val="single"/>
        </w:rPr>
        <w:t>Current Regulatory Environment</w:t>
      </w:r>
    </w:p>
    <w:p w:rsidR="00E75D38" w:rsidRPr="00532954" w:rsidRDefault="00E75D38" w:rsidP="00A93AAB">
      <w:pPr>
        <w:autoSpaceDE w:val="0"/>
        <w:autoSpaceDN w:val="0"/>
        <w:adjustRightInd w:val="0"/>
        <w:jc w:val="both"/>
        <w:rPr>
          <w:rFonts w:ascii="Arial" w:hAnsi="Arial" w:cs="Arial"/>
          <w:color w:val="000000"/>
          <w:sz w:val="22"/>
          <w:szCs w:val="22"/>
        </w:rPr>
      </w:pPr>
      <w:r w:rsidRPr="00532954">
        <w:rPr>
          <w:rFonts w:ascii="Arial" w:hAnsi="Arial" w:cs="Arial"/>
          <w:color w:val="000000"/>
          <w:sz w:val="22"/>
          <w:szCs w:val="22"/>
        </w:rPr>
        <w:t>When the FHFA drafted their proposed revision for FHLB membership, was there an</w:t>
      </w:r>
      <w:r w:rsidR="00D73829" w:rsidRPr="00532954">
        <w:rPr>
          <w:rFonts w:ascii="Arial" w:hAnsi="Arial" w:cs="Arial"/>
          <w:color w:val="000000"/>
          <w:sz w:val="22"/>
          <w:szCs w:val="22"/>
        </w:rPr>
        <w:t>y consideration of the current</w:t>
      </w:r>
      <w:r w:rsidRPr="00532954">
        <w:rPr>
          <w:rFonts w:ascii="Arial" w:hAnsi="Arial" w:cs="Arial"/>
          <w:color w:val="000000"/>
          <w:sz w:val="22"/>
          <w:szCs w:val="22"/>
        </w:rPr>
        <w:t xml:space="preserve"> regulatory environment</w:t>
      </w:r>
      <w:r w:rsidR="00CC47D1" w:rsidRPr="00532954">
        <w:rPr>
          <w:rFonts w:ascii="Arial" w:hAnsi="Arial" w:cs="Arial"/>
          <w:color w:val="000000"/>
          <w:sz w:val="22"/>
          <w:szCs w:val="22"/>
        </w:rPr>
        <w:t>, specifically for mortgage lending</w:t>
      </w:r>
      <w:r w:rsidRPr="00532954">
        <w:rPr>
          <w:rFonts w:ascii="Arial" w:hAnsi="Arial" w:cs="Arial"/>
          <w:color w:val="000000"/>
          <w:sz w:val="22"/>
          <w:szCs w:val="22"/>
        </w:rPr>
        <w:t xml:space="preserve">?  Credit unions in Michigan </w:t>
      </w:r>
      <w:r w:rsidR="00CE1EA1">
        <w:rPr>
          <w:rFonts w:ascii="Arial" w:hAnsi="Arial" w:cs="Arial"/>
          <w:color w:val="000000"/>
          <w:sz w:val="22"/>
          <w:szCs w:val="22"/>
        </w:rPr>
        <w:t>that</w:t>
      </w:r>
      <w:r w:rsidR="00CE1EA1" w:rsidRPr="00532954">
        <w:rPr>
          <w:rFonts w:ascii="Arial" w:hAnsi="Arial" w:cs="Arial"/>
          <w:color w:val="000000"/>
          <w:sz w:val="22"/>
          <w:szCs w:val="22"/>
        </w:rPr>
        <w:t xml:space="preserve"> </w:t>
      </w:r>
      <w:r w:rsidRPr="00532954">
        <w:rPr>
          <w:rFonts w:ascii="Arial" w:hAnsi="Arial" w:cs="Arial"/>
          <w:color w:val="000000"/>
          <w:sz w:val="22"/>
          <w:szCs w:val="22"/>
        </w:rPr>
        <w:t xml:space="preserve">were actively originating mortgage </w:t>
      </w:r>
      <w:r w:rsidR="009760AE">
        <w:rPr>
          <w:rFonts w:ascii="Arial" w:hAnsi="Arial" w:cs="Arial"/>
          <w:color w:val="000000"/>
          <w:sz w:val="22"/>
          <w:szCs w:val="22"/>
        </w:rPr>
        <w:t xml:space="preserve">loans for their membership have </w:t>
      </w:r>
      <w:r w:rsidR="00CE1EA1" w:rsidRPr="00532954">
        <w:rPr>
          <w:rFonts w:ascii="Arial" w:hAnsi="Arial" w:cs="Arial"/>
          <w:color w:val="000000"/>
          <w:sz w:val="22"/>
          <w:szCs w:val="22"/>
        </w:rPr>
        <w:t xml:space="preserve">already </w:t>
      </w:r>
      <w:r w:rsidRPr="00532954">
        <w:rPr>
          <w:rFonts w:ascii="Arial" w:hAnsi="Arial" w:cs="Arial"/>
          <w:color w:val="000000"/>
          <w:sz w:val="22"/>
          <w:szCs w:val="22"/>
        </w:rPr>
        <w:t>had to</w:t>
      </w:r>
      <w:r w:rsidR="00CC47D1" w:rsidRPr="00532954">
        <w:rPr>
          <w:rFonts w:ascii="Arial" w:hAnsi="Arial" w:cs="Arial"/>
          <w:color w:val="000000"/>
          <w:sz w:val="22"/>
          <w:szCs w:val="22"/>
        </w:rPr>
        <w:t xml:space="preserve"> </w:t>
      </w:r>
      <w:r w:rsidRPr="00532954">
        <w:rPr>
          <w:rFonts w:ascii="Arial" w:hAnsi="Arial" w:cs="Arial"/>
          <w:color w:val="000000"/>
          <w:sz w:val="22"/>
          <w:szCs w:val="22"/>
        </w:rPr>
        <w:t>reduce their originations because of the potential liability for underwriting a non-qualified mortgage under the new CFPB rules.  While the FHFA appears to be considering the potential for “an institution to become a member without having a history of supporting residential housing finance” by acquiring more</w:t>
      </w:r>
      <w:r w:rsidR="00D73829" w:rsidRPr="00532954">
        <w:rPr>
          <w:rFonts w:ascii="Arial" w:hAnsi="Arial" w:cs="Arial"/>
          <w:color w:val="000000"/>
          <w:sz w:val="22"/>
          <w:szCs w:val="22"/>
        </w:rPr>
        <w:t xml:space="preserve"> home</w:t>
      </w:r>
      <w:r w:rsidRPr="00532954">
        <w:rPr>
          <w:rFonts w:ascii="Arial" w:hAnsi="Arial" w:cs="Arial"/>
          <w:color w:val="000000"/>
          <w:sz w:val="22"/>
          <w:szCs w:val="22"/>
        </w:rPr>
        <w:t xml:space="preserve"> loans </w:t>
      </w:r>
      <w:r w:rsidR="00D73829" w:rsidRPr="00532954">
        <w:rPr>
          <w:rFonts w:ascii="Arial" w:hAnsi="Arial" w:cs="Arial"/>
          <w:color w:val="000000"/>
          <w:sz w:val="22"/>
          <w:szCs w:val="22"/>
        </w:rPr>
        <w:t>shortly</w:t>
      </w:r>
      <w:r w:rsidRPr="00532954">
        <w:rPr>
          <w:rFonts w:ascii="Arial" w:hAnsi="Arial" w:cs="Arial"/>
          <w:color w:val="000000"/>
          <w:sz w:val="22"/>
          <w:szCs w:val="22"/>
        </w:rPr>
        <w:t xml:space="preserve"> before applying for membership, it </w:t>
      </w:r>
      <w:r w:rsidR="00654F0D">
        <w:rPr>
          <w:rFonts w:ascii="Arial" w:hAnsi="Arial" w:cs="Arial"/>
          <w:color w:val="000000"/>
          <w:sz w:val="22"/>
          <w:szCs w:val="22"/>
        </w:rPr>
        <w:t>does no</w:t>
      </w:r>
      <w:r w:rsidRPr="00532954">
        <w:rPr>
          <w:rFonts w:ascii="Arial" w:hAnsi="Arial" w:cs="Arial"/>
          <w:color w:val="000000"/>
          <w:sz w:val="22"/>
          <w:szCs w:val="22"/>
        </w:rPr>
        <w:t>t</w:t>
      </w:r>
      <w:r w:rsidR="00654F0D">
        <w:rPr>
          <w:rFonts w:ascii="Arial" w:hAnsi="Arial" w:cs="Arial"/>
          <w:color w:val="000000"/>
          <w:sz w:val="22"/>
          <w:szCs w:val="22"/>
        </w:rPr>
        <w:t xml:space="preserve"> appear to be</w:t>
      </w:r>
      <w:r w:rsidRPr="00532954">
        <w:rPr>
          <w:rFonts w:ascii="Arial" w:hAnsi="Arial" w:cs="Arial"/>
          <w:color w:val="000000"/>
          <w:sz w:val="22"/>
          <w:szCs w:val="22"/>
        </w:rPr>
        <w:t xml:space="preserve"> taking into consideration institutions </w:t>
      </w:r>
      <w:r w:rsidR="00CC47D1" w:rsidRPr="00532954">
        <w:rPr>
          <w:rFonts w:ascii="Arial" w:hAnsi="Arial" w:cs="Arial"/>
          <w:color w:val="000000"/>
          <w:sz w:val="22"/>
          <w:szCs w:val="22"/>
        </w:rPr>
        <w:t>that</w:t>
      </w:r>
      <w:r w:rsidRPr="00532954">
        <w:rPr>
          <w:rFonts w:ascii="Arial" w:hAnsi="Arial" w:cs="Arial"/>
          <w:color w:val="000000"/>
          <w:sz w:val="22"/>
          <w:szCs w:val="22"/>
        </w:rPr>
        <w:t xml:space="preserve"> </w:t>
      </w:r>
      <w:r w:rsidR="000456E4" w:rsidRPr="003F1133">
        <w:rPr>
          <w:rFonts w:ascii="Arial" w:hAnsi="Arial" w:cs="Arial"/>
          <w:b/>
          <w:i/>
          <w:color w:val="000000"/>
          <w:sz w:val="22"/>
          <w:szCs w:val="22"/>
        </w:rPr>
        <w:t>actually</w:t>
      </w:r>
      <w:r w:rsidR="00CC47D1" w:rsidRPr="00532954">
        <w:rPr>
          <w:rFonts w:ascii="Arial" w:hAnsi="Arial" w:cs="Arial"/>
          <w:color w:val="000000"/>
          <w:sz w:val="22"/>
          <w:szCs w:val="22"/>
        </w:rPr>
        <w:t xml:space="preserve"> </w:t>
      </w:r>
      <w:r w:rsidRPr="00532954">
        <w:rPr>
          <w:rFonts w:ascii="Arial" w:hAnsi="Arial" w:cs="Arial"/>
          <w:color w:val="000000"/>
          <w:sz w:val="22"/>
          <w:szCs w:val="22"/>
        </w:rPr>
        <w:t>have a history in residential housing finance</w:t>
      </w:r>
      <w:r w:rsidR="00CC47D1" w:rsidRPr="00532954">
        <w:rPr>
          <w:rFonts w:ascii="Arial" w:hAnsi="Arial" w:cs="Arial"/>
          <w:color w:val="000000"/>
          <w:sz w:val="22"/>
          <w:szCs w:val="22"/>
        </w:rPr>
        <w:t>, but</w:t>
      </w:r>
      <w:r w:rsidRPr="00532954">
        <w:rPr>
          <w:rFonts w:ascii="Arial" w:hAnsi="Arial" w:cs="Arial"/>
          <w:color w:val="000000"/>
          <w:sz w:val="22"/>
          <w:szCs w:val="22"/>
        </w:rPr>
        <w:t xml:space="preserve"> are forced to limit that activity because of </w:t>
      </w:r>
      <w:r w:rsidR="00CE1EA1">
        <w:rPr>
          <w:rFonts w:ascii="Arial" w:hAnsi="Arial" w:cs="Arial"/>
          <w:color w:val="000000"/>
          <w:sz w:val="22"/>
          <w:szCs w:val="22"/>
        </w:rPr>
        <w:t>f</w:t>
      </w:r>
      <w:r w:rsidR="00CE1EA1" w:rsidRPr="00532954">
        <w:rPr>
          <w:rFonts w:ascii="Arial" w:hAnsi="Arial" w:cs="Arial"/>
          <w:color w:val="000000"/>
          <w:sz w:val="22"/>
          <w:szCs w:val="22"/>
        </w:rPr>
        <w:t xml:space="preserve">ederal </w:t>
      </w:r>
      <w:r w:rsidR="00CE1EA1">
        <w:rPr>
          <w:rFonts w:ascii="Arial" w:hAnsi="Arial" w:cs="Arial"/>
          <w:color w:val="000000"/>
          <w:sz w:val="22"/>
          <w:szCs w:val="22"/>
        </w:rPr>
        <w:t>r</w:t>
      </w:r>
      <w:r w:rsidR="00CE1EA1" w:rsidRPr="00532954">
        <w:rPr>
          <w:rFonts w:ascii="Arial" w:hAnsi="Arial" w:cs="Arial"/>
          <w:color w:val="000000"/>
          <w:sz w:val="22"/>
          <w:szCs w:val="22"/>
        </w:rPr>
        <w:t>egulation</w:t>
      </w:r>
      <w:r w:rsidRPr="00532954">
        <w:rPr>
          <w:rFonts w:ascii="Arial" w:hAnsi="Arial" w:cs="Arial"/>
          <w:color w:val="000000"/>
          <w:sz w:val="22"/>
          <w:szCs w:val="22"/>
        </w:rPr>
        <w:t xml:space="preserve">.  Additionally, </w:t>
      </w:r>
      <w:r w:rsidR="00FD3312">
        <w:rPr>
          <w:rFonts w:ascii="Arial" w:hAnsi="Arial" w:cs="Arial"/>
          <w:color w:val="000000"/>
          <w:sz w:val="22"/>
          <w:szCs w:val="22"/>
        </w:rPr>
        <w:t xml:space="preserve">the FHFA, by leaving no room for objective analysis under its proposed </w:t>
      </w:r>
      <w:r w:rsidR="00D457F4">
        <w:rPr>
          <w:rFonts w:ascii="Arial" w:hAnsi="Arial" w:cs="Arial"/>
          <w:color w:val="000000"/>
          <w:sz w:val="22"/>
          <w:szCs w:val="22"/>
        </w:rPr>
        <w:t>quantitative asset-based tests</w:t>
      </w:r>
      <w:r w:rsidR="00FD3312">
        <w:rPr>
          <w:rFonts w:ascii="Arial" w:hAnsi="Arial" w:cs="Arial"/>
          <w:color w:val="000000"/>
          <w:sz w:val="22"/>
          <w:szCs w:val="22"/>
        </w:rPr>
        <w:t>,</w:t>
      </w:r>
      <w:r w:rsidR="00D457F4">
        <w:rPr>
          <w:rFonts w:ascii="Arial" w:hAnsi="Arial" w:cs="Arial"/>
          <w:color w:val="000000"/>
          <w:sz w:val="22"/>
          <w:szCs w:val="22"/>
        </w:rPr>
        <w:t xml:space="preserve"> </w:t>
      </w:r>
      <w:r w:rsidR="00FD3312">
        <w:rPr>
          <w:rFonts w:ascii="Arial" w:hAnsi="Arial" w:cs="Arial"/>
          <w:color w:val="000000"/>
          <w:sz w:val="22"/>
          <w:szCs w:val="22"/>
        </w:rPr>
        <w:t xml:space="preserve">gives no deference to the presence of other factors, like the current interest rate </w:t>
      </w:r>
      <w:r w:rsidR="00FD3312">
        <w:rPr>
          <w:rFonts w:ascii="Arial" w:hAnsi="Arial" w:cs="Arial"/>
          <w:color w:val="000000"/>
          <w:sz w:val="22"/>
          <w:szCs w:val="22"/>
        </w:rPr>
        <w:lastRenderedPageBreak/>
        <w:t xml:space="preserve">environment, </w:t>
      </w:r>
      <w:r w:rsidR="00D10E5B">
        <w:rPr>
          <w:rFonts w:ascii="Arial" w:hAnsi="Arial" w:cs="Arial"/>
          <w:color w:val="000000"/>
          <w:sz w:val="22"/>
          <w:szCs w:val="22"/>
        </w:rPr>
        <w:t>that have an impact on members’</w:t>
      </w:r>
      <w:r w:rsidRPr="00532954">
        <w:rPr>
          <w:rFonts w:ascii="Arial" w:hAnsi="Arial" w:cs="Arial"/>
          <w:color w:val="000000"/>
          <w:sz w:val="22"/>
          <w:szCs w:val="22"/>
        </w:rPr>
        <w:t xml:space="preserve"> portfolio</w:t>
      </w:r>
      <w:r w:rsidR="00D10E5B">
        <w:rPr>
          <w:rFonts w:ascii="Arial" w:hAnsi="Arial" w:cs="Arial"/>
          <w:color w:val="000000"/>
          <w:sz w:val="22"/>
          <w:szCs w:val="22"/>
        </w:rPr>
        <w:t>s.</w:t>
      </w:r>
      <w:r w:rsidRPr="00532954">
        <w:rPr>
          <w:rFonts w:ascii="Arial" w:hAnsi="Arial" w:cs="Arial"/>
          <w:color w:val="000000"/>
          <w:sz w:val="22"/>
          <w:szCs w:val="22"/>
        </w:rPr>
        <w:t xml:space="preserve"> </w:t>
      </w:r>
      <w:r w:rsidR="00D10E5B">
        <w:rPr>
          <w:rFonts w:ascii="Arial" w:hAnsi="Arial" w:cs="Arial"/>
          <w:color w:val="000000"/>
          <w:sz w:val="22"/>
          <w:szCs w:val="22"/>
        </w:rPr>
        <w:t xml:space="preserve"> </w:t>
      </w:r>
      <w:r w:rsidR="00381D03">
        <w:rPr>
          <w:rFonts w:ascii="Arial" w:hAnsi="Arial" w:cs="Arial"/>
          <w:color w:val="000000"/>
          <w:sz w:val="22"/>
          <w:szCs w:val="22"/>
        </w:rPr>
        <w:t>The ability to hold mortgage assets</w:t>
      </w:r>
      <w:r w:rsidRPr="00532954">
        <w:rPr>
          <w:rFonts w:ascii="Arial" w:hAnsi="Arial" w:cs="Arial"/>
          <w:color w:val="000000"/>
          <w:sz w:val="22"/>
          <w:szCs w:val="22"/>
        </w:rPr>
        <w:t xml:space="preserve"> </w:t>
      </w:r>
      <w:r w:rsidR="00D10E5B">
        <w:rPr>
          <w:rFonts w:ascii="Arial" w:hAnsi="Arial" w:cs="Arial"/>
          <w:color w:val="000000"/>
          <w:sz w:val="22"/>
          <w:szCs w:val="22"/>
        </w:rPr>
        <w:t>do</w:t>
      </w:r>
      <w:r w:rsidR="00381D03">
        <w:rPr>
          <w:rFonts w:ascii="Arial" w:hAnsi="Arial" w:cs="Arial"/>
          <w:color w:val="000000"/>
          <w:sz w:val="22"/>
          <w:szCs w:val="22"/>
        </w:rPr>
        <w:t>es</w:t>
      </w:r>
      <w:r w:rsidR="00D10E5B">
        <w:rPr>
          <w:rFonts w:ascii="Arial" w:hAnsi="Arial" w:cs="Arial"/>
          <w:color w:val="000000"/>
          <w:sz w:val="22"/>
          <w:szCs w:val="22"/>
        </w:rPr>
        <w:t xml:space="preserve"> not necessarily</w:t>
      </w:r>
      <w:r w:rsidRPr="00532954">
        <w:rPr>
          <w:rFonts w:ascii="Arial" w:hAnsi="Arial" w:cs="Arial"/>
          <w:color w:val="000000"/>
          <w:sz w:val="22"/>
          <w:szCs w:val="22"/>
        </w:rPr>
        <w:t xml:space="preserve"> </w:t>
      </w:r>
      <w:r w:rsidR="00D10E5B">
        <w:rPr>
          <w:rFonts w:ascii="Arial" w:hAnsi="Arial" w:cs="Arial"/>
          <w:color w:val="000000"/>
          <w:sz w:val="22"/>
          <w:szCs w:val="22"/>
        </w:rPr>
        <w:t xml:space="preserve">prove or disprove </w:t>
      </w:r>
      <w:r w:rsidRPr="00532954">
        <w:rPr>
          <w:rFonts w:ascii="Arial" w:hAnsi="Arial" w:cs="Arial"/>
          <w:color w:val="000000"/>
          <w:sz w:val="22"/>
          <w:szCs w:val="22"/>
        </w:rPr>
        <w:t>a member’s commitment to “making long-term home mortgage loans.”</w:t>
      </w:r>
    </w:p>
    <w:p w:rsidR="00E75D38" w:rsidRPr="00532954" w:rsidRDefault="00E75D38" w:rsidP="00A93AAB">
      <w:pPr>
        <w:autoSpaceDE w:val="0"/>
        <w:autoSpaceDN w:val="0"/>
        <w:adjustRightInd w:val="0"/>
        <w:jc w:val="both"/>
        <w:rPr>
          <w:rFonts w:ascii="Arial" w:hAnsi="Arial" w:cs="Arial"/>
          <w:color w:val="000000"/>
          <w:sz w:val="22"/>
          <w:szCs w:val="22"/>
        </w:rPr>
      </w:pPr>
    </w:p>
    <w:p w:rsidR="007276D1" w:rsidRPr="00532954" w:rsidRDefault="00C346C7" w:rsidP="00A93AAB">
      <w:pPr>
        <w:autoSpaceDE w:val="0"/>
        <w:autoSpaceDN w:val="0"/>
        <w:adjustRightInd w:val="0"/>
        <w:jc w:val="both"/>
        <w:rPr>
          <w:rFonts w:ascii="Arial" w:hAnsi="Arial" w:cs="Arial"/>
          <w:sz w:val="22"/>
          <w:szCs w:val="22"/>
        </w:rPr>
      </w:pPr>
      <w:r>
        <w:rPr>
          <w:rFonts w:ascii="Arial" w:hAnsi="Arial" w:cs="Arial"/>
          <w:color w:val="000000"/>
          <w:sz w:val="22"/>
          <w:szCs w:val="22"/>
        </w:rPr>
        <w:t xml:space="preserve">The </w:t>
      </w:r>
      <w:r w:rsidR="00E75D38" w:rsidRPr="00532954">
        <w:rPr>
          <w:rFonts w:ascii="Arial" w:hAnsi="Arial" w:cs="Arial"/>
          <w:color w:val="000000"/>
          <w:sz w:val="22"/>
          <w:szCs w:val="22"/>
        </w:rPr>
        <w:t xml:space="preserve">MCUL continues to oppose the </w:t>
      </w:r>
      <w:r w:rsidR="00FF7866" w:rsidRPr="00532954">
        <w:rPr>
          <w:rFonts w:ascii="Arial" w:hAnsi="Arial" w:cs="Arial"/>
          <w:color w:val="000000"/>
          <w:sz w:val="22"/>
          <w:szCs w:val="22"/>
        </w:rPr>
        <w:t>quantitative</w:t>
      </w:r>
      <w:r w:rsidR="00E75D38" w:rsidRPr="00532954">
        <w:rPr>
          <w:rFonts w:ascii="Arial" w:hAnsi="Arial" w:cs="Arial"/>
          <w:color w:val="000000"/>
          <w:sz w:val="22"/>
          <w:szCs w:val="22"/>
        </w:rPr>
        <w:t xml:space="preserve"> standards propo</w:t>
      </w:r>
      <w:r w:rsidR="00FF7866" w:rsidRPr="00532954">
        <w:rPr>
          <w:rFonts w:ascii="Arial" w:hAnsi="Arial" w:cs="Arial"/>
          <w:color w:val="000000"/>
          <w:sz w:val="22"/>
          <w:szCs w:val="22"/>
        </w:rPr>
        <w:t xml:space="preserve">sed by the FHFA.  As indicated </w:t>
      </w:r>
      <w:r w:rsidR="00E75D38" w:rsidRPr="00532954">
        <w:rPr>
          <w:rFonts w:ascii="Arial" w:hAnsi="Arial" w:cs="Arial"/>
          <w:color w:val="000000"/>
          <w:sz w:val="22"/>
          <w:szCs w:val="22"/>
        </w:rPr>
        <w:t>in the commentary</w:t>
      </w:r>
      <w:r w:rsidR="00CC47D1" w:rsidRPr="00532954">
        <w:rPr>
          <w:rFonts w:ascii="Arial" w:hAnsi="Arial" w:cs="Arial"/>
          <w:color w:val="000000"/>
          <w:sz w:val="22"/>
          <w:szCs w:val="22"/>
        </w:rPr>
        <w:t>,</w:t>
      </w:r>
      <w:r w:rsidR="00FF7866" w:rsidRPr="00532954">
        <w:rPr>
          <w:rFonts w:ascii="Arial" w:hAnsi="Arial" w:cs="Arial"/>
          <w:color w:val="000000"/>
          <w:sz w:val="22"/>
          <w:szCs w:val="22"/>
        </w:rPr>
        <w:t xml:space="preserve"> the former </w:t>
      </w:r>
      <w:r w:rsidR="00AA2157">
        <w:rPr>
          <w:rFonts w:ascii="Arial" w:hAnsi="Arial" w:cs="Arial"/>
          <w:color w:val="000000"/>
          <w:sz w:val="22"/>
          <w:szCs w:val="22"/>
        </w:rPr>
        <w:t>Federal Housing Finance</w:t>
      </w:r>
      <w:r w:rsidR="00CC47D1" w:rsidRPr="00532954">
        <w:rPr>
          <w:rFonts w:ascii="Arial" w:hAnsi="Arial" w:cs="Arial"/>
          <w:color w:val="000000"/>
          <w:sz w:val="22"/>
          <w:szCs w:val="22"/>
        </w:rPr>
        <w:t xml:space="preserve"> </w:t>
      </w:r>
      <w:r w:rsidR="00FF7866" w:rsidRPr="00532954">
        <w:rPr>
          <w:rFonts w:ascii="Arial" w:hAnsi="Arial" w:cs="Arial"/>
          <w:color w:val="000000"/>
          <w:sz w:val="22"/>
          <w:szCs w:val="22"/>
        </w:rPr>
        <w:t>Board required an institution to provide evidence that it had a continuing policy of mortgage loan purchases or originations and that it intended to c</w:t>
      </w:r>
      <w:r w:rsidR="00D73829" w:rsidRPr="00532954">
        <w:rPr>
          <w:rFonts w:ascii="Arial" w:hAnsi="Arial" w:cs="Arial"/>
          <w:color w:val="000000"/>
          <w:sz w:val="22"/>
          <w:szCs w:val="22"/>
        </w:rPr>
        <w:t xml:space="preserve">ontinue to pursue that policy.  </w:t>
      </w:r>
      <w:r w:rsidR="007276D1" w:rsidRPr="00532954">
        <w:rPr>
          <w:rFonts w:ascii="Arial" w:hAnsi="Arial" w:cs="Arial"/>
          <w:sz w:val="22"/>
          <w:szCs w:val="22"/>
        </w:rPr>
        <w:t xml:space="preserve">The FHFA </w:t>
      </w:r>
      <w:r w:rsidR="00D642B5">
        <w:rPr>
          <w:rFonts w:ascii="Arial" w:hAnsi="Arial" w:cs="Arial"/>
          <w:sz w:val="22"/>
          <w:szCs w:val="22"/>
        </w:rPr>
        <w:t xml:space="preserve">is apparently concerned that membership may be misused, but it </w:t>
      </w:r>
      <w:r w:rsidR="007276D1" w:rsidRPr="00532954">
        <w:rPr>
          <w:rFonts w:ascii="Arial" w:hAnsi="Arial" w:cs="Arial"/>
          <w:sz w:val="22"/>
          <w:szCs w:val="22"/>
        </w:rPr>
        <w:t xml:space="preserve">has not </w:t>
      </w:r>
      <w:r w:rsidR="00D642B5">
        <w:rPr>
          <w:rFonts w:ascii="Arial" w:hAnsi="Arial" w:cs="Arial"/>
          <w:sz w:val="22"/>
          <w:szCs w:val="22"/>
        </w:rPr>
        <w:t>offered</w:t>
      </w:r>
      <w:r w:rsidR="007276D1" w:rsidRPr="00532954">
        <w:rPr>
          <w:rFonts w:ascii="Arial" w:hAnsi="Arial" w:cs="Arial"/>
          <w:sz w:val="22"/>
          <w:szCs w:val="22"/>
        </w:rPr>
        <w:t xml:space="preserve"> </w:t>
      </w:r>
      <w:r w:rsidR="00D642B5">
        <w:rPr>
          <w:rFonts w:ascii="Arial" w:hAnsi="Arial" w:cs="Arial"/>
          <w:sz w:val="22"/>
          <w:szCs w:val="22"/>
        </w:rPr>
        <w:t xml:space="preserve">any </w:t>
      </w:r>
      <w:r w:rsidR="007276D1" w:rsidRPr="00532954">
        <w:rPr>
          <w:rFonts w:ascii="Arial" w:hAnsi="Arial" w:cs="Arial"/>
          <w:sz w:val="22"/>
          <w:szCs w:val="22"/>
        </w:rPr>
        <w:t>justif</w:t>
      </w:r>
      <w:r w:rsidR="00D642B5">
        <w:rPr>
          <w:rFonts w:ascii="Arial" w:hAnsi="Arial" w:cs="Arial"/>
          <w:sz w:val="22"/>
          <w:szCs w:val="22"/>
        </w:rPr>
        <w:t>ication</w:t>
      </w:r>
      <w:r w:rsidR="007276D1" w:rsidRPr="00532954">
        <w:rPr>
          <w:rFonts w:ascii="Arial" w:hAnsi="Arial" w:cs="Arial"/>
          <w:sz w:val="22"/>
          <w:szCs w:val="22"/>
        </w:rPr>
        <w:t xml:space="preserve"> </w:t>
      </w:r>
      <w:r w:rsidR="00D642B5">
        <w:rPr>
          <w:rFonts w:ascii="Arial" w:hAnsi="Arial" w:cs="Arial"/>
          <w:sz w:val="22"/>
          <w:szCs w:val="22"/>
        </w:rPr>
        <w:t xml:space="preserve">to support </w:t>
      </w:r>
      <w:r w:rsidR="007276D1" w:rsidRPr="00532954">
        <w:rPr>
          <w:rFonts w:ascii="Arial" w:hAnsi="Arial" w:cs="Arial"/>
          <w:sz w:val="22"/>
          <w:szCs w:val="22"/>
        </w:rPr>
        <w:t xml:space="preserve">the need for </w:t>
      </w:r>
      <w:r w:rsidR="00D642B5">
        <w:rPr>
          <w:rFonts w:ascii="Arial" w:hAnsi="Arial" w:cs="Arial"/>
          <w:sz w:val="22"/>
          <w:szCs w:val="22"/>
        </w:rPr>
        <w:t>imposing burdensome</w:t>
      </w:r>
      <w:r w:rsidR="007276D1" w:rsidRPr="00532954">
        <w:rPr>
          <w:rFonts w:ascii="Arial" w:hAnsi="Arial" w:cs="Arial"/>
          <w:sz w:val="22"/>
          <w:szCs w:val="22"/>
        </w:rPr>
        <w:t xml:space="preserve"> ongoing test</w:t>
      </w:r>
      <w:r w:rsidR="00D642B5">
        <w:rPr>
          <w:rFonts w:ascii="Arial" w:hAnsi="Arial" w:cs="Arial"/>
          <w:sz w:val="22"/>
          <w:szCs w:val="22"/>
        </w:rPr>
        <w:t>s</w:t>
      </w:r>
      <w:r w:rsidR="007276D1" w:rsidRPr="00532954">
        <w:rPr>
          <w:rFonts w:ascii="Arial" w:hAnsi="Arial" w:cs="Arial"/>
          <w:sz w:val="22"/>
          <w:szCs w:val="22"/>
        </w:rPr>
        <w:t xml:space="preserve">.  </w:t>
      </w:r>
    </w:p>
    <w:p w:rsidR="00CF07E3" w:rsidRPr="00532954" w:rsidRDefault="00CF07E3" w:rsidP="00A93AAB">
      <w:pPr>
        <w:autoSpaceDE w:val="0"/>
        <w:autoSpaceDN w:val="0"/>
        <w:adjustRightInd w:val="0"/>
        <w:jc w:val="both"/>
        <w:rPr>
          <w:rFonts w:ascii="Arial" w:hAnsi="Arial" w:cs="Arial"/>
          <w:sz w:val="22"/>
          <w:szCs w:val="22"/>
        </w:rPr>
      </w:pPr>
    </w:p>
    <w:p w:rsidR="00CF07E3" w:rsidRPr="00532954" w:rsidRDefault="00654F0D" w:rsidP="00A93AAB">
      <w:pPr>
        <w:jc w:val="both"/>
        <w:rPr>
          <w:rFonts w:ascii="Arial" w:hAnsi="Arial" w:cs="Arial"/>
          <w:sz w:val="22"/>
          <w:szCs w:val="22"/>
        </w:rPr>
      </w:pPr>
      <w:r>
        <w:rPr>
          <w:rFonts w:ascii="Arial" w:hAnsi="Arial" w:cs="Arial"/>
          <w:sz w:val="22"/>
          <w:szCs w:val="22"/>
        </w:rPr>
        <w:t>We respectfully suggest that t</w:t>
      </w:r>
      <w:r w:rsidR="00CF07E3" w:rsidRPr="00532954">
        <w:rPr>
          <w:rFonts w:ascii="Arial" w:hAnsi="Arial" w:cs="Arial"/>
          <w:sz w:val="22"/>
          <w:szCs w:val="22"/>
        </w:rPr>
        <w:t xml:space="preserve">he FHFA is incorrect </w:t>
      </w:r>
      <w:r>
        <w:rPr>
          <w:rFonts w:ascii="Arial" w:hAnsi="Arial" w:cs="Arial"/>
          <w:sz w:val="22"/>
          <w:szCs w:val="22"/>
        </w:rPr>
        <w:t>in its assessment that</w:t>
      </w:r>
      <w:r w:rsidR="00CF07E3" w:rsidRPr="00532954">
        <w:rPr>
          <w:rFonts w:ascii="Arial" w:hAnsi="Arial" w:cs="Arial"/>
          <w:sz w:val="22"/>
          <w:szCs w:val="22"/>
        </w:rPr>
        <w:t xml:space="preserve"> “any institution with less than one percent of its total assets in home mortgage loans clearly would not have the requisite commitment to home mortgage lending that Congress sought to support through the benefits of Bank membership.”  The FHFA fails to consider the impact of additional regulations and portfolio risk mitigation strategies </w:t>
      </w:r>
      <w:r w:rsidR="00D642B5">
        <w:rPr>
          <w:rFonts w:ascii="Arial" w:hAnsi="Arial" w:cs="Arial"/>
          <w:sz w:val="22"/>
          <w:szCs w:val="22"/>
        </w:rPr>
        <w:t>a</w:t>
      </w:r>
      <w:r w:rsidR="00CF07E3" w:rsidRPr="00532954">
        <w:rPr>
          <w:rFonts w:ascii="Arial" w:hAnsi="Arial" w:cs="Arial"/>
          <w:sz w:val="22"/>
          <w:szCs w:val="22"/>
        </w:rPr>
        <w:t xml:space="preserve"> credit union may be required to </w:t>
      </w:r>
      <w:r w:rsidR="00CE1EA1">
        <w:rPr>
          <w:rFonts w:ascii="Arial" w:hAnsi="Arial" w:cs="Arial"/>
          <w:sz w:val="22"/>
          <w:szCs w:val="22"/>
        </w:rPr>
        <w:t>implement</w:t>
      </w:r>
      <w:r w:rsidR="00CE1EA1" w:rsidRPr="00532954">
        <w:rPr>
          <w:rFonts w:ascii="Arial" w:hAnsi="Arial" w:cs="Arial"/>
          <w:sz w:val="22"/>
          <w:szCs w:val="22"/>
        </w:rPr>
        <w:t xml:space="preserve"> </w:t>
      </w:r>
      <w:r w:rsidR="00CF07E3" w:rsidRPr="00532954">
        <w:rPr>
          <w:rFonts w:ascii="Arial" w:hAnsi="Arial" w:cs="Arial"/>
          <w:sz w:val="22"/>
          <w:szCs w:val="22"/>
        </w:rPr>
        <w:t xml:space="preserve">or comply with from a safety and soundness perspective.  A risk mitigation strategy for a smaller credit union may be to utilize a credit union service organization (CUSO) to assist </w:t>
      </w:r>
      <w:r w:rsidR="00CC47D1" w:rsidRPr="00532954">
        <w:rPr>
          <w:rFonts w:ascii="Arial" w:hAnsi="Arial" w:cs="Arial"/>
          <w:sz w:val="22"/>
          <w:szCs w:val="22"/>
        </w:rPr>
        <w:t>their credit union with</w:t>
      </w:r>
      <w:r w:rsidR="00CF07E3" w:rsidRPr="00532954">
        <w:rPr>
          <w:rFonts w:ascii="Arial" w:hAnsi="Arial" w:cs="Arial"/>
          <w:sz w:val="22"/>
          <w:szCs w:val="22"/>
        </w:rPr>
        <w:t xml:space="preserve"> mortgage lending.  A successful CUSO arrangement is intended to provide a service to credit union members that may otherwise</w:t>
      </w:r>
      <w:r w:rsidR="00CC47D1" w:rsidRPr="00532954">
        <w:rPr>
          <w:rFonts w:ascii="Arial" w:hAnsi="Arial" w:cs="Arial"/>
          <w:sz w:val="22"/>
          <w:szCs w:val="22"/>
        </w:rPr>
        <w:t xml:space="preserve"> not be made available.  C</w:t>
      </w:r>
      <w:r w:rsidR="00CF07E3" w:rsidRPr="00532954">
        <w:rPr>
          <w:rFonts w:ascii="Arial" w:hAnsi="Arial" w:cs="Arial"/>
          <w:sz w:val="22"/>
          <w:szCs w:val="22"/>
        </w:rPr>
        <w:t>redit unions, through a CUSO relationship</w:t>
      </w:r>
      <w:r w:rsidR="00CC47D1" w:rsidRPr="00532954">
        <w:rPr>
          <w:rFonts w:ascii="Arial" w:hAnsi="Arial" w:cs="Arial"/>
          <w:sz w:val="22"/>
          <w:szCs w:val="22"/>
        </w:rPr>
        <w:t>,</w:t>
      </w:r>
      <w:r w:rsidR="00CF07E3" w:rsidRPr="00532954">
        <w:rPr>
          <w:rFonts w:ascii="Arial" w:hAnsi="Arial" w:cs="Arial"/>
          <w:sz w:val="22"/>
          <w:szCs w:val="22"/>
        </w:rPr>
        <w:t xml:space="preserve"> are able to offer their members mortgage loan</w:t>
      </w:r>
      <w:r w:rsidR="00CC47D1" w:rsidRPr="00532954">
        <w:rPr>
          <w:rFonts w:ascii="Arial" w:hAnsi="Arial" w:cs="Arial"/>
          <w:sz w:val="22"/>
          <w:szCs w:val="22"/>
        </w:rPr>
        <w:t>s</w:t>
      </w:r>
      <w:r w:rsidR="00CF07E3" w:rsidRPr="00532954">
        <w:rPr>
          <w:rFonts w:ascii="Arial" w:hAnsi="Arial" w:cs="Arial"/>
          <w:sz w:val="22"/>
          <w:szCs w:val="22"/>
        </w:rPr>
        <w:t>.  Because the credit union may not have the capacity to hold these real estate assets in portfolio, is the FHFA doubting the commitment of that institution to the mortgage lending process?</w:t>
      </w:r>
      <w:r w:rsidR="00CC47D1" w:rsidRPr="00532954">
        <w:rPr>
          <w:rFonts w:ascii="Arial" w:hAnsi="Arial" w:cs="Arial"/>
          <w:sz w:val="22"/>
          <w:szCs w:val="22"/>
        </w:rPr>
        <w:t xml:space="preserve">  Unfortunately, quantitative </w:t>
      </w:r>
      <w:r w:rsidR="00AA2157">
        <w:rPr>
          <w:rFonts w:ascii="Arial" w:hAnsi="Arial" w:cs="Arial"/>
          <w:sz w:val="22"/>
          <w:szCs w:val="22"/>
        </w:rPr>
        <w:t>compliance tests</w:t>
      </w:r>
      <w:r w:rsidR="00AA2157" w:rsidRPr="00532954">
        <w:rPr>
          <w:rFonts w:ascii="Arial" w:hAnsi="Arial" w:cs="Arial"/>
          <w:sz w:val="22"/>
          <w:szCs w:val="22"/>
        </w:rPr>
        <w:t xml:space="preserve"> </w:t>
      </w:r>
      <w:r w:rsidR="00CC47D1" w:rsidRPr="00532954">
        <w:rPr>
          <w:rFonts w:ascii="Arial" w:hAnsi="Arial" w:cs="Arial"/>
          <w:sz w:val="22"/>
          <w:szCs w:val="22"/>
        </w:rPr>
        <w:t xml:space="preserve">only implement numerical thresholds, without the ability for justification or explanation.  With this type of approach, the FHFA would be responsible for </w:t>
      </w:r>
      <w:r w:rsidR="00766A17">
        <w:rPr>
          <w:rFonts w:ascii="Arial" w:hAnsi="Arial" w:cs="Arial"/>
          <w:sz w:val="22"/>
          <w:szCs w:val="22"/>
        </w:rPr>
        <w:t>eliminating</w:t>
      </w:r>
      <w:r w:rsidR="00CC47D1" w:rsidRPr="00532954">
        <w:rPr>
          <w:rFonts w:ascii="Arial" w:hAnsi="Arial" w:cs="Arial"/>
          <w:sz w:val="22"/>
          <w:szCs w:val="22"/>
        </w:rPr>
        <w:t xml:space="preserve"> </w:t>
      </w:r>
      <w:r w:rsidR="00613DEC">
        <w:rPr>
          <w:rFonts w:ascii="Arial" w:hAnsi="Arial" w:cs="Arial"/>
          <w:sz w:val="22"/>
          <w:szCs w:val="22"/>
        </w:rPr>
        <w:t xml:space="preserve">mission-supportive </w:t>
      </w:r>
      <w:r w:rsidR="00CC47D1" w:rsidRPr="00532954">
        <w:rPr>
          <w:rFonts w:ascii="Arial" w:hAnsi="Arial" w:cs="Arial"/>
          <w:sz w:val="22"/>
          <w:szCs w:val="22"/>
        </w:rPr>
        <w:t xml:space="preserve">financial institutions from </w:t>
      </w:r>
      <w:r w:rsidR="00CE1EA1">
        <w:rPr>
          <w:rFonts w:ascii="Arial" w:hAnsi="Arial" w:cs="Arial"/>
          <w:sz w:val="22"/>
          <w:szCs w:val="22"/>
        </w:rPr>
        <w:t xml:space="preserve">FHLB </w:t>
      </w:r>
      <w:r w:rsidR="00CC47D1" w:rsidRPr="00532954">
        <w:rPr>
          <w:rFonts w:ascii="Arial" w:hAnsi="Arial" w:cs="Arial"/>
          <w:sz w:val="22"/>
          <w:szCs w:val="22"/>
        </w:rPr>
        <w:t>membership eligibility and</w:t>
      </w:r>
      <w:r w:rsidR="00613DEC">
        <w:rPr>
          <w:rFonts w:ascii="Arial" w:hAnsi="Arial" w:cs="Arial"/>
          <w:sz w:val="22"/>
          <w:szCs w:val="22"/>
        </w:rPr>
        <w:t>,</w:t>
      </w:r>
      <w:r w:rsidR="00CC47D1" w:rsidRPr="00532954">
        <w:rPr>
          <w:rFonts w:ascii="Arial" w:hAnsi="Arial" w:cs="Arial"/>
          <w:sz w:val="22"/>
          <w:szCs w:val="22"/>
        </w:rPr>
        <w:t xml:space="preserve"> subsequently</w:t>
      </w:r>
      <w:r w:rsidR="00613DEC">
        <w:rPr>
          <w:rFonts w:ascii="Arial" w:hAnsi="Arial" w:cs="Arial"/>
          <w:sz w:val="22"/>
          <w:szCs w:val="22"/>
        </w:rPr>
        <w:t>,</w:t>
      </w:r>
      <w:r w:rsidR="00CC47D1" w:rsidRPr="00532954">
        <w:rPr>
          <w:rFonts w:ascii="Arial" w:hAnsi="Arial" w:cs="Arial"/>
          <w:sz w:val="22"/>
          <w:szCs w:val="22"/>
        </w:rPr>
        <w:t xml:space="preserve"> decreasing the availability of home financing options in communities.</w:t>
      </w:r>
    </w:p>
    <w:p w:rsidR="007276D1" w:rsidRPr="00532954" w:rsidRDefault="007276D1" w:rsidP="00A93AAB">
      <w:pPr>
        <w:jc w:val="both"/>
        <w:rPr>
          <w:rFonts w:ascii="Arial" w:hAnsi="Arial" w:cs="Arial"/>
          <w:sz w:val="22"/>
          <w:szCs w:val="22"/>
        </w:rPr>
      </w:pPr>
    </w:p>
    <w:p w:rsidR="00D73829" w:rsidRPr="00532954" w:rsidRDefault="00D73829" w:rsidP="00A93AAB">
      <w:pPr>
        <w:jc w:val="both"/>
        <w:rPr>
          <w:rFonts w:ascii="Arial" w:hAnsi="Arial" w:cs="Arial"/>
          <w:b/>
          <w:sz w:val="22"/>
          <w:szCs w:val="22"/>
          <w:u w:val="single"/>
        </w:rPr>
      </w:pPr>
      <w:r w:rsidRPr="00532954">
        <w:rPr>
          <w:rFonts w:ascii="Arial" w:hAnsi="Arial" w:cs="Arial"/>
          <w:b/>
          <w:sz w:val="22"/>
          <w:szCs w:val="22"/>
          <w:u w:val="single"/>
        </w:rPr>
        <w:t>Flow Business</w:t>
      </w:r>
    </w:p>
    <w:p w:rsidR="00666F4F" w:rsidRPr="00532954" w:rsidRDefault="00666F4F" w:rsidP="00A93AAB">
      <w:pPr>
        <w:jc w:val="both"/>
        <w:rPr>
          <w:rFonts w:ascii="Arial" w:hAnsi="Arial" w:cs="Arial"/>
          <w:sz w:val="22"/>
          <w:szCs w:val="22"/>
        </w:rPr>
      </w:pPr>
      <w:r w:rsidRPr="00532954">
        <w:rPr>
          <w:rFonts w:ascii="Arial" w:hAnsi="Arial" w:cs="Arial"/>
          <w:sz w:val="22"/>
          <w:szCs w:val="22"/>
        </w:rPr>
        <w:t>The FHFA is seeking comment on whether the final rule should include a provision taking into account a financial institution</w:t>
      </w:r>
      <w:r w:rsidR="00D73829" w:rsidRPr="00532954">
        <w:rPr>
          <w:rFonts w:ascii="Arial" w:hAnsi="Arial" w:cs="Arial"/>
          <w:sz w:val="22"/>
          <w:szCs w:val="22"/>
        </w:rPr>
        <w:t>’</w:t>
      </w:r>
      <w:r w:rsidRPr="00532954">
        <w:rPr>
          <w:rFonts w:ascii="Arial" w:hAnsi="Arial" w:cs="Arial"/>
          <w:sz w:val="22"/>
          <w:szCs w:val="22"/>
        </w:rPr>
        <w:t xml:space="preserve">s “flow” business, or loans that were </w:t>
      </w:r>
      <w:r w:rsidRPr="00CE1EA1">
        <w:rPr>
          <w:rFonts w:ascii="Arial" w:hAnsi="Arial" w:cs="Arial"/>
          <w:i/>
          <w:sz w:val="22"/>
          <w:szCs w:val="22"/>
        </w:rPr>
        <w:t>originated and sold</w:t>
      </w:r>
      <w:r w:rsidR="0096479F" w:rsidRPr="00532954">
        <w:rPr>
          <w:rFonts w:ascii="Arial" w:hAnsi="Arial" w:cs="Arial"/>
          <w:sz w:val="22"/>
          <w:szCs w:val="22"/>
        </w:rPr>
        <w:t>,</w:t>
      </w:r>
      <w:r w:rsidRPr="00532954">
        <w:rPr>
          <w:rFonts w:ascii="Arial" w:hAnsi="Arial" w:cs="Arial"/>
          <w:sz w:val="22"/>
          <w:szCs w:val="22"/>
        </w:rPr>
        <w:t xml:space="preserve"> rather than </w:t>
      </w:r>
      <w:r w:rsidRPr="00CE1EA1">
        <w:rPr>
          <w:rFonts w:ascii="Arial" w:hAnsi="Arial" w:cs="Arial"/>
          <w:i/>
          <w:sz w:val="22"/>
          <w:szCs w:val="22"/>
        </w:rPr>
        <w:t>kept</w:t>
      </w:r>
      <w:r w:rsidR="00C346C7">
        <w:rPr>
          <w:rFonts w:ascii="Arial" w:hAnsi="Arial" w:cs="Arial"/>
          <w:sz w:val="22"/>
          <w:szCs w:val="22"/>
        </w:rPr>
        <w:t xml:space="preserve"> in portfolio.  The </w:t>
      </w:r>
      <w:r w:rsidRPr="00532954">
        <w:rPr>
          <w:rFonts w:ascii="Arial" w:hAnsi="Arial" w:cs="Arial"/>
          <w:sz w:val="22"/>
          <w:szCs w:val="22"/>
        </w:rPr>
        <w:t xml:space="preserve">MCUL strongly believes the FHLB should consider this information when determining ongoing or initial eligibility.  </w:t>
      </w:r>
      <w:r w:rsidR="007276D1" w:rsidRPr="00532954">
        <w:rPr>
          <w:rFonts w:ascii="Arial" w:hAnsi="Arial" w:cs="Arial"/>
          <w:sz w:val="22"/>
          <w:szCs w:val="22"/>
        </w:rPr>
        <w:t xml:space="preserve">As previously discussed, the inability </w:t>
      </w:r>
      <w:r w:rsidR="00CE1EA1">
        <w:rPr>
          <w:rFonts w:ascii="Arial" w:hAnsi="Arial" w:cs="Arial"/>
          <w:sz w:val="22"/>
          <w:szCs w:val="22"/>
        </w:rPr>
        <w:t xml:space="preserve">to hold a loan, </w:t>
      </w:r>
      <w:r w:rsidR="007276D1" w:rsidRPr="00532954">
        <w:rPr>
          <w:rFonts w:ascii="Arial" w:hAnsi="Arial" w:cs="Arial"/>
          <w:sz w:val="22"/>
          <w:szCs w:val="22"/>
        </w:rPr>
        <w:t>due to portfolio constraints</w:t>
      </w:r>
      <w:r w:rsidR="00D73829" w:rsidRPr="00532954">
        <w:rPr>
          <w:rFonts w:ascii="Arial" w:hAnsi="Arial" w:cs="Arial"/>
          <w:sz w:val="22"/>
          <w:szCs w:val="22"/>
        </w:rPr>
        <w:t>,</w:t>
      </w:r>
      <w:r w:rsidR="007276D1" w:rsidRPr="00532954">
        <w:rPr>
          <w:rFonts w:ascii="Arial" w:hAnsi="Arial" w:cs="Arial"/>
          <w:sz w:val="22"/>
          <w:szCs w:val="22"/>
        </w:rPr>
        <w:t xml:space="preserve"> may require a credit union to sell </w:t>
      </w:r>
      <w:r w:rsidR="00D73829" w:rsidRPr="00532954">
        <w:rPr>
          <w:rFonts w:ascii="Arial" w:hAnsi="Arial" w:cs="Arial"/>
          <w:sz w:val="22"/>
          <w:szCs w:val="22"/>
        </w:rPr>
        <w:t xml:space="preserve">mortgage loans </w:t>
      </w:r>
      <w:r w:rsidR="007276D1" w:rsidRPr="00532954">
        <w:rPr>
          <w:rFonts w:ascii="Arial" w:hAnsi="Arial" w:cs="Arial"/>
          <w:sz w:val="22"/>
          <w:szCs w:val="22"/>
        </w:rPr>
        <w:t xml:space="preserve">to the secondary market.  The FHFA also seeks information as to how </w:t>
      </w:r>
      <w:r w:rsidR="00CE1EA1">
        <w:rPr>
          <w:rFonts w:ascii="Arial" w:hAnsi="Arial" w:cs="Arial"/>
          <w:sz w:val="22"/>
          <w:szCs w:val="22"/>
        </w:rPr>
        <w:t>it</w:t>
      </w:r>
      <w:r w:rsidR="007276D1" w:rsidRPr="00532954">
        <w:rPr>
          <w:rFonts w:ascii="Arial" w:hAnsi="Arial" w:cs="Arial"/>
          <w:sz w:val="22"/>
          <w:szCs w:val="22"/>
        </w:rPr>
        <w:t xml:space="preserve"> could obtain this type of data.  </w:t>
      </w:r>
      <w:r w:rsidRPr="00532954">
        <w:rPr>
          <w:rFonts w:ascii="Arial" w:hAnsi="Arial" w:cs="Arial"/>
          <w:sz w:val="22"/>
          <w:szCs w:val="22"/>
        </w:rPr>
        <w:t>Credit unions specifically report mortgage loans sold on the secondary market in their quarterly call report.</w:t>
      </w:r>
      <w:r w:rsidR="007276D1" w:rsidRPr="00532954">
        <w:rPr>
          <w:rFonts w:ascii="Arial" w:hAnsi="Arial" w:cs="Arial"/>
          <w:sz w:val="22"/>
          <w:szCs w:val="22"/>
        </w:rPr>
        <w:t xml:space="preserve">  Therefore, information on “flow” business could easily be obtained</w:t>
      </w:r>
      <w:r w:rsidR="00570535" w:rsidRPr="00532954">
        <w:rPr>
          <w:rFonts w:ascii="Arial" w:hAnsi="Arial" w:cs="Arial"/>
          <w:sz w:val="22"/>
          <w:szCs w:val="22"/>
        </w:rPr>
        <w:t xml:space="preserve"> by the FHFA for measurement purposes</w:t>
      </w:r>
      <w:r w:rsidR="007276D1" w:rsidRPr="00532954">
        <w:rPr>
          <w:rFonts w:ascii="Arial" w:hAnsi="Arial" w:cs="Arial"/>
          <w:sz w:val="22"/>
          <w:szCs w:val="22"/>
        </w:rPr>
        <w:t>.</w:t>
      </w:r>
    </w:p>
    <w:p w:rsidR="00CF07E3" w:rsidRPr="00532954" w:rsidRDefault="00CF07E3" w:rsidP="00A93AAB">
      <w:pPr>
        <w:jc w:val="both"/>
        <w:rPr>
          <w:rFonts w:ascii="Arial" w:hAnsi="Arial" w:cs="Arial"/>
          <w:sz w:val="22"/>
          <w:szCs w:val="22"/>
        </w:rPr>
      </w:pPr>
    </w:p>
    <w:p w:rsidR="00CF07E3" w:rsidRPr="00532954" w:rsidRDefault="00CF07E3" w:rsidP="00A93AAB">
      <w:pPr>
        <w:jc w:val="both"/>
        <w:rPr>
          <w:rFonts w:ascii="Arial" w:hAnsi="Arial" w:cs="Arial"/>
          <w:sz w:val="22"/>
          <w:szCs w:val="22"/>
        </w:rPr>
      </w:pPr>
      <w:r w:rsidRPr="00532954">
        <w:rPr>
          <w:rFonts w:ascii="Arial" w:hAnsi="Arial" w:cs="Arial"/>
          <w:sz w:val="22"/>
          <w:szCs w:val="22"/>
        </w:rPr>
        <w:t>As indicated in the proposal, the Federal Home Loan Bank Act is intended to provide a reserve banking system for thrift institutions to support their residential mortgage lending activities.  If credit unions are providing their members with mortgage lending resources, it shouldn’t matter if the loans are held in portfolio</w:t>
      </w:r>
      <w:r w:rsidR="0096479F" w:rsidRPr="00532954">
        <w:rPr>
          <w:rFonts w:ascii="Arial" w:hAnsi="Arial" w:cs="Arial"/>
          <w:sz w:val="22"/>
          <w:szCs w:val="22"/>
        </w:rPr>
        <w:t xml:space="preserve"> or sold in the second</w:t>
      </w:r>
      <w:r w:rsidR="0032045D">
        <w:rPr>
          <w:rFonts w:ascii="Arial" w:hAnsi="Arial" w:cs="Arial"/>
          <w:sz w:val="22"/>
          <w:szCs w:val="22"/>
        </w:rPr>
        <w:t>ary</w:t>
      </w:r>
      <w:r w:rsidR="0096479F" w:rsidRPr="00532954">
        <w:rPr>
          <w:rFonts w:ascii="Arial" w:hAnsi="Arial" w:cs="Arial"/>
          <w:sz w:val="22"/>
          <w:szCs w:val="22"/>
        </w:rPr>
        <w:t xml:space="preserve"> market.</w:t>
      </w:r>
    </w:p>
    <w:p w:rsidR="00A9081F" w:rsidRPr="00532954" w:rsidRDefault="00A9081F" w:rsidP="00A93AAB">
      <w:pPr>
        <w:jc w:val="both"/>
        <w:rPr>
          <w:rFonts w:ascii="Arial" w:hAnsi="Arial" w:cs="Arial"/>
          <w:sz w:val="22"/>
          <w:szCs w:val="22"/>
        </w:rPr>
      </w:pPr>
    </w:p>
    <w:p w:rsidR="007276D1" w:rsidRPr="00532954" w:rsidRDefault="00347D70" w:rsidP="00A93AAB">
      <w:pPr>
        <w:jc w:val="both"/>
        <w:rPr>
          <w:rFonts w:ascii="Arial" w:hAnsi="Arial" w:cs="Arial"/>
          <w:b/>
          <w:sz w:val="22"/>
          <w:szCs w:val="22"/>
          <w:u w:val="single"/>
        </w:rPr>
      </w:pPr>
      <w:r w:rsidRPr="00532954">
        <w:rPr>
          <w:rFonts w:ascii="Arial" w:hAnsi="Arial" w:cs="Arial"/>
          <w:b/>
          <w:sz w:val="22"/>
          <w:szCs w:val="22"/>
          <w:u w:val="single"/>
        </w:rPr>
        <w:t>Credit Union Impact</w:t>
      </w:r>
    </w:p>
    <w:p w:rsidR="00347D70" w:rsidRPr="00532954" w:rsidRDefault="00347D70" w:rsidP="00A93AAB">
      <w:pPr>
        <w:jc w:val="both"/>
        <w:rPr>
          <w:rFonts w:ascii="Arial" w:hAnsi="Arial" w:cs="Arial"/>
          <w:sz w:val="22"/>
          <w:szCs w:val="22"/>
        </w:rPr>
      </w:pPr>
      <w:r w:rsidRPr="00532954">
        <w:rPr>
          <w:rFonts w:ascii="Arial" w:hAnsi="Arial" w:cs="Arial"/>
          <w:sz w:val="22"/>
          <w:szCs w:val="22"/>
        </w:rPr>
        <w:t xml:space="preserve">The FHFA’s proposal </w:t>
      </w:r>
      <w:r w:rsidR="00682C27" w:rsidRPr="00532954">
        <w:rPr>
          <w:rFonts w:ascii="Arial" w:hAnsi="Arial" w:cs="Arial"/>
          <w:sz w:val="22"/>
          <w:szCs w:val="22"/>
        </w:rPr>
        <w:t xml:space="preserve">may </w:t>
      </w:r>
      <w:r w:rsidR="00CE1EA1">
        <w:rPr>
          <w:rFonts w:ascii="Arial" w:hAnsi="Arial" w:cs="Arial"/>
          <w:sz w:val="22"/>
          <w:szCs w:val="22"/>
        </w:rPr>
        <w:t>fundamentally</w:t>
      </w:r>
      <w:r w:rsidR="00682C27" w:rsidRPr="00532954">
        <w:rPr>
          <w:rFonts w:ascii="Arial" w:hAnsi="Arial" w:cs="Arial"/>
          <w:sz w:val="22"/>
          <w:szCs w:val="22"/>
        </w:rPr>
        <w:t xml:space="preserve"> reduce the availability of </w:t>
      </w:r>
      <w:r w:rsidR="00CE1EA1" w:rsidRPr="00532954">
        <w:rPr>
          <w:rFonts w:ascii="Arial" w:hAnsi="Arial" w:cs="Arial"/>
          <w:sz w:val="22"/>
          <w:szCs w:val="22"/>
        </w:rPr>
        <w:t>capital</w:t>
      </w:r>
      <w:r w:rsidR="0096479F" w:rsidRPr="00532954">
        <w:rPr>
          <w:rFonts w:ascii="Arial" w:hAnsi="Arial" w:cs="Arial"/>
          <w:sz w:val="22"/>
          <w:szCs w:val="22"/>
        </w:rPr>
        <w:t xml:space="preserve"> for credit unions, </w:t>
      </w:r>
      <w:r w:rsidR="00682C27" w:rsidRPr="00532954">
        <w:rPr>
          <w:rFonts w:ascii="Arial" w:hAnsi="Arial" w:cs="Arial"/>
          <w:sz w:val="22"/>
          <w:szCs w:val="22"/>
        </w:rPr>
        <w:t>thus negatively impacting the reliability of liquidity that credit unions depend on to serve their member-owners.  As we understand from our local FHLB</w:t>
      </w:r>
      <w:r w:rsidR="0096479F" w:rsidRPr="00532954">
        <w:rPr>
          <w:rFonts w:ascii="Arial" w:hAnsi="Arial" w:cs="Arial"/>
          <w:sz w:val="22"/>
          <w:szCs w:val="22"/>
        </w:rPr>
        <w:t xml:space="preserve"> of Indianapolis</w:t>
      </w:r>
      <w:r w:rsidR="00682C27" w:rsidRPr="00532954">
        <w:rPr>
          <w:rFonts w:ascii="Arial" w:hAnsi="Arial" w:cs="Arial"/>
          <w:sz w:val="22"/>
          <w:szCs w:val="22"/>
        </w:rPr>
        <w:t xml:space="preserve">, </w:t>
      </w:r>
      <w:r w:rsidR="0096479F" w:rsidRPr="00532954">
        <w:rPr>
          <w:rFonts w:ascii="Arial" w:hAnsi="Arial" w:cs="Arial"/>
          <w:sz w:val="22"/>
          <w:szCs w:val="22"/>
        </w:rPr>
        <w:t xml:space="preserve">decreased membership, </w:t>
      </w:r>
      <w:r w:rsidR="00C27E4D">
        <w:rPr>
          <w:rFonts w:ascii="Arial" w:hAnsi="Arial" w:cs="Arial"/>
          <w:sz w:val="22"/>
          <w:szCs w:val="22"/>
        </w:rPr>
        <w:t xml:space="preserve">due to </w:t>
      </w:r>
      <w:r w:rsidR="00C27E4D">
        <w:rPr>
          <w:rFonts w:ascii="Arial" w:hAnsi="Arial" w:cs="Arial"/>
          <w:sz w:val="22"/>
          <w:szCs w:val="22"/>
        </w:rPr>
        <w:lastRenderedPageBreak/>
        <w:t xml:space="preserve">the proposed compliance tests and </w:t>
      </w:r>
      <w:r w:rsidR="00682C27" w:rsidRPr="00532954">
        <w:rPr>
          <w:rFonts w:ascii="Arial" w:hAnsi="Arial" w:cs="Arial"/>
          <w:sz w:val="22"/>
          <w:szCs w:val="22"/>
        </w:rPr>
        <w:t xml:space="preserve">the elimination of Michigan captive insurance </w:t>
      </w:r>
      <w:r w:rsidR="00C27E4D">
        <w:rPr>
          <w:rFonts w:ascii="Arial" w:hAnsi="Arial" w:cs="Arial"/>
          <w:sz w:val="22"/>
          <w:szCs w:val="22"/>
        </w:rPr>
        <w:t>company members</w:t>
      </w:r>
      <w:r w:rsidR="0096479F" w:rsidRPr="00532954">
        <w:rPr>
          <w:rFonts w:ascii="Arial" w:hAnsi="Arial" w:cs="Arial"/>
          <w:sz w:val="22"/>
          <w:szCs w:val="22"/>
        </w:rPr>
        <w:t xml:space="preserve">, </w:t>
      </w:r>
      <w:r w:rsidR="00682C27" w:rsidRPr="00532954">
        <w:rPr>
          <w:rFonts w:ascii="Arial" w:hAnsi="Arial" w:cs="Arial"/>
          <w:sz w:val="22"/>
          <w:szCs w:val="22"/>
        </w:rPr>
        <w:t xml:space="preserve">would </w:t>
      </w:r>
      <w:r w:rsidR="00DE3779">
        <w:rPr>
          <w:rFonts w:ascii="Arial" w:hAnsi="Arial" w:cs="Arial"/>
          <w:sz w:val="22"/>
          <w:szCs w:val="22"/>
        </w:rPr>
        <w:t xml:space="preserve">lead to lower profits and corresponding decreases in funding for the Affordable Housing </w:t>
      </w:r>
      <w:r w:rsidR="00D62235">
        <w:rPr>
          <w:rFonts w:ascii="Arial" w:hAnsi="Arial" w:cs="Arial"/>
          <w:sz w:val="22"/>
          <w:szCs w:val="22"/>
        </w:rPr>
        <w:t>Program, the</w:t>
      </w:r>
      <w:r w:rsidR="00DE3779">
        <w:rPr>
          <w:rFonts w:ascii="Arial" w:hAnsi="Arial" w:cs="Arial"/>
          <w:sz w:val="22"/>
          <w:szCs w:val="22"/>
        </w:rPr>
        <w:t xml:space="preserve"> Community Investment Program and other set-aside programs, all </w:t>
      </w:r>
      <w:r w:rsidR="0096479F" w:rsidRPr="00532954">
        <w:rPr>
          <w:rFonts w:ascii="Arial" w:hAnsi="Arial" w:cs="Arial"/>
          <w:sz w:val="22"/>
          <w:szCs w:val="22"/>
        </w:rPr>
        <w:t>of which our Michigan credit unions take advantage of</w:t>
      </w:r>
      <w:r w:rsidR="007563ED">
        <w:rPr>
          <w:rFonts w:ascii="Arial" w:hAnsi="Arial" w:cs="Arial"/>
          <w:sz w:val="22"/>
          <w:szCs w:val="22"/>
        </w:rPr>
        <w:t xml:space="preserve"> in serving their local communities</w:t>
      </w:r>
      <w:r w:rsidR="00682C27" w:rsidRPr="00532954">
        <w:rPr>
          <w:rFonts w:ascii="Arial" w:hAnsi="Arial" w:cs="Arial"/>
          <w:sz w:val="22"/>
          <w:szCs w:val="22"/>
        </w:rPr>
        <w:t>.</w:t>
      </w:r>
    </w:p>
    <w:p w:rsidR="00682C27" w:rsidRPr="00532954" w:rsidRDefault="00682C27" w:rsidP="00A93AAB">
      <w:pPr>
        <w:jc w:val="both"/>
        <w:rPr>
          <w:rFonts w:ascii="Arial" w:hAnsi="Arial" w:cs="Arial"/>
          <w:sz w:val="22"/>
          <w:szCs w:val="22"/>
        </w:rPr>
      </w:pPr>
    </w:p>
    <w:p w:rsidR="003C135C" w:rsidRPr="00532954" w:rsidRDefault="00570535" w:rsidP="00A93AAB">
      <w:pPr>
        <w:jc w:val="both"/>
        <w:rPr>
          <w:rFonts w:ascii="Arial" w:hAnsi="Arial" w:cs="Arial"/>
          <w:b/>
          <w:sz w:val="22"/>
          <w:szCs w:val="22"/>
          <w:u w:val="single"/>
        </w:rPr>
      </w:pPr>
      <w:r w:rsidRPr="00532954">
        <w:rPr>
          <w:rFonts w:ascii="Arial" w:hAnsi="Arial" w:cs="Arial"/>
          <w:b/>
          <w:sz w:val="22"/>
          <w:szCs w:val="22"/>
          <w:u w:val="single"/>
        </w:rPr>
        <w:t>Summary</w:t>
      </w:r>
    </w:p>
    <w:p w:rsidR="003C135C" w:rsidRPr="00532954" w:rsidRDefault="00C346C7" w:rsidP="00A93AAB">
      <w:pPr>
        <w:jc w:val="both"/>
        <w:rPr>
          <w:rFonts w:ascii="Arial" w:hAnsi="Arial" w:cs="Arial"/>
          <w:sz w:val="22"/>
          <w:szCs w:val="22"/>
        </w:rPr>
      </w:pPr>
      <w:r>
        <w:rPr>
          <w:rFonts w:ascii="Arial" w:hAnsi="Arial" w:cs="Arial"/>
          <w:sz w:val="22"/>
          <w:szCs w:val="22"/>
        </w:rPr>
        <w:t xml:space="preserve">Although the </w:t>
      </w:r>
      <w:r w:rsidR="00127833" w:rsidRPr="00532954">
        <w:rPr>
          <w:rFonts w:ascii="Arial" w:hAnsi="Arial" w:cs="Arial"/>
          <w:sz w:val="22"/>
          <w:szCs w:val="22"/>
        </w:rPr>
        <w:t>MCUL does not concur with the necess</w:t>
      </w:r>
      <w:r w:rsidR="002348DC" w:rsidRPr="00532954">
        <w:rPr>
          <w:rFonts w:ascii="Arial" w:hAnsi="Arial" w:cs="Arial"/>
          <w:sz w:val="22"/>
          <w:szCs w:val="22"/>
        </w:rPr>
        <w:t>ity of</w:t>
      </w:r>
      <w:r w:rsidR="00127833" w:rsidRPr="00532954">
        <w:rPr>
          <w:rFonts w:ascii="Arial" w:hAnsi="Arial" w:cs="Arial"/>
          <w:sz w:val="22"/>
          <w:szCs w:val="22"/>
        </w:rPr>
        <w:t xml:space="preserve"> this proposed rule, there are</w:t>
      </w:r>
      <w:r w:rsidR="003C135C" w:rsidRPr="00532954">
        <w:rPr>
          <w:rFonts w:ascii="Arial" w:hAnsi="Arial" w:cs="Arial"/>
          <w:sz w:val="22"/>
          <w:szCs w:val="22"/>
        </w:rPr>
        <w:t xml:space="preserve"> opportunities for the FHFA to revise the </w:t>
      </w:r>
      <w:r w:rsidR="00127833" w:rsidRPr="00532954">
        <w:rPr>
          <w:rFonts w:ascii="Arial" w:hAnsi="Arial" w:cs="Arial"/>
          <w:sz w:val="22"/>
          <w:szCs w:val="22"/>
        </w:rPr>
        <w:t>proposal</w:t>
      </w:r>
      <w:r w:rsidR="00CF07E3" w:rsidRPr="00532954">
        <w:rPr>
          <w:rFonts w:ascii="Arial" w:hAnsi="Arial" w:cs="Arial"/>
          <w:sz w:val="22"/>
          <w:szCs w:val="22"/>
        </w:rPr>
        <w:t xml:space="preserve"> in order to provide parity and</w:t>
      </w:r>
      <w:r w:rsidR="00127833" w:rsidRPr="00532954">
        <w:rPr>
          <w:rFonts w:ascii="Arial" w:hAnsi="Arial" w:cs="Arial"/>
          <w:sz w:val="22"/>
          <w:szCs w:val="22"/>
        </w:rPr>
        <w:t xml:space="preserve"> some</w:t>
      </w:r>
      <w:r w:rsidR="00CF07E3" w:rsidRPr="00532954">
        <w:rPr>
          <w:rFonts w:ascii="Arial" w:hAnsi="Arial" w:cs="Arial"/>
          <w:sz w:val="22"/>
          <w:szCs w:val="22"/>
        </w:rPr>
        <w:t xml:space="preserve"> regulatory relief</w:t>
      </w:r>
      <w:r w:rsidR="00127833" w:rsidRPr="00532954">
        <w:rPr>
          <w:rFonts w:ascii="Arial" w:hAnsi="Arial" w:cs="Arial"/>
          <w:sz w:val="22"/>
          <w:szCs w:val="22"/>
        </w:rPr>
        <w:t xml:space="preserve"> to credit unions </w:t>
      </w:r>
      <w:r w:rsidR="00CE1EA1">
        <w:rPr>
          <w:rFonts w:ascii="Arial" w:hAnsi="Arial" w:cs="Arial"/>
          <w:sz w:val="22"/>
          <w:szCs w:val="22"/>
        </w:rPr>
        <w:t>that will otherwise</w:t>
      </w:r>
      <w:r w:rsidR="00127833" w:rsidRPr="00532954">
        <w:rPr>
          <w:rFonts w:ascii="Arial" w:hAnsi="Arial" w:cs="Arial"/>
          <w:sz w:val="22"/>
          <w:szCs w:val="22"/>
        </w:rPr>
        <w:t xml:space="preserve"> be severely</w:t>
      </w:r>
      <w:r w:rsidR="002348DC" w:rsidRPr="00532954">
        <w:rPr>
          <w:rFonts w:ascii="Arial" w:hAnsi="Arial" w:cs="Arial"/>
          <w:sz w:val="22"/>
          <w:szCs w:val="22"/>
        </w:rPr>
        <w:t xml:space="preserve"> negatively</w:t>
      </w:r>
      <w:r w:rsidR="00127833" w:rsidRPr="00532954">
        <w:rPr>
          <w:rFonts w:ascii="Arial" w:hAnsi="Arial" w:cs="Arial"/>
          <w:sz w:val="22"/>
          <w:szCs w:val="22"/>
        </w:rPr>
        <w:t xml:space="preserve"> impacted</w:t>
      </w:r>
      <w:r w:rsidR="003C135C" w:rsidRPr="00532954">
        <w:rPr>
          <w:rFonts w:ascii="Arial" w:hAnsi="Arial" w:cs="Arial"/>
          <w:sz w:val="22"/>
          <w:szCs w:val="22"/>
        </w:rPr>
        <w:t>.  The first would be to include credit unions in the definition of a Community Financial Institution</w:t>
      </w:r>
      <w:r w:rsidR="00532954" w:rsidRPr="00532954">
        <w:rPr>
          <w:rFonts w:ascii="Arial" w:hAnsi="Arial" w:cs="Arial"/>
          <w:sz w:val="22"/>
          <w:szCs w:val="22"/>
        </w:rPr>
        <w:t>.  By expanding this definition to include credit unions, it would</w:t>
      </w:r>
      <w:r w:rsidR="00127833" w:rsidRPr="00532954">
        <w:rPr>
          <w:rFonts w:ascii="Arial" w:hAnsi="Arial" w:cs="Arial"/>
          <w:sz w:val="22"/>
          <w:szCs w:val="22"/>
        </w:rPr>
        <w:t xml:space="preserve"> provide a necessary</w:t>
      </w:r>
      <w:r w:rsidR="003C135C" w:rsidRPr="00532954">
        <w:rPr>
          <w:rFonts w:ascii="Arial" w:hAnsi="Arial" w:cs="Arial"/>
          <w:sz w:val="22"/>
          <w:szCs w:val="22"/>
        </w:rPr>
        <w:t xml:space="preserve"> exemption to </w:t>
      </w:r>
      <w:r w:rsidR="00127833" w:rsidRPr="00532954">
        <w:rPr>
          <w:rFonts w:ascii="Arial" w:hAnsi="Arial" w:cs="Arial"/>
          <w:sz w:val="22"/>
          <w:szCs w:val="22"/>
        </w:rPr>
        <w:t xml:space="preserve">the smaller institutions that would </w:t>
      </w:r>
      <w:r w:rsidR="003C135C" w:rsidRPr="00532954">
        <w:rPr>
          <w:rFonts w:ascii="Arial" w:hAnsi="Arial" w:cs="Arial"/>
          <w:sz w:val="22"/>
          <w:szCs w:val="22"/>
        </w:rPr>
        <w:t xml:space="preserve">struggle with the ongoing portfolio </w:t>
      </w:r>
      <w:r w:rsidR="00D62235">
        <w:rPr>
          <w:rFonts w:ascii="Arial" w:hAnsi="Arial" w:cs="Arial"/>
          <w:sz w:val="22"/>
          <w:szCs w:val="22"/>
        </w:rPr>
        <w:t xml:space="preserve">compliance </w:t>
      </w:r>
      <w:r w:rsidR="003C135C" w:rsidRPr="00532954">
        <w:rPr>
          <w:rFonts w:ascii="Arial" w:hAnsi="Arial" w:cs="Arial"/>
          <w:sz w:val="22"/>
          <w:szCs w:val="22"/>
        </w:rPr>
        <w:t xml:space="preserve">requirements.  </w:t>
      </w:r>
    </w:p>
    <w:p w:rsidR="00A9081F" w:rsidRPr="00532954" w:rsidRDefault="00A9081F" w:rsidP="00A93AAB">
      <w:pPr>
        <w:jc w:val="both"/>
        <w:rPr>
          <w:rFonts w:ascii="Arial" w:hAnsi="Arial" w:cs="Arial"/>
          <w:sz w:val="22"/>
          <w:szCs w:val="22"/>
        </w:rPr>
      </w:pPr>
    </w:p>
    <w:p w:rsidR="00A9081F" w:rsidRPr="00532954" w:rsidRDefault="00532954" w:rsidP="00A93AAB">
      <w:pPr>
        <w:jc w:val="both"/>
        <w:rPr>
          <w:rFonts w:ascii="Arial" w:hAnsi="Arial" w:cs="Arial"/>
          <w:sz w:val="22"/>
          <w:szCs w:val="22"/>
        </w:rPr>
      </w:pPr>
      <w:r w:rsidRPr="00532954">
        <w:rPr>
          <w:rFonts w:ascii="Arial" w:hAnsi="Arial" w:cs="Arial"/>
          <w:sz w:val="22"/>
          <w:szCs w:val="22"/>
        </w:rPr>
        <w:t xml:space="preserve">The second would be to allow </w:t>
      </w:r>
      <w:r w:rsidR="00CE1EA1">
        <w:rPr>
          <w:rFonts w:ascii="Arial" w:hAnsi="Arial" w:cs="Arial"/>
          <w:sz w:val="22"/>
          <w:szCs w:val="22"/>
        </w:rPr>
        <w:t>FHLB members’</w:t>
      </w:r>
      <w:r w:rsidRPr="00532954">
        <w:rPr>
          <w:rFonts w:ascii="Arial" w:hAnsi="Arial" w:cs="Arial"/>
          <w:sz w:val="22"/>
          <w:szCs w:val="22"/>
        </w:rPr>
        <w:t xml:space="preserve"> “flow” business to be included in the quantitative calculations. Without including these transactions,</w:t>
      </w:r>
      <w:r w:rsidR="00A9081F" w:rsidRPr="00532954">
        <w:rPr>
          <w:rFonts w:ascii="Arial" w:hAnsi="Arial" w:cs="Arial"/>
          <w:sz w:val="22"/>
          <w:szCs w:val="22"/>
        </w:rPr>
        <w:t xml:space="preserve"> the FHFA disregards the potentially smaller institutions who are committed to the FHLB mission, but may not have the capacity to hold loans in portfolio or have the expertise </w:t>
      </w:r>
      <w:r w:rsidR="00CE1EA1" w:rsidRPr="00532954">
        <w:rPr>
          <w:rFonts w:ascii="Arial" w:hAnsi="Arial" w:cs="Arial"/>
          <w:sz w:val="22"/>
          <w:szCs w:val="22"/>
        </w:rPr>
        <w:t>in</w:t>
      </w:r>
      <w:r w:rsidR="00CE1EA1">
        <w:rPr>
          <w:rFonts w:ascii="Arial" w:hAnsi="Arial" w:cs="Arial"/>
          <w:sz w:val="22"/>
          <w:szCs w:val="22"/>
        </w:rPr>
        <w:t>-</w:t>
      </w:r>
      <w:r w:rsidR="00A9081F" w:rsidRPr="00532954">
        <w:rPr>
          <w:rFonts w:ascii="Arial" w:hAnsi="Arial" w:cs="Arial"/>
          <w:sz w:val="22"/>
          <w:szCs w:val="22"/>
        </w:rPr>
        <w:t xml:space="preserve">house to purchase MBS.  </w:t>
      </w:r>
    </w:p>
    <w:p w:rsidR="00CF07E3" w:rsidRPr="00532954" w:rsidRDefault="00CF07E3" w:rsidP="00A93AAB">
      <w:pPr>
        <w:jc w:val="both"/>
        <w:rPr>
          <w:rFonts w:ascii="Arial" w:hAnsi="Arial" w:cs="Arial"/>
          <w:sz w:val="22"/>
          <w:szCs w:val="22"/>
        </w:rPr>
      </w:pPr>
    </w:p>
    <w:p w:rsidR="00CF07E3" w:rsidRPr="00532954" w:rsidRDefault="00CF07E3" w:rsidP="00A93AAB">
      <w:pPr>
        <w:jc w:val="both"/>
        <w:rPr>
          <w:rFonts w:ascii="Arial" w:hAnsi="Arial" w:cs="Arial"/>
          <w:sz w:val="22"/>
          <w:szCs w:val="22"/>
        </w:rPr>
      </w:pPr>
      <w:r w:rsidRPr="00532954">
        <w:rPr>
          <w:rFonts w:ascii="Arial" w:hAnsi="Arial" w:cs="Arial"/>
          <w:sz w:val="22"/>
          <w:szCs w:val="22"/>
        </w:rPr>
        <w:t>According to the FHFA, data obtained from the December 31, 2013 NCUA call reports, of 1,204 credit unions that were FHLB members, 14 of those credit union members would have failed to comply with a 1% portfolio requirement, 29 would have failed to comply at 2% and 67 with a 5% portfolio requirement.  From the MCUL’s perspective, 14 credit unions that would have their FHLB membership terminated based on this proposed rule,</w:t>
      </w:r>
      <w:r w:rsidR="00532954" w:rsidRPr="00532954">
        <w:rPr>
          <w:rFonts w:ascii="Arial" w:hAnsi="Arial" w:cs="Arial"/>
          <w:sz w:val="22"/>
          <w:szCs w:val="22"/>
        </w:rPr>
        <w:t xml:space="preserve"> is too</w:t>
      </w:r>
      <w:r w:rsidRPr="00532954">
        <w:rPr>
          <w:rFonts w:ascii="Arial" w:hAnsi="Arial" w:cs="Arial"/>
          <w:sz w:val="22"/>
          <w:szCs w:val="22"/>
        </w:rPr>
        <w:t xml:space="preserve"> many.  With a draconian, quantitative approach, the FHFA </w:t>
      </w:r>
      <w:r w:rsidR="00843F0B">
        <w:rPr>
          <w:rFonts w:ascii="Arial" w:hAnsi="Arial" w:cs="Arial"/>
          <w:sz w:val="22"/>
          <w:szCs w:val="22"/>
        </w:rPr>
        <w:t>fails to consider that there may be valid reasons, such as regulatory limits, that a credit union is un</w:t>
      </w:r>
      <w:r w:rsidRPr="00532954">
        <w:rPr>
          <w:rFonts w:ascii="Arial" w:hAnsi="Arial" w:cs="Arial"/>
          <w:sz w:val="22"/>
          <w:szCs w:val="22"/>
        </w:rPr>
        <w:t xml:space="preserve">able to meet the </w:t>
      </w:r>
      <w:r w:rsidR="00843F0B">
        <w:rPr>
          <w:rFonts w:ascii="Arial" w:hAnsi="Arial" w:cs="Arial"/>
          <w:sz w:val="22"/>
          <w:szCs w:val="22"/>
        </w:rPr>
        <w:t>proposed compliance tests.  S</w:t>
      </w:r>
      <w:r w:rsidRPr="00532954">
        <w:rPr>
          <w:rFonts w:ascii="Arial" w:hAnsi="Arial" w:cs="Arial"/>
          <w:sz w:val="22"/>
          <w:szCs w:val="22"/>
        </w:rPr>
        <w:t>ubsequently</w:t>
      </w:r>
      <w:r w:rsidR="00843F0B">
        <w:rPr>
          <w:rFonts w:ascii="Arial" w:hAnsi="Arial" w:cs="Arial"/>
          <w:sz w:val="22"/>
          <w:szCs w:val="22"/>
        </w:rPr>
        <w:t>,</w:t>
      </w:r>
      <w:r w:rsidRPr="00532954">
        <w:rPr>
          <w:rFonts w:ascii="Arial" w:hAnsi="Arial" w:cs="Arial"/>
          <w:sz w:val="22"/>
          <w:szCs w:val="22"/>
        </w:rPr>
        <w:t xml:space="preserve"> the FHLB </w:t>
      </w:r>
      <w:r w:rsidR="00843F0B">
        <w:rPr>
          <w:rFonts w:ascii="Arial" w:hAnsi="Arial" w:cs="Arial"/>
          <w:sz w:val="22"/>
          <w:szCs w:val="22"/>
        </w:rPr>
        <w:t xml:space="preserve">will </w:t>
      </w:r>
      <w:r w:rsidRPr="00532954">
        <w:rPr>
          <w:rFonts w:ascii="Arial" w:hAnsi="Arial" w:cs="Arial"/>
          <w:sz w:val="22"/>
          <w:szCs w:val="22"/>
        </w:rPr>
        <w:t xml:space="preserve">lose </w:t>
      </w:r>
      <w:r w:rsidR="00843F0B">
        <w:rPr>
          <w:rFonts w:ascii="Arial" w:hAnsi="Arial" w:cs="Arial"/>
          <w:sz w:val="22"/>
          <w:szCs w:val="22"/>
        </w:rPr>
        <w:t xml:space="preserve">members and potential members </w:t>
      </w:r>
      <w:r w:rsidR="007563ED">
        <w:rPr>
          <w:rFonts w:ascii="Arial" w:hAnsi="Arial" w:cs="Arial"/>
          <w:sz w:val="22"/>
          <w:szCs w:val="22"/>
        </w:rPr>
        <w:t>that lack the ability to hold enough mortgage loans in portfolio to satisfy the proposed tests, even though they are actively involved in housing finance and</w:t>
      </w:r>
      <w:r w:rsidR="00843F0B">
        <w:rPr>
          <w:rFonts w:ascii="Arial" w:hAnsi="Arial" w:cs="Arial"/>
          <w:sz w:val="22"/>
          <w:szCs w:val="22"/>
        </w:rPr>
        <w:t xml:space="preserve"> serve the FHFA’</w:t>
      </w:r>
      <w:r w:rsidR="007563ED">
        <w:rPr>
          <w:rFonts w:ascii="Arial" w:hAnsi="Arial" w:cs="Arial"/>
          <w:sz w:val="22"/>
          <w:szCs w:val="22"/>
        </w:rPr>
        <w:t>s housing mission</w:t>
      </w:r>
      <w:r w:rsidRPr="00532954">
        <w:rPr>
          <w:rFonts w:ascii="Arial" w:hAnsi="Arial" w:cs="Arial"/>
          <w:sz w:val="22"/>
          <w:szCs w:val="22"/>
        </w:rPr>
        <w:t>.</w:t>
      </w:r>
    </w:p>
    <w:p w:rsidR="00A9081F" w:rsidRPr="00532954" w:rsidRDefault="00A9081F" w:rsidP="00A93AAB">
      <w:pPr>
        <w:jc w:val="both"/>
        <w:rPr>
          <w:rFonts w:ascii="Arial" w:hAnsi="Arial" w:cs="Arial"/>
          <w:sz w:val="22"/>
          <w:szCs w:val="22"/>
        </w:rPr>
      </w:pPr>
    </w:p>
    <w:p w:rsidR="00A9081F" w:rsidRPr="00532954" w:rsidRDefault="007563ED" w:rsidP="00A93AAB">
      <w:pPr>
        <w:jc w:val="both"/>
        <w:rPr>
          <w:rFonts w:ascii="Arial" w:hAnsi="Arial" w:cs="Arial"/>
          <w:sz w:val="22"/>
          <w:szCs w:val="22"/>
        </w:rPr>
      </w:pPr>
      <w:r>
        <w:rPr>
          <w:rFonts w:ascii="Arial" w:hAnsi="Arial" w:cs="Arial"/>
          <w:sz w:val="22"/>
          <w:szCs w:val="22"/>
        </w:rPr>
        <w:t>I</w:t>
      </w:r>
      <w:r w:rsidR="00A9081F" w:rsidRPr="00532954">
        <w:rPr>
          <w:rFonts w:ascii="Arial" w:hAnsi="Arial" w:cs="Arial"/>
          <w:sz w:val="22"/>
          <w:szCs w:val="22"/>
        </w:rPr>
        <w:t xml:space="preserve">f the FHFA </w:t>
      </w:r>
      <w:r>
        <w:rPr>
          <w:rFonts w:ascii="Arial" w:hAnsi="Arial" w:cs="Arial"/>
          <w:sz w:val="22"/>
          <w:szCs w:val="22"/>
        </w:rPr>
        <w:t xml:space="preserve">adopts its </w:t>
      </w:r>
      <w:r w:rsidR="00A9081F" w:rsidRPr="00532954">
        <w:rPr>
          <w:rFonts w:ascii="Arial" w:hAnsi="Arial" w:cs="Arial"/>
          <w:sz w:val="22"/>
          <w:szCs w:val="22"/>
        </w:rPr>
        <w:t xml:space="preserve">proposed rule, the outcome will </w:t>
      </w:r>
      <w:r>
        <w:rPr>
          <w:rFonts w:ascii="Arial" w:hAnsi="Arial" w:cs="Arial"/>
          <w:sz w:val="22"/>
          <w:szCs w:val="22"/>
        </w:rPr>
        <w:t>be</w:t>
      </w:r>
      <w:r w:rsidR="00A9081F" w:rsidRPr="00532954">
        <w:rPr>
          <w:rFonts w:ascii="Arial" w:hAnsi="Arial" w:cs="Arial"/>
          <w:sz w:val="22"/>
          <w:szCs w:val="22"/>
        </w:rPr>
        <w:t xml:space="preserve"> counterproductive </w:t>
      </w:r>
      <w:r w:rsidR="00347D70" w:rsidRPr="00532954">
        <w:rPr>
          <w:rFonts w:ascii="Arial" w:hAnsi="Arial" w:cs="Arial"/>
          <w:sz w:val="22"/>
          <w:szCs w:val="22"/>
        </w:rPr>
        <w:t>to the FHLB’s housing finance mission</w:t>
      </w:r>
      <w:r>
        <w:rPr>
          <w:rFonts w:ascii="Arial" w:hAnsi="Arial" w:cs="Arial"/>
          <w:sz w:val="22"/>
          <w:szCs w:val="22"/>
        </w:rPr>
        <w:t xml:space="preserve"> -- especially if it’s implemented without revisions similar to what we have suggested in this letter</w:t>
      </w:r>
      <w:r w:rsidR="00A9081F" w:rsidRPr="00532954">
        <w:rPr>
          <w:rFonts w:ascii="Arial" w:hAnsi="Arial" w:cs="Arial"/>
          <w:sz w:val="22"/>
          <w:szCs w:val="22"/>
        </w:rPr>
        <w:t xml:space="preserve">.  With the potential loss of </w:t>
      </w:r>
      <w:r w:rsidR="00347D70" w:rsidRPr="00532954">
        <w:rPr>
          <w:rFonts w:ascii="Arial" w:hAnsi="Arial" w:cs="Arial"/>
          <w:sz w:val="22"/>
          <w:szCs w:val="22"/>
        </w:rPr>
        <w:t>funding access</w:t>
      </w:r>
      <w:r w:rsidR="00A9081F" w:rsidRPr="00532954">
        <w:rPr>
          <w:rFonts w:ascii="Arial" w:hAnsi="Arial" w:cs="Arial"/>
          <w:sz w:val="22"/>
          <w:szCs w:val="22"/>
        </w:rPr>
        <w:t>, credit unions may not have th</w:t>
      </w:r>
      <w:r w:rsidR="00347D70" w:rsidRPr="00532954">
        <w:rPr>
          <w:rFonts w:ascii="Arial" w:hAnsi="Arial" w:cs="Arial"/>
          <w:sz w:val="22"/>
          <w:szCs w:val="22"/>
        </w:rPr>
        <w:t xml:space="preserve">e capacity to provide mortgage lending services to their members, subsequently decreasing the availability of options for mortgage financing in </w:t>
      </w:r>
      <w:r w:rsidR="00532954" w:rsidRPr="00532954">
        <w:rPr>
          <w:rFonts w:ascii="Arial" w:hAnsi="Arial" w:cs="Arial"/>
          <w:sz w:val="22"/>
          <w:szCs w:val="22"/>
        </w:rPr>
        <w:t>communities across the United States.</w:t>
      </w:r>
    </w:p>
    <w:p w:rsidR="00D73829" w:rsidRPr="00532954" w:rsidRDefault="00D73829" w:rsidP="00666F4F">
      <w:pPr>
        <w:rPr>
          <w:sz w:val="22"/>
          <w:szCs w:val="22"/>
        </w:rPr>
      </w:pPr>
    </w:p>
    <w:p w:rsidR="00274366" w:rsidRPr="00532954" w:rsidRDefault="00274366" w:rsidP="00274366">
      <w:pPr>
        <w:rPr>
          <w:rFonts w:ascii="Arial" w:hAnsi="Arial" w:cs="Arial"/>
          <w:sz w:val="22"/>
          <w:szCs w:val="22"/>
        </w:rPr>
      </w:pPr>
      <w:r w:rsidRPr="00532954">
        <w:rPr>
          <w:rFonts w:ascii="Arial" w:hAnsi="Arial" w:cs="Arial"/>
          <w:sz w:val="22"/>
          <w:szCs w:val="22"/>
        </w:rPr>
        <w:t xml:space="preserve">Sincerely, </w:t>
      </w:r>
      <w:r w:rsidR="0005160F" w:rsidRPr="00532954">
        <w:rPr>
          <w:rFonts w:ascii="Arial" w:hAnsi="Arial" w:cs="Arial"/>
          <w:sz w:val="22"/>
          <w:szCs w:val="22"/>
        </w:rPr>
        <w:t xml:space="preserve"> </w:t>
      </w:r>
    </w:p>
    <w:p w:rsidR="00274366" w:rsidRPr="00532954" w:rsidRDefault="00274366" w:rsidP="00274366">
      <w:pPr>
        <w:rPr>
          <w:rFonts w:ascii="Arial" w:hAnsi="Arial" w:cs="Arial"/>
          <w:sz w:val="22"/>
          <w:szCs w:val="22"/>
        </w:rPr>
      </w:pPr>
      <w:r w:rsidRPr="00532954">
        <w:rPr>
          <w:rFonts w:ascii="Arial" w:hAnsi="Arial" w:cs="Arial"/>
          <w:noProof/>
          <w:sz w:val="22"/>
          <w:szCs w:val="22"/>
        </w:rPr>
        <w:drawing>
          <wp:inline distT="0" distB="0" distL="0" distR="0" wp14:anchorId="2D4C1872" wp14:editId="5B529DA9">
            <wp:extent cx="1076325" cy="781050"/>
            <wp:effectExtent l="0" t="0" r="9525" b="0"/>
            <wp:docPr id="3" name="Picture 3" descr="C:\Users\kpm\AppData\Local\Microsoft\Windows\Temporary Internet Files\Content.Outlook\CY8YNPQT\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pm\AppData\Local\Microsoft\Windows\Temporary Internet Files\Content.Outlook\CY8YNPQT\K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325" cy="781050"/>
                    </a:xfrm>
                    <a:prstGeom prst="rect">
                      <a:avLst/>
                    </a:prstGeom>
                    <a:noFill/>
                    <a:ln>
                      <a:noFill/>
                    </a:ln>
                  </pic:spPr>
                </pic:pic>
              </a:graphicData>
            </a:graphic>
          </wp:inline>
        </w:drawing>
      </w:r>
    </w:p>
    <w:p w:rsidR="00274366" w:rsidRPr="00532954" w:rsidRDefault="00274366" w:rsidP="00274366">
      <w:pPr>
        <w:rPr>
          <w:rFonts w:ascii="Arial" w:hAnsi="Arial" w:cs="Arial"/>
          <w:sz w:val="22"/>
          <w:szCs w:val="22"/>
        </w:rPr>
      </w:pPr>
      <w:r w:rsidRPr="00532954">
        <w:rPr>
          <w:rFonts w:ascii="Arial" w:hAnsi="Arial" w:cs="Arial"/>
          <w:sz w:val="22"/>
          <w:szCs w:val="22"/>
        </w:rPr>
        <w:t>Ken Ross</w:t>
      </w:r>
    </w:p>
    <w:p w:rsidR="005C234A" w:rsidRPr="00532954" w:rsidRDefault="00274366" w:rsidP="0089615E">
      <w:pPr>
        <w:rPr>
          <w:rFonts w:ascii="Arial" w:hAnsi="Arial" w:cs="Arial"/>
          <w:sz w:val="22"/>
          <w:szCs w:val="22"/>
        </w:rPr>
      </w:pPr>
      <w:r w:rsidRPr="00532954">
        <w:rPr>
          <w:rFonts w:ascii="Arial" w:hAnsi="Arial" w:cs="Arial"/>
          <w:sz w:val="22"/>
          <w:szCs w:val="22"/>
        </w:rPr>
        <w:t xml:space="preserve">Executive Vice </w:t>
      </w:r>
      <w:proofErr w:type="gramStart"/>
      <w:r w:rsidR="00CE1EA1" w:rsidRPr="00532954">
        <w:rPr>
          <w:rFonts w:ascii="Arial" w:hAnsi="Arial" w:cs="Arial"/>
          <w:sz w:val="22"/>
          <w:szCs w:val="22"/>
        </w:rPr>
        <w:t>President &amp;</w:t>
      </w:r>
      <w:proofErr w:type="gramEnd"/>
      <w:r w:rsidR="00CE1EA1">
        <w:rPr>
          <w:rFonts w:ascii="Arial" w:hAnsi="Arial" w:cs="Arial"/>
          <w:sz w:val="22"/>
          <w:szCs w:val="22"/>
        </w:rPr>
        <w:t xml:space="preserve"> </w:t>
      </w:r>
      <w:r w:rsidRPr="00532954">
        <w:rPr>
          <w:rFonts w:ascii="Arial" w:hAnsi="Arial" w:cs="Arial"/>
          <w:sz w:val="22"/>
          <w:szCs w:val="22"/>
        </w:rPr>
        <w:t>Chief Operating Officer</w:t>
      </w:r>
    </w:p>
    <w:sectPr w:rsidR="005C234A" w:rsidRPr="00532954" w:rsidSect="00A80096">
      <w:headerReference w:type="default" r:id="rId10"/>
      <w:headerReference w:type="first" r:id="rId11"/>
      <w:footerReference w:type="first" r:id="rId12"/>
      <w:pgSz w:w="12240" w:h="15840"/>
      <w:pgMar w:top="1440" w:right="1440" w:bottom="1440" w:left="1440" w:header="432" w:footer="28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1B0" w:rsidRDefault="00CF71B0">
      <w:r>
        <w:separator/>
      </w:r>
    </w:p>
  </w:endnote>
  <w:endnote w:type="continuationSeparator" w:id="0">
    <w:p w:rsidR="00CF71B0" w:rsidRDefault="00CF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888" w:rsidRDefault="00850D10" w:rsidP="006D6D65">
    <w:r>
      <w:rPr>
        <w:noProof/>
      </w:rPr>
      <mc:AlternateContent>
        <mc:Choice Requires="wps">
          <w:drawing>
            <wp:anchor distT="0" distB="0" distL="114300" distR="114300" simplePos="0" relativeHeight="251657728" behindDoc="0" locked="0" layoutInCell="1" allowOverlap="1">
              <wp:simplePos x="0" y="0"/>
              <wp:positionH relativeFrom="column">
                <wp:posOffset>430530</wp:posOffset>
              </wp:positionH>
              <wp:positionV relativeFrom="paragraph">
                <wp:posOffset>71120</wp:posOffset>
              </wp:positionV>
              <wp:extent cx="6343650" cy="0"/>
              <wp:effectExtent l="20955" t="23495" r="26670" b="2413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straightConnector1">
                        <a:avLst/>
                      </a:prstGeom>
                      <a:noFill/>
                      <a:ln w="3810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F0D3E9D" id="_x0000_t32" coordsize="21600,21600" o:spt="32" o:oned="t" path="m,l21600,21600e" filled="f">
              <v:path arrowok="t" fillok="f" o:connecttype="none"/>
              <o:lock v:ext="edit" shapetype="t"/>
            </v:shapetype>
            <v:shape id="AutoShape 1" o:spid="_x0000_s1026" type="#_x0000_t32" style="position:absolute;margin-left:33.9pt;margin-top:5.6pt;width:49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" strokecolor="#0070c0" strokeweight="3pt">
              <v:shadow color="#243f60" opacity=".5" offset="1pt"/>
            </v:shape>
          </w:pict>
        </mc:Fallback>
      </mc:AlternateContent>
    </w:r>
  </w:p>
  <w:p w:rsidR="006D6D65" w:rsidRPr="000B56A8" w:rsidRDefault="006D6D65" w:rsidP="002F6888">
    <w:pPr>
      <w:pStyle w:val="Footer"/>
      <w:jc w:val="center"/>
      <w:rPr>
        <w:rFonts w:ascii="Calibri" w:hAnsi="Calibri"/>
        <w:color w:val="0070C0"/>
        <w:sz w:val="20"/>
        <w:szCs w:val="20"/>
      </w:rPr>
    </w:pPr>
    <w:r w:rsidRPr="000B56A8">
      <w:rPr>
        <w:rFonts w:ascii="Calibri" w:hAnsi="Calibri"/>
        <w:color w:val="0070C0"/>
        <w:sz w:val="20"/>
        <w:szCs w:val="20"/>
      </w:rPr>
      <w:t>Headquarters: 101 S. Washington Square, Suite 900, Lansing MI 48933-1703</w:t>
    </w:r>
  </w:p>
  <w:p w:rsidR="006D6D65" w:rsidRPr="000B56A8" w:rsidRDefault="006D6D65" w:rsidP="002F6888">
    <w:pPr>
      <w:pStyle w:val="Footer"/>
      <w:jc w:val="center"/>
      <w:rPr>
        <w:rFonts w:ascii="Calibri" w:hAnsi="Calibri"/>
        <w:color w:val="0070C0"/>
        <w:sz w:val="20"/>
        <w:szCs w:val="20"/>
      </w:rPr>
    </w:pPr>
    <w:r w:rsidRPr="000B56A8">
      <w:rPr>
        <w:rFonts w:ascii="Calibri" w:hAnsi="Calibri"/>
        <w:color w:val="0070C0"/>
        <w:sz w:val="20"/>
        <w:szCs w:val="20"/>
      </w:rPr>
      <w:t>Mailing Address: P.O. Box 8054, Plymouth, MI 48152-7097</w:t>
    </w:r>
  </w:p>
  <w:p w:rsidR="006D6D65" w:rsidRPr="000B56A8" w:rsidRDefault="006D6D65" w:rsidP="006D6D65">
    <w:pPr>
      <w:pStyle w:val="Footer"/>
      <w:jc w:val="center"/>
      <w:rPr>
        <w:rFonts w:ascii="Calibri" w:hAnsi="Calibri"/>
        <w:color w:val="0070C0"/>
        <w:sz w:val="20"/>
        <w:szCs w:val="20"/>
      </w:rPr>
    </w:pPr>
    <w:r w:rsidRPr="000B56A8">
      <w:rPr>
        <w:rFonts w:ascii="Calibri" w:hAnsi="Calibri"/>
        <w:color w:val="0070C0"/>
        <w:sz w:val="20"/>
        <w:szCs w:val="20"/>
      </w:rPr>
      <w:t>Toll-Free: 800.262.6285 • Web: mcul.org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1B0" w:rsidRDefault="00CF71B0">
      <w:r>
        <w:separator/>
      </w:r>
    </w:p>
  </w:footnote>
  <w:footnote w:type="continuationSeparator" w:id="0">
    <w:p w:rsidR="00CF71B0" w:rsidRDefault="00CF7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C62" w:rsidRDefault="003512D2" w:rsidP="00483C62">
    <w:pPr>
      <w:autoSpaceDE w:val="0"/>
      <w:autoSpaceDN w:val="0"/>
      <w:adjustRightInd w:val="0"/>
      <w:jc w:val="both"/>
      <w:rPr>
        <w:rFonts w:ascii="Arial" w:hAnsi="Arial" w:cs="Arial"/>
      </w:rPr>
    </w:pPr>
    <w:r>
      <w:rPr>
        <w:rFonts w:ascii="Arial" w:hAnsi="Arial" w:cs="Arial"/>
      </w:rPr>
      <w:t xml:space="preserve">Mr. </w:t>
    </w:r>
    <w:r w:rsidR="00135306">
      <w:rPr>
        <w:rFonts w:ascii="Arial" w:hAnsi="Arial" w:cs="Arial"/>
      </w:rPr>
      <w:t>Alfred M. Pollard, General Counsel</w:t>
    </w:r>
  </w:p>
  <w:p w:rsidR="00DC47CB" w:rsidRDefault="00135306" w:rsidP="00DC47CB">
    <w:pPr>
      <w:autoSpaceDE w:val="0"/>
      <w:autoSpaceDN w:val="0"/>
      <w:adjustRightInd w:val="0"/>
      <w:jc w:val="both"/>
      <w:rPr>
        <w:rFonts w:ascii="Arial" w:hAnsi="Arial" w:cs="Arial"/>
      </w:rPr>
    </w:pPr>
    <w:r>
      <w:rPr>
        <w:rFonts w:ascii="Arial" w:hAnsi="Arial" w:cs="Arial"/>
      </w:rPr>
      <w:t>Federal Housing Finance Agency</w:t>
    </w:r>
  </w:p>
  <w:p w:rsidR="00DC47CB" w:rsidRDefault="00E75ED9" w:rsidP="00DC47CB">
    <w:pPr>
      <w:autoSpaceDE w:val="0"/>
      <w:autoSpaceDN w:val="0"/>
      <w:adjustRightInd w:val="0"/>
      <w:jc w:val="both"/>
      <w:rPr>
        <w:rFonts w:ascii="Arial" w:hAnsi="Arial" w:cs="Arial"/>
      </w:rPr>
    </w:pPr>
    <w:r>
      <w:rPr>
        <w:rFonts w:ascii="Arial" w:hAnsi="Arial" w:cs="Arial"/>
      </w:rPr>
      <w:t>January 9</w:t>
    </w:r>
    <w:r w:rsidR="00135306">
      <w:rPr>
        <w:rFonts w:ascii="Arial" w:hAnsi="Arial" w:cs="Arial"/>
      </w:rPr>
      <w:t>, 2015</w:t>
    </w:r>
  </w:p>
  <w:p w:rsidR="00DC47CB" w:rsidRDefault="00DC47CB" w:rsidP="00DC47CB">
    <w:pPr>
      <w:pStyle w:val="Header"/>
      <w:rPr>
        <w:rFonts w:ascii="Arial" w:hAnsi="Arial" w:cs="Arial"/>
      </w:rPr>
    </w:pPr>
    <w:r>
      <w:rPr>
        <w:rFonts w:ascii="Arial" w:hAnsi="Arial" w:cs="Arial"/>
      </w:rPr>
      <w:t xml:space="preserve">Page </w:t>
    </w:r>
    <w:r w:rsidRPr="0085320D">
      <w:rPr>
        <w:rFonts w:ascii="Arial" w:hAnsi="Arial" w:cs="Arial"/>
      </w:rPr>
      <w:fldChar w:fldCharType="begin"/>
    </w:r>
    <w:r w:rsidRPr="0085320D">
      <w:rPr>
        <w:rFonts w:ascii="Arial" w:hAnsi="Arial" w:cs="Arial"/>
      </w:rPr>
      <w:instrText xml:space="preserve"> PAGE   \* MERGEFORMAT </w:instrText>
    </w:r>
    <w:r w:rsidRPr="0085320D">
      <w:rPr>
        <w:rFonts w:ascii="Arial" w:hAnsi="Arial" w:cs="Arial"/>
      </w:rPr>
      <w:fldChar w:fldCharType="separate"/>
    </w:r>
    <w:r w:rsidR="00E75ED9">
      <w:rPr>
        <w:rFonts w:ascii="Arial" w:hAnsi="Arial" w:cs="Arial"/>
        <w:noProof/>
      </w:rPr>
      <w:t>3</w:t>
    </w:r>
    <w:r w:rsidRPr="0085320D">
      <w:rPr>
        <w:rFonts w:ascii="Arial" w:hAnsi="Arial" w:cs="Arial"/>
      </w:rPr>
      <w:fldChar w:fldCharType="end"/>
    </w:r>
  </w:p>
  <w:p w:rsidR="00DC47CB" w:rsidRDefault="00DC47CB">
    <w:pPr>
      <w:pStyle w:val="Header"/>
    </w:pPr>
  </w:p>
  <w:p w:rsidR="00DC47CB" w:rsidRDefault="00DC47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888" w:rsidRDefault="00850D10" w:rsidP="002F6888">
    <w:pPr>
      <w:pStyle w:val="Header"/>
      <w:jc w:val="center"/>
    </w:pPr>
    <w:r>
      <w:rPr>
        <w:noProof/>
      </w:rPr>
      <w:drawing>
        <wp:inline distT="0" distB="0" distL="0" distR="0">
          <wp:extent cx="7219950" cy="1200150"/>
          <wp:effectExtent l="0" t="0" r="0" b="0"/>
          <wp:docPr id="1" name="Picture 1" descr="MCUL &amp; Affiliates 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UL &amp; Affiliates header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0" cy="1200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096C7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374B808"/>
    <w:lvl w:ilvl="0">
      <w:start w:val="1"/>
      <w:numFmt w:val="decimal"/>
      <w:lvlText w:val="%1."/>
      <w:lvlJc w:val="left"/>
      <w:pPr>
        <w:tabs>
          <w:tab w:val="num" w:pos="1800"/>
        </w:tabs>
        <w:ind w:left="1800" w:hanging="360"/>
      </w:pPr>
    </w:lvl>
  </w:abstractNum>
  <w:abstractNum w:abstractNumId="2">
    <w:nsid w:val="FFFFFF7D"/>
    <w:multiLevelType w:val="singleLevel"/>
    <w:tmpl w:val="B004363E"/>
    <w:lvl w:ilvl="0">
      <w:start w:val="1"/>
      <w:numFmt w:val="decimal"/>
      <w:lvlText w:val="%1."/>
      <w:lvlJc w:val="left"/>
      <w:pPr>
        <w:tabs>
          <w:tab w:val="num" w:pos="1440"/>
        </w:tabs>
        <w:ind w:left="1440" w:hanging="360"/>
      </w:pPr>
    </w:lvl>
  </w:abstractNum>
  <w:abstractNum w:abstractNumId="3">
    <w:nsid w:val="FFFFFF7E"/>
    <w:multiLevelType w:val="singleLevel"/>
    <w:tmpl w:val="514C452C"/>
    <w:lvl w:ilvl="0">
      <w:start w:val="1"/>
      <w:numFmt w:val="decimal"/>
      <w:lvlText w:val="%1."/>
      <w:lvlJc w:val="left"/>
      <w:pPr>
        <w:tabs>
          <w:tab w:val="num" w:pos="1080"/>
        </w:tabs>
        <w:ind w:left="1080" w:hanging="360"/>
      </w:pPr>
    </w:lvl>
  </w:abstractNum>
  <w:abstractNum w:abstractNumId="4">
    <w:nsid w:val="FFFFFF7F"/>
    <w:multiLevelType w:val="singleLevel"/>
    <w:tmpl w:val="7E643A76"/>
    <w:lvl w:ilvl="0">
      <w:start w:val="1"/>
      <w:numFmt w:val="decimal"/>
      <w:lvlText w:val="%1."/>
      <w:lvlJc w:val="left"/>
      <w:pPr>
        <w:tabs>
          <w:tab w:val="num" w:pos="720"/>
        </w:tabs>
        <w:ind w:left="720" w:hanging="360"/>
      </w:pPr>
    </w:lvl>
  </w:abstractNum>
  <w:abstractNum w:abstractNumId="5">
    <w:nsid w:val="FFFFFF80"/>
    <w:multiLevelType w:val="singleLevel"/>
    <w:tmpl w:val="032850D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72A599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891C8EF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BFACD3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630EC80"/>
    <w:lvl w:ilvl="0">
      <w:start w:val="1"/>
      <w:numFmt w:val="decimal"/>
      <w:lvlText w:val="%1."/>
      <w:lvlJc w:val="left"/>
      <w:pPr>
        <w:tabs>
          <w:tab w:val="num" w:pos="360"/>
        </w:tabs>
        <w:ind w:left="360" w:hanging="360"/>
      </w:pPr>
    </w:lvl>
  </w:abstractNum>
  <w:abstractNum w:abstractNumId="10">
    <w:nsid w:val="FFFFFF89"/>
    <w:multiLevelType w:val="singleLevel"/>
    <w:tmpl w:val="4B28B580"/>
    <w:lvl w:ilvl="0">
      <w:start w:val="1"/>
      <w:numFmt w:val="bullet"/>
      <w:lvlText w:val=""/>
      <w:lvlJc w:val="left"/>
      <w:pPr>
        <w:tabs>
          <w:tab w:val="num" w:pos="360"/>
        </w:tabs>
        <w:ind w:left="360" w:hanging="360"/>
      </w:pPr>
      <w:rPr>
        <w:rFonts w:ascii="Symbol" w:hAnsi="Symbol" w:hint="default"/>
      </w:rPr>
    </w:lvl>
  </w:abstractNum>
  <w:abstractNum w:abstractNumId="11">
    <w:nsid w:val="1D822E69"/>
    <w:multiLevelType w:val="hybridMultilevel"/>
    <w:tmpl w:val="38185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7B3E64"/>
    <w:multiLevelType w:val="hybridMultilevel"/>
    <w:tmpl w:val="0B66A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079"/>
    <w:rsid w:val="00000FA6"/>
    <w:rsid w:val="00012475"/>
    <w:rsid w:val="00024935"/>
    <w:rsid w:val="00030E3C"/>
    <w:rsid w:val="000367A5"/>
    <w:rsid w:val="00041304"/>
    <w:rsid w:val="00044FC9"/>
    <w:rsid w:val="000456E4"/>
    <w:rsid w:val="0005160F"/>
    <w:rsid w:val="000522C1"/>
    <w:rsid w:val="00052EDA"/>
    <w:rsid w:val="00055FFA"/>
    <w:rsid w:val="00060496"/>
    <w:rsid w:val="00060EB5"/>
    <w:rsid w:val="0009542B"/>
    <w:rsid w:val="000A11BE"/>
    <w:rsid w:val="000A4C7F"/>
    <w:rsid w:val="000B56A8"/>
    <w:rsid w:val="000B6798"/>
    <w:rsid w:val="000C24DB"/>
    <w:rsid w:val="000F559C"/>
    <w:rsid w:val="00102F2A"/>
    <w:rsid w:val="00111964"/>
    <w:rsid w:val="00113BC9"/>
    <w:rsid w:val="001177FE"/>
    <w:rsid w:val="00127833"/>
    <w:rsid w:val="00135306"/>
    <w:rsid w:val="00141951"/>
    <w:rsid w:val="00142083"/>
    <w:rsid w:val="001427AA"/>
    <w:rsid w:val="0015354B"/>
    <w:rsid w:val="00161DF8"/>
    <w:rsid w:val="001621EE"/>
    <w:rsid w:val="00166F43"/>
    <w:rsid w:val="0018412E"/>
    <w:rsid w:val="001855F1"/>
    <w:rsid w:val="001920CF"/>
    <w:rsid w:val="001B33D5"/>
    <w:rsid w:val="001C16C3"/>
    <w:rsid w:val="001C4D29"/>
    <w:rsid w:val="001E5A1B"/>
    <w:rsid w:val="001F3BF4"/>
    <w:rsid w:val="00203DDC"/>
    <w:rsid w:val="00212D2E"/>
    <w:rsid w:val="002170EB"/>
    <w:rsid w:val="00233619"/>
    <w:rsid w:val="002348DC"/>
    <w:rsid w:val="002505EF"/>
    <w:rsid w:val="00262343"/>
    <w:rsid w:val="00274366"/>
    <w:rsid w:val="0028197B"/>
    <w:rsid w:val="002C4FD0"/>
    <w:rsid w:val="002C4FE3"/>
    <w:rsid w:val="002E441D"/>
    <w:rsid w:val="002F6888"/>
    <w:rsid w:val="0032045D"/>
    <w:rsid w:val="00324DC4"/>
    <w:rsid w:val="00347D70"/>
    <w:rsid w:val="003512D2"/>
    <w:rsid w:val="00351C3B"/>
    <w:rsid w:val="00380602"/>
    <w:rsid w:val="00381D03"/>
    <w:rsid w:val="00382772"/>
    <w:rsid w:val="0038678C"/>
    <w:rsid w:val="00390754"/>
    <w:rsid w:val="003B16E0"/>
    <w:rsid w:val="003B63BA"/>
    <w:rsid w:val="003B7A9E"/>
    <w:rsid w:val="003C135C"/>
    <w:rsid w:val="003C4AE6"/>
    <w:rsid w:val="003D1FA3"/>
    <w:rsid w:val="003D35B6"/>
    <w:rsid w:val="003F1133"/>
    <w:rsid w:val="003F1B36"/>
    <w:rsid w:val="003F4A59"/>
    <w:rsid w:val="004106DF"/>
    <w:rsid w:val="004141C0"/>
    <w:rsid w:val="00423A82"/>
    <w:rsid w:val="0043443D"/>
    <w:rsid w:val="00441DEC"/>
    <w:rsid w:val="0048023F"/>
    <w:rsid w:val="00483C62"/>
    <w:rsid w:val="00497DBD"/>
    <w:rsid w:val="004D14D6"/>
    <w:rsid w:val="0051177F"/>
    <w:rsid w:val="00532954"/>
    <w:rsid w:val="00544D7A"/>
    <w:rsid w:val="00565F9B"/>
    <w:rsid w:val="00570535"/>
    <w:rsid w:val="005717CE"/>
    <w:rsid w:val="005858DA"/>
    <w:rsid w:val="0059064F"/>
    <w:rsid w:val="00594412"/>
    <w:rsid w:val="0059441A"/>
    <w:rsid w:val="00596D5A"/>
    <w:rsid w:val="005B0562"/>
    <w:rsid w:val="005C234A"/>
    <w:rsid w:val="005E244D"/>
    <w:rsid w:val="005F3A2C"/>
    <w:rsid w:val="0060090D"/>
    <w:rsid w:val="00603C17"/>
    <w:rsid w:val="00611816"/>
    <w:rsid w:val="006133F9"/>
    <w:rsid w:val="00613DEC"/>
    <w:rsid w:val="00615A8E"/>
    <w:rsid w:val="00630FD6"/>
    <w:rsid w:val="00633E09"/>
    <w:rsid w:val="006445F8"/>
    <w:rsid w:val="00654F0D"/>
    <w:rsid w:val="006551A5"/>
    <w:rsid w:val="00656AB9"/>
    <w:rsid w:val="00666F4F"/>
    <w:rsid w:val="00682C27"/>
    <w:rsid w:val="006A0DE0"/>
    <w:rsid w:val="006B4CA9"/>
    <w:rsid w:val="006D6D65"/>
    <w:rsid w:val="006E4006"/>
    <w:rsid w:val="006E6A5E"/>
    <w:rsid w:val="006E6A74"/>
    <w:rsid w:val="006F549D"/>
    <w:rsid w:val="00702B1C"/>
    <w:rsid w:val="00707685"/>
    <w:rsid w:val="007219AD"/>
    <w:rsid w:val="0072340B"/>
    <w:rsid w:val="007276D1"/>
    <w:rsid w:val="00736212"/>
    <w:rsid w:val="007404A8"/>
    <w:rsid w:val="00741E0E"/>
    <w:rsid w:val="00742D7B"/>
    <w:rsid w:val="007563ED"/>
    <w:rsid w:val="00760276"/>
    <w:rsid w:val="00766386"/>
    <w:rsid w:val="00766A17"/>
    <w:rsid w:val="0077453E"/>
    <w:rsid w:val="00774FEE"/>
    <w:rsid w:val="0077635E"/>
    <w:rsid w:val="00780DC6"/>
    <w:rsid w:val="00791278"/>
    <w:rsid w:val="00793AAB"/>
    <w:rsid w:val="007E14BB"/>
    <w:rsid w:val="008171D6"/>
    <w:rsid w:val="00837236"/>
    <w:rsid w:val="00843F0B"/>
    <w:rsid w:val="00850D10"/>
    <w:rsid w:val="00850EC8"/>
    <w:rsid w:val="00866D59"/>
    <w:rsid w:val="00872A3C"/>
    <w:rsid w:val="00874354"/>
    <w:rsid w:val="00877649"/>
    <w:rsid w:val="0089615E"/>
    <w:rsid w:val="008A1F57"/>
    <w:rsid w:val="008A361A"/>
    <w:rsid w:val="008A3D25"/>
    <w:rsid w:val="008B53AD"/>
    <w:rsid w:val="008C08F9"/>
    <w:rsid w:val="008D0814"/>
    <w:rsid w:val="008F1B7B"/>
    <w:rsid w:val="008F5376"/>
    <w:rsid w:val="00902789"/>
    <w:rsid w:val="009047CA"/>
    <w:rsid w:val="0091293A"/>
    <w:rsid w:val="0091569E"/>
    <w:rsid w:val="009260EC"/>
    <w:rsid w:val="009318C8"/>
    <w:rsid w:val="00942341"/>
    <w:rsid w:val="00952C7C"/>
    <w:rsid w:val="00960EB6"/>
    <w:rsid w:val="0096479F"/>
    <w:rsid w:val="009751EF"/>
    <w:rsid w:val="009760AE"/>
    <w:rsid w:val="009877DD"/>
    <w:rsid w:val="009B2680"/>
    <w:rsid w:val="009B4BDC"/>
    <w:rsid w:val="009C40AD"/>
    <w:rsid w:val="009C4F3B"/>
    <w:rsid w:val="009D0FAE"/>
    <w:rsid w:val="009F003B"/>
    <w:rsid w:val="009F4BB1"/>
    <w:rsid w:val="009F570B"/>
    <w:rsid w:val="009F7BA9"/>
    <w:rsid w:val="00A02A4E"/>
    <w:rsid w:val="00A042C4"/>
    <w:rsid w:val="00A11AF0"/>
    <w:rsid w:val="00A176BB"/>
    <w:rsid w:val="00A200A9"/>
    <w:rsid w:val="00A405BB"/>
    <w:rsid w:val="00A45B6F"/>
    <w:rsid w:val="00A64B9A"/>
    <w:rsid w:val="00A704DB"/>
    <w:rsid w:val="00A72109"/>
    <w:rsid w:val="00A733A4"/>
    <w:rsid w:val="00A80096"/>
    <w:rsid w:val="00A9081F"/>
    <w:rsid w:val="00A93AAB"/>
    <w:rsid w:val="00A954E2"/>
    <w:rsid w:val="00AA1C93"/>
    <w:rsid w:val="00AA2157"/>
    <w:rsid w:val="00AA2958"/>
    <w:rsid w:val="00AA5B5A"/>
    <w:rsid w:val="00AD0E59"/>
    <w:rsid w:val="00AD7058"/>
    <w:rsid w:val="00AE6079"/>
    <w:rsid w:val="00B019B5"/>
    <w:rsid w:val="00B06F2B"/>
    <w:rsid w:val="00B0720D"/>
    <w:rsid w:val="00B14F33"/>
    <w:rsid w:val="00B17A4A"/>
    <w:rsid w:val="00B32E98"/>
    <w:rsid w:val="00B3716D"/>
    <w:rsid w:val="00B5631E"/>
    <w:rsid w:val="00B64FC3"/>
    <w:rsid w:val="00BA11AF"/>
    <w:rsid w:val="00BB0B90"/>
    <w:rsid w:val="00BB7EC0"/>
    <w:rsid w:val="00BC04DE"/>
    <w:rsid w:val="00BC1298"/>
    <w:rsid w:val="00BC6B6A"/>
    <w:rsid w:val="00BE0A15"/>
    <w:rsid w:val="00C02E19"/>
    <w:rsid w:val="00C04CFB"/>
    <w:rsid w:val="00C06F86"/>
    <w:rsid w:val="00C14FE3"/>
    <w:rsid w:val="00C151AF"/>
    <w:rsid w:val="00C17B68"/>
    <w:rsid w:val="00C21620"/>
    <w:rsid w:val="00C27E4D"/>
    <w:rsid w:val="00C346C7"/>
    <w:rsid w:val="00C34D32"/>
    <w:rsid w:val="00C36F83"/>
    <w:rsid w:val="00C42A56"/>
    <w:rsid w:val="00C4398B"/>
    <w:rsid w:val="00C504E1"/>
    <w:rsid w:val="00C82C7E"/>
    <w:rsid w:val="00CB7EF4"/>
    <w:rsid w:val="00CC39C4"/>
    <w:rsid w:val="00CC47D1"/>
    <w:rsid w:val="00CD604B"/>
    <w:rsid w:val="00CE1EA1"/>
    <w:rsid w:val="00CF07E3"/>
    <w:rsid w:val="00CF71B0"/>
    <w:rsid w:val="00D01C99"/>
    <w:rsid w:val="00D06808"/>
    <w:rsid w:val="00D10E5B"/>
    <w:rsid w:val="00D13709"/>
    <w:rsid w:val="00D13CCB"/>
    <w:rsid w:val="00D177F8"/>
    <w:rsid w:val="00D260D8"/>
    <w:rsid w:val="00D457F4"/>
    <w:rsid w:val="00D62235"/>
    <w:rsid w:val="00D642B5"/>
    <w:rsid w:val="00D66B61"/>
    <w:rsid w:val="00D67818"/>
    <w:rsid w:val="00D73829"/>
    <w:rsid w:val="00D85EE9"/>
    <w:rsid w:val="00D942D1"/>
    <w:rsid w:val="00DC10CC"/>
    <w:rsid w:val="00DC47CB"/>
    <w:rsid w:val="00DE3779"/>
    <w:rsid w:val="00E13F70"/>
    <w:rsid w:val="00E20074"/>
    <w:rsid w:val="00E3693F"/>
    <w:rsid w:val="00E627A3"/>
    <w:rsid w:val="00E63AE1"/>
    <w:rsid w:val="00E75D38"/>
    <w:rsid w:val="00E75ED9"/>
    <w:rsid w:val="00E76B78"/>
    <w:rsid w:val="00E83BCB"/>
    <w:rsid w:val="00E85B3A"/>
    <w:rsid w:val="00E90FF5"/>
    <w:rsid w:val="00E925ED"/>
    <w:rsid w:val="00EA1C14"/>
    <w:rsid w:val="00EC1D4A"/>
    <w:rsid w:val="00EC3A1C"/>
    <w:rsid w:val="00ED2DC4"/>
    <w:rsid w:val="00EE6BEA"/>
    <w:rsid w:val="00EE6F49"/>
    <w:rsid w:val="00F03C75"/>
    <w:rsid w:val="00F11801"/>
    <w:rsid w:val="00F13A9E"/>
    <w:rsid w:val="00F13B06"/>
    <w:rsid w:val="00F21621"/>
    <w:rsid w:val="00F27954"/>
    <w:rsid w:val="00F57480"/>
    <w:rsid w:val="00F65BFD"/>
    <w:rsid w:val="00F714E0"/>
    <w:rsid w:val="00F77B16"/>
    <w:rsid w:val="00F86C47"/>
    <w:rsid w:val="00F95E4A"/>
    <w:rsid w:val="00FD3312"/>
    <w:rsid w:val="00FD6CA1"/>
    <w:rsid w:val="00FE513B"/>
    <w:rsid w:val="00FF7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CFFEE7C0-0F7C-4906-AF7C-265852C0B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497DBD"/>
    <w:pPr>
      <w:keepNext/>
      <w:widowControl w:val="0"/>
      <w:tabs>
        <w:tab w:val="center" w:pos="5400"/>
      </w:tabs>
      <w:spacing w:line="237" w:lineRule="atLeast"/>
      <w:outlineLvl w:val="0"/>
    </w:pPr>
    <w:rPr>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2863"/>
    <w:pPr>
      <w:tabs>
        <w:tab w:val="center" w:pos="4320"/>
        <w:tab w:val="right" w:pos="8640"/>
      </w:tabs>
    </w:pPr>
  </w:style>
  <w:style w:type="paragraph" w:styleId="Footer">
    <w:name w:val="footer"/>
    <w:basedOn w:val="Normal"/>
    <w:semiHidden/>
    <w:rsid w:val="005B2863"/>
    <w:pPr>
      <w:tabs>
        <w:tab w:val="center" w:pos="4320"/>
        <w:tab w:val="right" w:pos="8640"/>
      </w:tabs>
    </w:pPr>
  </w:style>
  <w:style w:type="character" w:customStyle="1" w:styleId="Heading1Char">
    <w:name w:val="Heading 1 Char"/>
    <w:link w:val="Heading1"/>
    <w:rsid w:val="00497DBD"/>
    <w:rPr>
      <w:b/>
      <w:snapToGrid w:val="0"/>
    </w:rPr>
  </w:style>
  <w:style w:type="paragraph" w:styleId="BodyText">
    <w:name w:val="Body Text"/>
    <w:basedOn w:val="Normal"/>
    <w:link w:val="BodyTextChar"/>
    <w:rsid w:val="00497DBD"/>
    <w:pPr>
      <w:widowControl w:val="0"/>
      <w:snapToGrid w:val="0"/>
    </w:pPr>
    <w:rPr>
      <w:b/>
      <w:bCs/>
      <w:snapToGrid w:val="0"/>
      <w:sz w:val="18"/>
      <w:szCs w:val="20"/>
    </w:rPr>
  </w:style>
  <w:style w:type="character" w:customStyle="1" w:styleId="BodyTextChar">
    <w:name w:val="Body Text Char"/>
    <w:link w:val="BodyText"/>
    <w:rsid w:val="00497DBD"/>
    <w:rPr>
      <w:b/>
      <w:bCs/>
      <w:snapToGrid w:val="0"/>
      <w:sz w:val="18"/>
    </w:rPr>
  </w:style>
  <w:style w:type="character" w:styleId="Hyperlink">
    <w:name w:val="Hyperlink"/>
    <w:uiPriority w:val="99"/>
    <w:unhideWhenUsed/>
    <w:rsid w:val="008A361A"/>
    <w:rPr>
      <w:color w:val="0563C1"/>
      <w:u w:val="single"/>
    </w:rPr>
  </w:style>
  <w:style w:type="paragraph" w:customStyle="1" w:styleId="Default">
    <w:name w:val="Default"/>
    <w:rsid w:val="008A361A"/>
    <w:pPr>
      <w:autoSpaceDE w:val="0"/>
      <w:autoSpaceDN w:val="0"/>
      <w:adjustRightInd w:val="0"/>
    </w:pPr>
    <w:rPr>
      <w:rFonts w:eastAsia="Calibri"/>
      <w:color w:val="000000"/>
      <w:sz w:val="24"/>
      <w:szCs w:val="24"/>
    </w:rPr>
  </w:style>
  <w:style w:type="character" w:customStyle="1" w:styleId="HeaderChar">
    <w:name w:val="Header Char"/>
    <w:basedOn w:val="DefaultParagraphFont"/>
    <w:link w:val="Header"/>
    <w:uiPriority w:val="99"/>
    <w:rsid w:val="00DC47CB"/>
    <w:rPr>
      <w:sz w:val="24"/>
      <w:szCs w:val="24"/>
    </w:rPr>
  </w:style>
  <w:style w:type="paragraph" w:styleId="BalloonText">
    <w:name w:val="Balloon Text"/>
    <w:basedOn w:val="Normal"/>
    <w:link w:val="BalloonTextChar"/>
    <w:uiPriority w:val="99"/>
    <w:semiHidden/>
    <w:unhideWhenUsed/>
    <w:rsid w:val="00D85EE9"/>
    <w:rPr>
      <w:rFonts w:ascii="Tahoma" w:hAnsi="Tahoma" w:cs="Tahoma"/>
      <w:sz w:val="16"/>
      <w:szCs w:val="16"/>
    </w:rPr>
  </w:style>
  <w:style w:type="character" w:customStyle="1" w:styleId="BalloonTextChar">
    <w:name w:val="Balloon Text Char"/>
    <w:basedOn w:val="DefaultParagraphFont"/>
    <w:link w:val="BalloonText"/>
    <w:uiPriority w:val="99"/>
    <w:semiHidden/>
    <w:rsid w:val="00D85EE9"/>
    <w:rPr>
      <w:rFonts w:ascii="Tahoma" w:hAnsi="Tahoma" w:cs="Tahoma"/>
      <w:sz w:val="16"/>
      <w:szCs w:val="16"/>
    </w:rPr>
  </w:style>
  <w:style w:type="paragraph" w:styleId="FootnoteText">
    <w:name w:val="footnote text"/>
    <w:basedOn w:val="Normal"/>
    <w:link w:val="FootnoteTextChar"/>
    <w:uiPriority w:val="99"/>
    <w:semiHidden/>
    <w:unhideWhenUsed/>
    <w:rsid w:val="00774FEE"/>
    <w:rPr>
      <w:sz w:val="20"/>
      <w:szCs w:val="20"/>
    </w:rPr>
  </w:style>
  <w:style w:type="character" w:customStyle="1" w:styleId="FootnoteTextChar">
    <w:name w:val="Footnote Text Char"/>
    <w:basedOn w:val="DefaultParagraphFont"/>
    <w:link w:val="FootnoteText"/>
    <w:uiPriority w:val="99"/>
    <w:semiHidden/>
    <w:rsid w:val="00774FEE"/>
  </w:style>
  <w:style w:type="character" w:styleId="FootnoteReference">
    <w:name w:val="footnote reference"/>
    <w:basedOn w:val="DefaultParagraphFont"/>
    <w:uiPriority w:val="99"/>
    <w:semiHidden/>
    <w:unhideWhenUsed/>
    <w:rsid w:val="00774FEE"/>
    <w:rPr>
      <w:vertAlign w:val="superscript"/>
    </w:rPr>
  </w:style>
  <w:style w:type="character" w:styleId="FollowedHyperlink">
    <w:name w:val="FollowedHyperlink"/>
    <w:basedOn w:val="DefaultParagraphFont"/>
    <w:uiPriority w:val="99"/>
    <w:semiHidden/>
    <w:unhideWhenUsed/>
    <w:rsid w:val="00141951"/>
    <w:rPr>
      <w:color w:val="954F72" w:themeColor="followedHyperlink"/>
      <w:u w:val="single"/>
    </w:rPr>
  </w:style>
  <w:style w:type="paragraph" w:styleId="ListParagraph">
    <w:name w:val="List Paragraph"/>
    <w:basedOn w:val="Normal"/>
    <w:uiPriority w:val="34"/>
    <w:qFormat/>
    <w:rsid w:val="00F574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fhfa.gov/open-for-comment-or-inpu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A9B700-088E-4DF0-8325-B6AAD0330A55}"/>
</file>

<file path=customXml/itemProps2.xml><?xml version="1.0" encoding="utf-8"?>
<ds:datastoreItem xmlns:ds="http://schemas.openxmlformats.org/officeDocument/2006/customXml" ds:itemID="{492C3212-3E38-46D4-87F0-098A498FCE1F}"/>
</file>

<file path=customXml/itemProps3.xml><?xml version="1.0" encoding="utf-8"?>
<ds:datastoreItem xmlns:ds="http://schemas.openxmlformats.org/officeDocument/2006/customXml" ds:itemID="{1C8AA56E-43A6-4621-A872-4F543E66055E}"/>
</file>

<file path=customXml/itemProps4.xml><?xml version="1.0" encoding="utf-8"?>
<ds:datastoreItem xmlns:ds="http://schemas.openxmlformats.org/officeDocument/2006/customXml" ds:itemID="{58609A8F-20D8-47DD-9E58-B448B23948E3}"/>
</file>

<file path=docProps/app.xml><?xml version="1.0" encoding="utf-8"?>
<Properties xmlns="http://schemas.openxmlformats.org/officeDocument/2006/extended-properties" xmlns:vt="http://schemas.openxmlformats.org/officeDocument/2006/docPropsVTypes">
  <Template>Normal</Template>
  <TotalTime>2</TotalTime>
  <Pages>3</Pages>
  <Words>1382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MCUL</Company>
  <LinksUpToDate>false</LinksUpToDate>
  <CharactersWithSpaces>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Schock</dc:creator>
  <cp:keywords/>
  <dc:description/>
  <cp:lastModifiedBy>Glory LeDu</cp:lastModifiedBy>
  <cp:revision>3</cp:revision>
  <cp:lastPrinted>2014-12-22T23:13:00Z</cp:lastPrinted>
  <dcterms:created xsi:type="dcterms:W3CDTF">2015-01-09T17:55:00Z</dcterms:created>
  <dcterms:modified xsi:type="dcterms:W3CDTF">2015-01-09T17:56:00Z</dcterms:modified>
</cp:coreProperties>
</file>