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C4F" w:rsidRDefault="0005163D" w:rsidP="005678CF">
      <w:pPr>
        <w:ind w:left="-720"/>
      </w:pPr>
      <w:r>
        <w:rPr>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32.45pt;margin-top:71.7pt;width:529.7pt;height:583.5pt;z-index:251657728;mso-width-relative:margin;mso-height-relative:margin" filled="f" stroked="f" strokeweight="0">
            <v:textbox>
              <w:txbxContent>
                <w:p w:rsidR="004921E7" w:rsidRDefault="00B46CA7" w:rsidP="00A30D1A">
                  <w:pPr>
                    <w:spacing w:after="0" w:line="240" w:lineRule="auto"/>
                    <w:rPr>
                      <w:rFonts w:ascii="Times New Roman" w:hAnsi="Times New Roman" w:cs="Times New Roman"/>
                      <w:sz w:val="24"/>
                      <w:szCs w:val="24"/>
                    </w:rPr>
                  </w:pPr>
                  <w:r>
                    <w:rPr>
                      <w:rFonts w:ascii="Times New Roman" w:hAnsi="Times New Roman" w:cs="Times New Roman"/>
                      <w:sz w:val="24"/>
                      <w:szCs w:val="24"/>
                    </w:rPr>
                    <w:t>January 5, 2015</w:t>
                  </w:r>
                </w:p>
                <w:p w:rsidR="004921E7" w:rsidRDefault="004921E7" w:rsidP="00A30D1A">
                  <w:pPr>
                    <w:spacing w:after="0" w:line="240" w:lineRule="auto"/>
                    <w:rPr>
                      <w:rFonts w:ascii="Times New Roman" w:hAnsi="Times New Roman" w:cs="Times New Roman"/>
                      <w:sz w:val="24"/>
                      <w:szCs w:val="24"/>
                    </w:rPr>
                  </w:pPr>
                </w:p>
                <w:p w:rsidR="00710121" w:rsidRDefault="00710121" w:rsidP="00A30D1A">
                  <w:pPr>
                    <w:spacing w:after="0" w:line="240" w:lineRule="auto"/>
                    <w:rPr>
                      <w:rFonts w:ascii="Times New Roman" w:hAnsi="Times New Roman" w:cs="Times New Roman"/>
                      <w:sz w:val="24"/>
                      <w:szCs w:val="24"/>
                    </w:rPr>
                  </w:pPr>
                  <w:r>
                    <w:rPr>
                      <w:rFonts w:ascii="Times New Roman" w:hAnsi="Times New Roman" w:cs="Times New Roman"/>
                      <w:sz w:val="24"/>
                      <w:szCs w:val="24"/>
                    </w:rPr>
                    <w:t>The Honorable Mel Watt</w:t>
                  </w:r>
                </w:p>
                <w:p w:rsidR="00710121" w:rsidRDefault="00710121" w:rsidP="00A30D1A">
                  <w:pPr>
                    <w:spacing w:after="0" w:line="240" w:lineRule="auto"/>
                    <w:rPr>
                      <w:rFonts w:ascii="Times New Roman" w:hAnsi="Times New Roman" w:cs="Times New Roman"/>
                      <w:sz w:val="24"/>
                      <w:szCs w:val="24"/>
                    </w:rPr>
                  </w:pPr>
                  <w:r>
                    <w:rPr>
                      <w:rFonts w:ascii="Times New Roman" w:hAnsi="Times New Roman" w:cs="Times New Roman"/>
                      <w:sz w:val="24"/>
                      <w:szCs w:val="24"/>
                    </w:rPr>
                    <w:t>Director</w:t>
                  </w:r>
                </w:p>
                <w:p w:rsidR="00710121" w:rsidRDefault="00710121" w:rsidP="00A30D1A">
                  <w:pPr>
                    <w:spacing w:after="0" w:line="240" w:lineRule="auto"/>
                    <w:rPr>
                      <w:rFonts w:ascii="Times New Roman" w:hAnsi="Times New Roman" w:cs="Times New Roman"/>
                      <w:sz w:val="24"/>
                      <w:szCs w:val="24"/>
                    </w:rPr>
                  </w:pPr>
                  <w:r>
                    <w:rPr>
                      <w:rFonts w:ascii="Times New Roman" w:hAnsi="Times New Roman" w:cs="Times New Roman"/>
                      <w:sz w:val="24"/>
                      <w:szCs w:val="24"/>
                    </w:rPr>
                    <w:t>Federal Housing Finance Agency</w:t>
                  </w:r>
                </w:p>
                <w:p w:rsidR="00710121" w:rsidRDefault="00710121" w:rsidP="00A30D1A">
                  <w:pPr>
                    <w:spacing w:after="0" w:line="240" w:lineRule="auto"/>
                    <w:rPr>
                      <w:rFonts w:ascii="Times New Roman" w:hAnsi="Times New Roman" w:cs="Times New Roman"/>
                      <w:sz w:val="24"/>
                      <w:szCs w:val="24"/>
                    </w:rPr>
                  </w:pPr>
                  <w:r>
                    <w:rPr>
                      <w:rFonts w:ascii="Times New Roman" w:hAnsi="Times New Roman" w:cs="Times New Roman"/>
                      <w:sz w:val="24"/>
                      <w:szCs w:val="24"/>
                    </w:rPr>
                    <w:t>400 7</w:t>
                  </w:r>
                  <w:r w:rsidRPr="00C342A1">
                    <w:rPr>
                      <w:rFonts w:ascii="Times New Roman" w:hAnsi="Times New Roman" w:cs="Times New Roman"/>
                      <w:sz w:val="24"/>
                      <w:szCs w:val="24"/>
                      <w:vertAlign w:val="superscript"/>
                    </w:rPr>
                    <w:t>th</w:t>
                  </w:r>
                  <w:r>
                    <w:rPr>
                      <w:rFonts w:ascii="Times New Roman" w:hAnsi="Times New Roman" w:cs="Times New Roman"/>
                      <w:sz w:val="24"/>
                      <w:szCs w:val="24"/>
                    </w:rPr>
                    <w:t xml:space="preserve"> Street, SW</w:t>
                  </w:r>
                </w:p>
                <w:p w:rsidR="00710121" w:rsidRDefault="00710121" w:rsidP="00A30D1A">
                  <w:pPr>
                    <w:spacing w:after="0" w:line="240" w:lineRule="auto"/>
                    <w:rPr>
                      <w:rFonts w:ascii="Times New Roman" w:hAnsi="Times New Roman" w:cs="Times New Roman"/>
                      <w:sz w:val="24"/>
                      <w:szCs w:val="24"/>
                    </w:rPr>
                  </w:pPr>
                  <w:r>
                    <w:rPr>
                      <w:rFonts w:ascii="Times New Roman" w:hAnsi="Times New Roman" w:cs="Times New Roman"/>
                      <w:sz w:val="24"/>
                      <w:szCs w:val="24"/>
                    </w:rPr>
                    <w:t>Washington, DC 20024</w:t>
                  </w:r>
                </w:p>
                <w:p w:rsidR="00710121" w:rsidRDefault="00710121" w:rsidP="00A30D1A">
                  <w:pPr>
                    <w:spacing w:after="0" w:line="240" w:lineRule="auto"/>
                    <w:rPr>
                      <w:rFonts w:ascii="Times New Roman" w:hAnsi="Times New Roman" w:cs="Times New Roman"/>
                      <w:sz w:val="24"/>
                      <w:szCs w:val="24"/>
                    </w:rPr>
                  </w:pPr>
                </w:p>
                <w:p w:rsidR="00710121" w:rsidRDefault="00710121" w:rsidP="00A30D1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Submitted via e-mail:  </w:t>
                  </w:r>
                  <w:hyperlink r:id="rId7" w:history="1">
                    <w:r w:rsidRPr="0097715C">
                      <w:rPr>
                        <w:rStyle w:val="Hyperlink"/>
                        <w:rFonts w:ascii="Times New Roman" w:hAnsi="Times New Roman" w:cs="Times New Roman"/>
                        <w:sz w:val="24"/>
                        <w:szCs w:val="24"/>
                      </w:rPr>
                      <w:t>director@fhfa.gov</w:t>
                    </w:r>
                  </w:hyperlink>
                </w:p>
                <w:p w:rsidR="00710121" w:rsidRDefault="00710121" w:rsidP="00A30D1A">
                  <w:pPr>
                    <w:spacing w:after="0" w:line="240" w:lineRule="auto"/>
                    <w:rPr>
                      <w:rFonts w:ascii="Times New Roman" w:hAnsi="Times New Roman" w:cs="Times New Roman"/>
                      <w:sz w:val="24"/>
                      <w:szCs w:val="24"/>
                    </w:rPr>
                  </w:pPr>
                </w:p>
                <w:p w:rsidR="00710121" w:rsidRDefault="00710121" w:rsidP="00A30D1A">
                  <w:pPr>
                    <w:spacing w:after="0" w:line="240" w:lineRule="auto"/>
                    <w:rPr>
                      <w:rFonts w:ascii="Times New Roman" w:hAnsi="Times New Roman" w:cs="Times New Roman"/>
                      <w:sz w:val="24"/>
                      <w:szCs w:val="24"/>
                    </w:rPr>
                  </w:pPr>
                  <w:r>
                    <w:rPr>
                      <w:rFonts w:ascii="Times New Roman" w:hAnsi="Times New Roman" w:cs="Times New Roman"/>
                      <w:sz w:val="24"/>
                      <w:szCs w:val="24"/>
                    </w:rPr>
                    <w:t>Re:  Proposed Rule RIN 2590-AA39 Members of Federal Home Loan Banks</w:t>
                  </w:r>
                </w:p>
                <w:p w:rsidR="00710121" w:rsidRDefault="00710121" w:rsidP="00A30D1A">
                  <w:pPr>
                    <w:spacing w:after="0" w:line="240" w:lineRule="auto"/>
                    <w:rPr>
                      <w:rFonts w:ascii="Times New Roman" w:hAnsi="Times New Roman" w:cs="Times New Roman"/>
                      <w:sz w:val="24"/>
                      <w:szCs w:val="24"/>
                    </w:rPr>
                  </w:pPr>
                </w:p>
                <w:p w:rsidR="00710121" w:rsidRDefault="00710121" w:rsidP="00A30D1A">
                  <w:pPr>
                    <w:spacing w:after="0" w:line="240" w:lineRule="auto"/>
                    <w:rPr>
                      <w:rFonts w:ascii="Times New Roman" w:hAnsi="Times New Roman" w:cs="Times New Roman"/>
                      <w:sz w:val="24"/>
                      <w:szCs w:val="24"/>
                    </w:rPr>
                  </w:pPr>
                  <w:r>
                    <w:rPr>
                      <w:rFonts w:ascii="Times New Roman" w:hAnsi="Times New Roman" w:cs="Times New Roman"/>
                      <w:sz w:val="24"/>
                      <w:szCs w:val="24"/>
                    </w:rPr>
                    <w:t>Dear Director Watt:</w:t>
                  </w:r>
                </w:p>
                <w:p w:rsidR="00710121" w:rsidRDefault="00710121" w:rsidP="00A30D1A">
                  <w:pPr>
                    <w:spacing w:after="0" w:line="240" w:lineRule="auto"/>
                    <w:rPr>
                      <w:rFonts w:ascii="Times New Roman" w:hAnsi="Times New Roman" w:cs="Times New Roman"/>
                      <w:sz w:val="24"/>
                      <w:szCs w:val="24"/>
                    </w:rPr>
                  </w:pPr>
                </w:p>
                <w:p w:rsidR="00710121" w:rsidRDefault="00710121" w:rsidP="00A30D1A">
                  <w:pPr>
                    <w:spacing w:line="240" w:lineRule="auto"/>
                    <w:rPr>
                      <w:rFonts w:ascii="Times New Roman" w:hAnsi="Times New Roman" w:cs="Times New Roman"/>
                      <w:sz w:val="24"/>
                      <w:szCs w:val="24"/>
                    </w:rPr>
                  </w:pPr>
                  <w:r>
                    <w:rPr>
                      <w:rFonts w:ascii="Times New Roman" w:hAnsi="Times New Roman" w:cs="Times New Roman"/>
                      <w:sz w:val="24"/>
                      <w:szCs w:val="24"/>
                    </w:rPr>
                    <w:t>On behalf of the Virginia Cred</w:t>
                  </w:r>
                  <w:r w:rsidR="00B46CA7">
                    <w:rPr>
                      <w:rFonts w:ascii="Times New Roman" w:hAnsi="Times New Roman" w:cs="Times New Roman"/>
                      <w:sz w:val="24"/>
                      <w:szCs w:val="24"/>
                    </w:rPr>
                    <w:t>it Union League, I wish to provide comments on the proposed referenced rule</w:t>
                  </w:r>
                  <w:r>
                    <w:rPr>
                      <w:rFonts w:ascii="Times New Roman" w:hAnsi="Times New Roman" w:cs="Times New Roman"/>
                      <w:sz w:val="24"/>
                      <w:szCs w:val="24"/>
                    </w:rPr>
                    <w:t xml:space="preserve">.  </w:t>
                  </w:r>
                  <w:r w:rsidR="00B46CA7">
                    <w:rPr>
                      <w:rFonts w:ascii="Times New Roman" w:hAnsi="Times New Roman" w:cs="Times New Roman"/>
                      <w:sz w:val="24"/>
                      <w:szCs w:val="24"/>
                    </w:rPr>
                    <w:t>As background, t</w:t>
                  </w:r>
                  <w:r w:rsidRPr="00AA410C">
                    <w:rPr>
                      <w:rFonts w:ascii="Times New Roman" w:eastAsia="Calibri" w:hAnsi="Times New Roman" w:cs="Times New Roman"/>
                      <w:sz w:val="24"/>
                      <w:szCs w:val="24"/>
                    </w:rPr>
                    <w:t>he Virginia Credit Union League is the state association providing regulatory and legislative advocacy support for the Commonwealth’s 1</w:t>
                  </w:r>
                  <w:r>
                    <w:rPr>
                      <w:rFonts w:ascii="Times New Roman" w:hAnsi="Times New Roman" w:cs="Times New Roman"/>
                      <w:sz w:val="24"/>
                      <w:szCs w:val="24"/>
                    </w:rPr>
                    <w:t>6</w:t>
                  </w:r>
                  <w:r w:rsidRPr="00AA410C">
                    <w:rPr>
                      <w:rFonts w:ascii="Times New Roman" w:eastAsia="Calibri" w:hAnsi="Times New Roman" w:cs="Times New Roman"/>
                      <w:sz w:val="24"/>
                      <w:szCs w:val="24"/>
                    </w:rPr>
                    <w:t xml:space="preserve">0 member-owned financial cooperatives.  </w:t>
                  </w:r>
                  <w:r>
                    <w:rPr>
                      <w:rFonts w:ascii="Times New Roman" w:hAnsi="Times New Roman" w:cs="Times New Roman"/>
                      <w:sz w:val="24"/>
                      <w:szCs w:val="24"/>
                    </w:rPr>
                    <w:t xml:space="preserve">More than 20% (34 credit unions) of our institutions are members of the Federal Home Loan Bank (FHLB).  In most cases, these are the largest credit unions in the state which hold the majority of assets. </w:t>
                  </w:r>
                  <w:r w:rsidR="00F57FAE">
                    <w:rPr>
                      <w:rFonts w:ascii="Times New Roman" w:hAnsi="Times New Roman" w:cs="Times New Roman"/>
                      <w:sz w:val="24"/>
                      <w:szCs w:val="24"/>
                    </w:rPr>
                    <w:t>However, the overwhelming majority are below $1 billion in assets.  O</w:t>
                  </w:r>
                  <w:r>
                    <w:rPr>
                      <w:rFonts w:ascii="Times New Roman" w:hAnsi="Times New Roman" w:cs="Times New Roman"/>
                      <w:sz w:val="24"/>
                      <w:szCs w:val="24"/>
                    </w:rPr>
                    <w:t>ur credit unions increasingly turn to the FHLB for balance sheet solutions including liquidity and interest-rate risk management.  Last year, Virginia credit unions obtained $10 billion in advances from the FHLB of Atlanta.</w:t>
                  </w:r>
                </w:p>
                <w:p w:rsidR="00C26A6B" w:rsidRDefault="00710121" w:rsidP="00A30D1A">
                  <w:pPr>
                    <w:spacing w:line="240" w:lineRule="auto"/>
                    <w:rPr>
                      <w:rFonts w:ascii="Times New Roman" w:hAnsi="Times New Roman" w:cs="Times New Roman"/>
                      <w:sz w:val="24"/>
                      <w:szCs w:val="24"/>
                    </w:rPr>
                  </w:pPr>
                  <w:r>
                    <w:rPr>
                      <w:rFonts w:ascii="Times New Roman" w:hAnsi="Times New Roman" w:cs="Times New Roman"/>
                      <w:sz w:val="24"/>
                      <w:szCs w:val="24"/>
                    </w:rPr>
                    <w:t xml:space="preserve">The proposed rule </w:t>
                  </w:r>
                  <w:r w:rsidR="00B46CA7">
                    <w:rPr>
                      <w:rFonts w:ascii="Times New Roman" w:hAnsi="Times New Roman" w:cs="Times New Roman"/>
                      <w:sz w:val="24"/>
                      <w:szCs w:val="24"/>
                    </w:rPr>
                    <w:t>imposes new</w:t>
                  </w:r>
                  <w:r w:rsidR="001E2026">
                    <w:rPr>
                      <w:rFonts w:ascii="Times New Roman" w:hAnsi="Times New Roman" w:cs="Times New Roman"/>
                      <w:sz w:val="24"/>
                      <w:szCs w:val="24"/>
                    </w:rPr>
                    <w:t xml:space="preserve"> and </w:t>
                  </w:r>
                  <w:r w:rsidR="00B46CA7">
                    <w:rPr>
                      <w:rFonts w:ascii="Times New Roman" w:hAnsi="Times New Roman" w:cs="Times New Roman"/>
                      <w:sz w:val="24"/>
                      <w:szCs w:val="24"/>
                    </w:rPr>
                    <w:t>unnecessary regulatory burdens on FHLB members</w:t>
                  </w:r>
                  <w:r>
                    <w:rPr>
                      <w:rFonts w:ascii="Times New Roman" w:hAnsi="Times New Roman" w:cs="Times New Roman"/>
                      <w:sz w:val="24"/>
                      <w:szCs w:val="24"/>
                    </w:rPr>
                    <w:t xml:space="preserve">.  </w:t>
                  </w:r>
                  <w:r w:rsidR="00B46CA7">
                    <w:rPr>
                      <w:rFonts w:ascii="Times New Roman" w:hAnsi="Times New Roman" w:cs="Times New Roman"/>
                      <w:sz w:val="24"/>
                      <w:szCs w:val="24"/>
                    </w:rPr>
                    <w:t xml:space="preserve">We question the need for any change in FHLB membership for depository institutions at this time.  </w:t>
                  </w:r>
                  <w:r w:rsidR="00606E9E">
                    <w:rPr>
                      <w:rFonts w:ascii="Times New Roman" w:hAnsi="Times New Roman" w:cs="Times New Roman"/>
                      <w:sz w:val="24"/>
                      <w:szCs w:val="24"/>
                    </w:rPr>
                    <w:t xml:space="preserve">Particularly problematic </w:t>
                  </w:r>
                  <w:r w:rsidR="001E2026">
                    <w:rPr>
                      <w:rFonts w:ascii="Times New Roman" w:hAnsi="Times New Roman" w:cs="Times New Roman"/>
                      <w:sz w:val="24"/>
                      <w:szCs w:val="24"/>
                    </w:rPr>
                    <w:t>in</w:t>
                  </w:r>
                  <w:r w:rsidR="00606E9E">
                    <w:rPr>
                      <w:rFonts w:ascii="Times New Roman" w:hAnsi="Times New Roman" w:cs="Times New Roman"/>
                      <w:sz w:val="24"/>
                      <w:szCs w:val="24"/>
                    </w:rPr>
                    <w:t xml:space="preserve"> the proposal </w:t>
                  </w:r>
                  <w:r w:rsidR="001E2026">
                    <w:rPr>
                      <w:rFonts w:ascii="Times New Roman" w:hAnsi="Times New Roman" w:cs="Times New Roman"/>
                      <w:sz w:val="24"/>
                      <w:szCs w:val="24"/>
                    </w:rPr>
                    <w:t>is the mandate that</w:t>
                  </w:r>
                  <w:r w:rsidR="00606E9E">
                    <w:rPr>
                      <w:rFonts w:ascii="Times New Roman" w:hAnsi="Times New Roman" w:cs="Times New Roman"/>
                      <w:sz w:val="24"/>
                      <w:szCs w:val="24"/>
                    </w:rPr>
                    <w:t xml:space="preserve"> the initial FHLB membership requirements be met continuously.  In requiring a specified concentration in residential mortgages</w:t>
                  </w:r>
                  <w:r w:rsidR="001E2026">
                    <w:rPr>
                      <w:rFonts w:ascii="Times New Roman" w:hAnsi="Times New Roman" w:cs="Times New Roman"/>
                      <w:sz w:val="24"/>
                      <w:szCs w:val="24"/>
                    </w:rPr>
                    <w:t>,</w:t>
                  </w:r>
                  <w:r w:rsidR="00606E9E">
                    <w:rPr>
                      <w:rFonts w:ascii="Times New Roman" w:hAnsi="Times New Roman" w:cs="Times New Roman"/>
                      <w:sz w:val="24"/>
                      <w:szCs w:val="24"/>
                    </w:rPr>
                    <w:t xml:space="preserve"> the proposed regulation </w:t>
                  </w:r>
                  <w:r w:rsidR="001E2026">
                    <w:rPr>
                      <w:rFonts w:ascii="Times New Roman" w:hAnsi="Times New Roman" w:cs="Times New Roman"/>
                      <w:sz w:val="24"/>
                      <w:szCs w:val="24"/>
                    </w:rPr>
                    <w:t xml:space="preserve">is counter to </w:t>
                  </w:r>
                  <w:r w:rsidR="00E84CB5">
                    <w:rPr>
                      <w:rFonts w:ascii="Times New Roman" w:hAnsi="Times New Roman" w:cs="Times New Roman"/>
                      <w:sz w:val="24"/>
                      <w:szCs w:val="24"/>
                    </w:rPr>
                    <w:t>other regulations</w:t>
                  </w:r>
                  <w:r w:rsidR="001E2026">
                    <w:rPr>
                      <w:rFonts w:ascii="Times New Roman" w:hAnsi="Times New Roman" w:cs="Times New Roman"/>
                      <w:sz w:val="24"/>
                      <w:szCs w:val="24"/>
                    </w:rPr>
                    <w:t xml:space="preserve"> that govern the safety and soundness of credit unions </w:t>
                  </w:r>
                  <w:r w:rsidR="00C26A6B">
                    <w:rPr>
                      <w:rFonts w:ascii="Times New Roman" w:hAnsi="Times New Roman" w:cs="Times New Roman"/>
                      <w:sz w:val="24"/>
                      <w:szCs w:val="24"/>
                    </w:rPr>
                    <w:t>through</w:t>
                  </w:r>
                  <w:r w:rsidR="001E2026">
                    <w:rPr>
                      <w:rFonts w:ascii="Times New Roman" w:hAnsi="Times New Roman" w:cs="Times New Roman"/>
                      <w:sz w:val="24"/>
                      <w:szCs w:val="24"/>
                    </w:rPr>
                    <w:t xml:space="preserve"> limiting concentration risk.  The proposal would stand to limit the flexibility of credit unions to manage their balance sheets and respond to changing market conditions.</w:t>
                  </w:r>
                </w:p>
                <w:p w:rsidR="00C26A6B" w:rsidRDefault="00C26A6B" w:rsidP="00A30D1A">
                  <w:pPr>
                    <w:spacing w:line="240" w:lineRule="auto"/>
                    <w:rPr>
                      <w:rFonts w:ascii="Times New Roman" w:hAnsi="Times New Roman" w:cs="Times New Roman"/>
                      <w:sz w:val="24"/>
                      <w:szCs w:val="24"/>
                    </w:rPr>
                  </w:pPr>
                  <w:r>
                    <w:rPr>
                      <w:rFonts w:ascii="Times New Roman" w:hAnsi="Times New Roman" w:cs="Times New Roman"/>
                      <w:sz w:val="24"/>
                      <w:szCs w:val="24"/>
                    </w:rPr>
                    <w:t xml:space="preserve">The Virginia Credit Union League also believes that the proposed regulation unfairly disadvantages credit unions in that </w:t>
                  </w:r>
                  <w:r>
                    <w:rPr>
                      <w:rFonts w:ascii="Times New Roman" w:hAnsi="Times New Roman" w:cs="Times New Roman"/>
                      <w:i/>
                      <w:sz w:val="24"/>
                      <w:szCs w:val="24"/>
                    </w:rPr>
                    <w:t xml:space="preserve">all </w:t>
                  </w:r>
                  <w:r>
                    <w:rPr>
                      <w:rFonts w:ascii="Times New Roman" w:hAnsi="Times New Roman" w:cs="Times New Roman"/>
                      <w:sz w:val="24"/>
                      <w:szCs w:val="24"/>
                    </w:rPr>
                    <w:t xml:space="preserve">credit unions will have to meet the “10% test”.  By statute, banks with assets below $1 billion are exempt from this requirement as Community Financial Institutions (CFIs).  All credit unions should be treated as CFIs for purposes of </w:t>
                  </w:r>
                  <w:r w:rsidRPr="00C26A6B">
                    <w:rPr>
                      <w:rFonts w:ascii="Times New Roman" w:hAnsi="Times New Roman" w:cs="Times New Roman"/>
                      <w:i/>
                      <w:sz w:val="24"/>
                      <w:szCs w:val="24"/>
                    </w:rPr>
                    <w:t>maintaining</w:t>
                  </w:r>
                  <w:r>
                    <w:rPr>
                      <w:rFonts w:ascii="Times New Roman" w:hAnsi="Times New Roman" w:cs="Times New Roman"/>
                      <w:sz w:val="24"/>
                      <w:szCs w:val="24"/>
                    </w:rPr>
                    <w:t xml:space="preserve"> FHLB membership, and therefore only have to meet the 1% test on an ongoing basis.</w:t>
                  </w:r>
                </w:p>
                <w:p w:rsidR="00710121" w:rsidRDefault="00710121" w:rsidP="00A30D1A">
                  <w:pPr>
                    <w:spacing w:line="240" w:lineRule="auto"/>
                    <w:rPr>
                      <w:rFonts w:ascii="Times New Roman" w:hAnsi="Times New Roman" w:cs="Times New Roman"/>
                      <w:sz w:val="24"/>
                      <w:szCs w:val="24"/>
                    </w:rPr>
                  </w:pPr>
                  <w:r>
                    <w:rPr>
                      <w:rFonts w:ascii="Times New Roman" w:hAnsi="Times New Roman" w:cs="Times New Roman"/>
                      <w:sz w:val="24"/>
                      <w:szCs w:val="24"/>
                    </w:rPr>
                    <w:t>Sincerely,</w:t>
                  </w:r>
                </w:p>
                <w:p w:rsidR="00710121" w:rsidRDefault="00710121" w:rsidP="00A30D1A">
                  <w:pPr>
                    <w:spacing w:line="240" w:lineRule="auto"/>
                    <w:rPr>
                      <w:rFonts w:ascii="Times New Roman" w:hAnsi="Times New Roman" w:cs="Times New Roman"/>
                      <w:sz w:val="24"/>
                      <w:szCs w:val="24"/>
                    </w:rPr>
                  </w:pPr>
                  <w:r>
                    <w:rPr>
                      <w:rFonts w:ascii="Script MT Bold" w:hAnsi="Script MT Bold" w:cs="Times New Roman"/>
                      <w:sz w:val="24"/>
                      <w:szCs w:val="24"/>
                    </w:rPr>
                    <w:t>Richard D. Pillow</w:t>
                  </w:r>
                </w:p>
                <w:p w:rsidR="001C534C" w:rsidRDefault="00710121" w:rsidP="00A30D1A">
                  <w:pPr>
                    <w:spacing w:after="0" w:line="240" w:lineRule="auto"/>
                    <w:rPr>
                      <w:rFonts w:ascii="Times New Roman" w:hAnsi="Times New Roman" w:cs="Times New Roman"/>
                      <w:sz w:val="24"/>
                      <w:szCs w:val="24"/>
                    </w:rPr>
                  </w:pPr>
                  <w:r>
                    <w:rPr>
                      <w:rFonts w:ascii="Times New Roman" w:hAnsi="Times New Roman" w:cs="Times New Roman"/>
                      <w:sz w:val="24"/>
                      <w:szCs w:val="24"/>
                    </w:rPr>
                    <w:t>Rick Pillow</w:t>
                  </w:r>
                </w:p>
                <w:p w:rsidR="00710121" w:rsidRPr="00C342A1" w:rsidRDefault="00710121" w:rsidP="00A30D1A">
                  <w:pPr>
                    <w:spacing w:after="0" w:line="240" w:lineRule="auto"/>
                    <w:rPr>
                      <w:rFonts w:ascii="Times New Roman" w:hAnsi="Times New Roman" w:cs="Times New Roman"/>
                      <w:sz w:val="24"/>
                      <w:szCs w:val="24"/>
                    </w:rPr>
                  </w:pPr>
                  <w:r>
                    <w:rPr>
                      <w:rFonts w:ascii="Times New Roman" w:hAnsi="Times New Roman" w:cs="Times New Roman"/>
                      <w:sz w:val="24"/>
                      <w:szCs w:val="24"/>
                    </w:rPr>
                    <w:t>President/CEO</w:t>
                  </w:r>
                </w:p>
                <w:p w:rsidR="00F91597" w:rsidRPr="00710121" w:rsidRDefault="00F91597" w:rsidP="00710121"/>
              </w:txbxContent>
            </v:textbox>
          </v:shape>
        </w:pict>
      </w:r>
      <w:r w:rsidR="00710121">
        <w:rPr>
          <w:noProof/>
        </w:rPr>
        <w:drawing>
          <wp:inline distT="0" distB="0" distL="0" distR="0">
            <wp:extent cx="2628900" cy="752475"/>
            <wp:effectExtent l="19050" t="0" r="0" b="0"/>
            <wp:docPr id="1" name="Picture 0" descr="VACUL_logo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ACUL_logo_blue.png"/>
                    <pic:cNvPicPr>
                      <a:picLocks noChangeAspect="1" noChangeArrowheads="1"/>
                    </pic:cNvPicPr>
                  </pic:nvPicPr>
                  <pic:blipFill>
                    <a:blip r:embed="rId8" cstate="print"/>
                    <a:srcRect/>
                    <a:stretch>
                      <a:fillRect/>
                    </a:stretch>
                  </pic:blipFill>
                  <pic:spPr bwMode="auto">
                    <a:xfrm>
                      <a:off x="0" y="0"/>
                      <a:ext cx="2628900" cy="752475"/>
                    </a:xfrm>
                    <a:prstGeom prst="rect">
                      <a:avLst/>
                    </a:prstGeom>
                    <a:noFill/>
                    <a:ln w="9525">
                      <a:noFill/>
                      <a:miter lim="800000"/>
                      <a:headEnd/>
                      <a:tailEnd/>
                    </a:ln>
                  </pic:spPr>
                </pic:pic>
              </a:graphicData>
            </a:graphic>
          </wp:inline>
        </w:drawing>
      </w:r>
    </w:p>
    <w:sectPr w:rsidR="00930C4F" w:rsidSect="00F91597">
      <w:headerReference w:type="even" r:id="rId9"/>
      <w:headerReference w:type="default" r:id="rId10"/>
      <w:footerReference w:type="default" r:id="rId11"/>
      <w:headerReference w:type="first" r:id="rId12"/>
      <w:pgSz w:w="12240" w:h="15840"/>
      <w:pgMar w:top="9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9F6" w:rsidRDefault="00AB29F6" w:rsidP="005678CF">
      <w:r>
        <w:separator/>
      </w:r>
    </w:p>
  </w:endnote>
  <w:endnote w:type="continuationSeparator" w:id="0">
    <w:p w:rsidR="00AB29F6" w:rsidRDefault="00AB29F6" w:rsidP="00567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URWGroteskT">
    <w:altName w:val="Lucida Sans Unicode"/>
    <w:charset w:val="00"/>
    <w:family w:val="swiss"/>
    <w:pitch w:val="variable"/>
    <w:sig w:usb0="00000001" w:usb1="0000204A" w:usb2="00000000" w:usb3="00000000" w:csb0="00000011" w:csb1="00000000"/>
  </w:font>
  <w:font w:name="URWGroteskT-Regu">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8CF" w:rsidRPr="005678CF" w:rsidRDefault="005678CF" w:rsidP="005678CF">
    <w:pPr>
      <w:autoSpaceDE w:val="0"/>
      <w:autoSpaceDN w:val="0"/>
      <w:adjustRightInd w:val="0"/>
      <w:jc w:val="center"/>
      <w:rPr>
        <w:rFonts w:ascii="URWGroteskT" w:hAnsi="URWGroteskT" w:cs="URWGroteskT-Regu"/>
        <w:color w:val="003366"/>
        <w:sz w:val="18"/>
        <w:szCs w:val="18"/>
      </w:rPr>
    </w:pPr>
    <w:r w:rsidRPr="005678CF">
      <w:rPr>
        <w:rFonts w:ascii="URWGroteskT" w:hAnsi="URWGroteskT" w:cs="URWGroteskT-Regu"/>
        <w:color w:val="003366"/>
        <w:sz w:val="18"/>
        <w:szCs w:val="18"/>
      </w:rPr>
      <w:t>1207 Fenwick Drive Lynchburg, VA 24502 • PO Box 11469 Lynchburg, VA 24506</w:t>
    </w:r>
  </w:p>
  <w:p w:rsidR="005678CF" w:rsidRPr="005678CF" w:rsidRDefault="005678CF" w:rsidP="005678CF">
    <w:pPr>
      <w:autoSpaceDE w:val="0"/>
      <w:autoSpaceDN w:val="0"/>
      <w:adjustRightInd w:val="0"/>
      <w:jc w:val="center"/>
      <w:rPr>
        <w:rFonts w:ascii="URWGroteskT" w:hAnsi="URWGroteskT" w:cs="URWGroteskT-Regu"/>
        <w:color w:val="003366"/>
        <w:sz w:val="18"/>
        <w:szCs w:val="18"/>
      </w:rPr>
    </w:pPr>
    <w:r w:rsidRPr="005678CF">
      <w:rPr>
        <w:rFonts w:ascii="URWGroteskT" w:hAnsi="URWGroteskT" w:cs="URWGroteskT-Regu"/>
        <w:color w:val="003366"/>
        <w:sz w:val="18"/>
        <w:szCs w:val="18"/>
      </w:rPr>
      <w:t>P: 800 768 3344 • 434 237 9600 F: 434 239 8148 www.vacul.org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9F6" w:rsidRDefault="00AB29F6" w:rsidP="005678CF">
      <w:r>
        <w:separator/>
      </w:r>
    </w:p>
  </w:footnote>
  <w:footnote w:type="continuationSeparator" w:id="0">
    <w:p w:rsidR="00AB29F6" w:rsidRDefault="00AB29F6" w:rsidP="00567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8CF" w:rsidRDefault="0005163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763891" o:spid="_x0000_s2050" type="#_x0000_t75" style="position:absolute;margin-left:0;margin-top:0;width:703.15pt;height:747.3pt;z-index:-251658752;mso-position-horizontal:center;mso-position-horizontal-relative:margin;mso-position-vertical:center;mso-position-vertical-relative:margin" o:allowincell="f">
          <v:imagedata r:id="rId1" o:title="blue_dots_background"/>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8CF" w:rsidRDefault="0005163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763892" o:spid="_x0000_s2051" type="#_x0000_t75" style="position:absolute;margin-left:-159.6pt;margin-top:56.7pt;width:703.15pt;height:747.3pt;z-index:-251657728;mso-position-horizontal-relative:margin;mso-position-vertical-relative:margin" o:allowincell="f">
          <v:imagedata r:id="rId1" o:title="blue_dots_background"/>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8CF" w:rsidRDefault="0005163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763890" o:spid="_x0000_s2049" type="#_x0000_t75" style="position:absolute;margin-left:0;margin-top:0;width:703.15pt;height:747.3pt;z-index:-251659776;mso-position-horizontal:center;mso-position-horizontal-relative:margin;mso-position-vertical:center;mso-position-vertical-relative:margin" o:allowincell="f">
          <v:imagedata r:id="rId1" o:title="blue_dots_background"/>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1C534C"/>
    <w:rsid w:val="0005163D"/>
    <w:rsid w:val="00053CE0"/>
    <w:rsid w:val="00126A0A"/>
    <w:rsid w:val="00130C43"/>
    <w:rsid w:val="0014786E"/>
    <w:rsid w:val="001C534C"/>
    <w:rsid w:val="001E2026"/>
    <w:rsid w:val="003D3C9E"/>
    <w:rsid w:val="00467CE6"/>
    <w:rsid w:val="004921E7"/>
    <w:rsid w:val="005678CF"/>
    <w:rsid w:val="00606E9E"/>
    <w:rsid w:val="006342DF"/>
    <w:rsid w:val="00710121"/>
    <w:rsid w:val="00777F82"/>
    <w:rsid w:val="008F0638"/>
    <w:rsid w:val="00930C4F"/>
    <w:rsid w:val="00A30D1A"/>
    <w:rsid w:val="00AB29F6"/>
    <w:rsid w:val="00B46CA7"/>
    <w:rsid w:val="00C26A6B"/>
    <w:rsid w:val="00D52217"/>
    <w:rsid w:val="00E84CB5"/>
    <w:rsid w:val="00E87FA3"/>
    <w:rsid w:val="00F24731"/>
    <w:rsid w:val="00F26D17"/>
    <w:rsid w:val="00F57FAE"/>
    <w:rsid w:val="00F915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121"/>
    <w:pPr>
      <w:spacing w:after="200" w:line="276" w:lineRule="auto"/>
    </w:pPr>
    <w:rPr>
      <w:rFonts w:asciiTheme="minorHAnsi" w:eastAsiaTheme="minorHAnsi" w:hAnsiTheme="minorHAnsi" w:cstheme="minorBidi"/>
      <w:sz w:val="22"/>
      <w:szCs w:val="22"/>
    </w:rPr>
  </w:style>
  <w:style w:type="paragraph" w:styleId="Heading1">
    <w:name w:val="heading 1"/>
    <w:basedOn w:val="Normal"/>
    <w:link w:val="Heading1Char"/>
    <w:qFormat/>
    <w:rsid w:val="00E87FA3"/>
    <w:pPr>
      <w:spacing w:before="100" w:beforeAutospacing="1" w:after="100" w:afterAutospacing="1" w:line="240" w:lineRule="auto"/>
      <w:outlineLvl w:val="0"/>
    </w:pPr>
    <w:rPr>
      <w:rFonts w:ascii="Arial Unicode MS" w:eastAsia="Arial Unicode MS" w:hAnsi="Arial Unicode MS" w:cs="Arial Unicode MS"/>
      <w:b/>
      <w:bCs/>
      <w:kern w:val="36"/>
      <w:sz w:val="48"/>
      <w:szCs w:val="48"/>
    </w:rPr>
  </w:style>
  <w:style w:type="paragraph" w:styleId="Heading2">
    <w:name w:val="heading 2"/>
    <w:basedOn w:val="Normal"/>
    <w:link w:val="Heading2Char"/>
    <w:qFormat/>
    <w:rsid w:val="00E87FA3"/>
    <w:pPr>
      <w:spacing w:before="100" w:beforeAutospacing="1" w:after="100" w:afterAutospacing="1" w:line="240" w:lineRule="auto"/>
      <w:outlineLvl w:val="1"/>
    </w:pPr>
    <w:rPr>
      <w:rFonts w:ascii="Arial Unicode MS" w:eastAsia="Arial Unicode MS" w:hAnsi="Arial Unicode MS" w:cs="Arial Unicode M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RRENT">
    <w:name w:val="CURRENT"/>
    <w:basedOn w:val="Normal"/>
    <w:rsid w:val="00D52217"/>
    <w:pPr>
      <w:spacing w:after="0" w:line="240" w:lineRule="auto"/>
    </w:pPr>
    <w:rPr>
      <w:rFonts w:ascii="Verdana" w:eastAsia="Times New Roman" w:hAnsi="Verdana" w:cs="Arial"/>
      <w:sz w:val="20"/>
      <w:szCs w:val="20"/>
    </w:rPr>
  </w:style>
  <w:style w:type="character" w:customStyle="1" w:styleId="Heading1Char">
    <w:name w:val="Heading 1 Char"/>
    <w:basedOn w:val="DefaultParagraphFont"/>
    <w:link w:val="Heading1"/>
    <w:rsid w:val="00E87FA3"/>
    <w:rPr>
      <w:rFonts w:ascii="Arial Unicode MS" w:eastAsia="Arial Unicode MS" w:hAnsi="Arial Unicode MS" w:cs="Arial Unicode MS"/>
      <w:b/>
      <w:bCs/>
      <w:kern w:val="36"/>
      <w:sz w:val="48"/>
      <w:szCs w:val="48"/>
    </w:rPr>
  </w:style>
  <w:style w:type="character" w:customStyle="1" w:styleId="Heading2Char">
    <w:name w:val="Heading 2 Char"/>
    <w:basedOn w:val="DefaultParagraphFont"/>
    <w:link w:val="Heading2"/>
    <w:rsid w:val="00E87FA3"/>
    <w:rPr>
      <w:rFonts w:ascii="Arial Unicode MS" w:eastAsia="Arial Unicode MS" w:hAnsi="Arial Unicode MS" w:cs="Arial Unicode MS"/>
      <w:b/>
      <w:bCs/>
      <w:sz w:val="36"/>
      <w:szCs w:val="36"/>
    </w:rPr>
  </w:style>
  <w:style w:type="character" w:styleId="Strong">
    <w:name w:val="Strong"/>
    <w:basedOn w:val="DefaultParagraphFont"/>
    <w:qFormat/>
    <w:rsid w:val="00E87FA3"/>
    <w:rPr>
      <w:b/>
      <w:bCs/>
    </w:rPr>
  </w:style>
  <w:style w:type="character" w:styleId="Emphasis">
    <w:name w:val="Emphasis"/>
    <w:basedOn w:val="DefaultParagraphFont"/>
    <w:qFormat/>
    <w:rsid w:val="00E87FA3"/>
    <w:rPr>
      <w:i/>
      <w:iCs/>
    </w:rPr>
  </w:style>
  <w:style w:type="paragraph" w:styleId="BalloonText">
    <w:name w:val="Balloon Text"/>
    <w:basedOn w:val="Normal"/>
    <w:link w:val="BalloonTextChar"/>
    <w:uiPriority w:val="99"/>
    <w:semiHidden/>
    <w:unhideWhenUsed/>
    <w:rsid w:val="005678CF"/>
    <w:rPr>
      <w:rFonts w:ascii="Tahoma" w:hAnsi="Tahoma" w:cs="Tahoma"/>
      <w:sz w:val="16"/>
      <w:szCs w:val="16"/>
    </w:rPr>
  </w:style>
  <w:style w:type="character" w:customStyle="1" w:styleId="BalloonTextChar">
    <w:name w:val="Balloon Text Char"/>
    <w:basedOn w:val="DefaultParagraphFont"/>
    <w:link w:val="BalloonText"/>
    <w:uiPriority w:val="99"/>
    <w:semiHidden/>
    <w:rsid w:val="005678CF"/>
    <w:rPr>
      <w:rFonts w:ascii="Tahoma" w:hAnsi="Tahoma" w:cs="Tahoma"/>
      <w:sz w:val="16"/>
      <w:szCs w:val="16"/>
    </w:rPr>
  </w:style>
  <w:style w:type="paragraph" w:styleId="Header">
    <w:name w:val="header"/>
    <w:basedOn w:val="Normal"/>
    <w:link w:val="HeaderChar"/>
    <w:uiPriority w:val="99"/>
    <w:semiHidden/>
    <w:unhideWhenUsed/>
    <w:rsid w:val="005678CF"/>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5678CF"/>
    <w:rPr>
      <w:sz w:val="24"/>
      <w:szCs w:val="24"/>
    </w:rPr>
  </w:style>
  <w:style w:type="paragraph" w:styleId="Footer">
    <w:name w:val="footer"/>
    <w:basedOn w:val="Normal"/>
    <w:link w:val="FooterChar"/>
    <w:uiPriority w:val="99"/>
    <w:semiHidden/>
    <w:unhideWhenUsed/>
    <w:rsid w:val="005678CF"/>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rsid w:val="005678CF"/>
    <w:rPr>
      <w:sz w:val="24"/>
      <w:szCs w:val="24"/>
    </w:rPr>
  </w:style>
  <w:style w:type="character" w:styleId="Hyperlink">
    <w:name w:val="Hyperlink"/>
    <w:basedOn w:val="DefaultParagraphFont"/>
    <w:uiPriority w:val="99"/>
    <w:unhideWhenUsed/>
    <w:rsid w:val="0071012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rector@fhfa.gov" TargetMode="Externa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Office2000Templates\VACUL_letterhead_Word_Ver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FC9290-AB32-42AC-8694-B877FCE6AE92}"/>
</file>

<file path=customXml/itemProps2.xml><?xml version="1.0" encoding="utf-8"?>
<ds:datastoreItem xmlns:ds="http://schemas.openxmlformats.org/officeDocument/2006/customXml" ds:itemID="{020E9AF2-D3BD-4A05-9CAA-4D1A863C9830}"/>
</file>

<file path=customXml/itemProps3.xml><?xml version="1.0" encoding="utf-8"?>
<ds:datastoreItem xmlns:ds="http://schemas.openxmlformats.org/officeDocument/2006/customXml" ds:itemID="{553506D5-D23E-4AEB-BFAB-3A4FEC5A7009}"/>
</file>

<file path=customXml/itemProps4.xml><?xml version="1.0" encoding="utf-8"?>
<ds:datastoreItem xmlns:ds="http://schemas.openxmlformats.org/officeDocument/2006/customXml" ds:itemID="{BFCC1F82-BCE5-495E-9424-8665BF1AB4AF}"/>
</file>

<file path=docProps/app.xml><?xml version="1.0" encoding="utf-8"?>
<Properties xmlns="http://schemas.openxmlformats.org/officeDocument/2006/extended-properties" xmlns:vt="http://schemas.openxmlformats.org/officeDocument/2006/docPropsVTypes">
  <Template>VACUL_letterhead_Word_Version</Template>
  <TotalTime>2</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Virginia Credit Union League</Company>
  <LinksUpToDate>false</LinksUpToDate>
  <CharactersWithSpaces>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Miles</dc:creator>
  <cp:lastModifiedBy>David Miles</cp:lastModifiedBy>
  <cp:revision>2</cp:revision>
  <cp:lastPrinted>2015-01-05T19:24:00Z</cp:lastPrinted>
  <dcterms:created xsi:type="dcterms:W3CDTF">2015-01-06T19:56:00Z</dcterms:created>
  <dcterms:modified xsi:type="dcterms:W3CDTF">2015-01-06T19:56:00Z</dcterms:modified>
</cp:coreProperties>
</file>