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8EEB" w14:textId="5CABED2C" w:rsidR="00112251" w:rsidRPr="00112251" w:rsidRDefault="004A4D4B" w:rsidP="004A4D4B">
      <w:pPr>
        <w:rPr>
          <w:sz w:val="23"/>
          <w:szCs w:val="23"/>
        </w:rPr>
      </w:pPr>
      <w:r>
        <w:rPr>
          <w:sz w:val="23"/>
          <w:szCs w:val="23"/>
        </w:rPr>
        <w:t>December 19, 2014</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Pr="00D7779C" w:rsidRDefault="00D7779C" w:rsidP="00BA0D4F">
      <w:pPr>
        <w:pStyle w:val="NoSpacing"/>
        <w:rPr>
          <w:rFonts w:ascii="Times New Roman" w:hAnsi="Times New Roman" w:cs="Times New Roman"/>
          <w:sz w:val="23"/>
          <w:szCs w:val="23"/>
        </w:rPr>
      </w:pPr>
    </w:p>
    <w:p w14:paraId="360FE956" w14:textId="30D592EA" w:rsidR="004A4D4B" w:rsidRDefault="004A4D4B"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Our institution is a community bank located in Chicago with 41 million in total assets. We have been a member of the FHLB of Chicago for over 40 years.   We are a vital source of lending for our community, providing loan products for residential and commercial real estate.  As permitted under the FHLB Act, we use these loans as collateral to support our activities with the FHLB of Chicago.  </w:t>
      </w:r>
    </w:p>
    <w:p w14:paraId="1B775160" w14:textId="77777777" w:rsidR="004A4D4B" w:rsidRDefault="004A4D4B" w:rsidP="00BA0D4F">
      <w:pPr>
        <w:pStyle w:val="NoSpacing"/>
        <w:rPr>
          <w:rFonts w:ascii="Times New Roman" w:hAnsi="Times New Roman" w:cs="Times New Roman"/>
          <w:sz w:val="23"/>
          <w:szCs w:val="23"/>
        </w:rPr>
      </w:pPr>
    </w:p>
    <w:p w14:paraId="489B2E48" w14:textId="04B0721F"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lastRenderedPageBreak/>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competitive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maintain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lastRenderedPageBreak/>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w:t>
      </w:r>
      <w:r w:rsidR="00712786">
        <w:rPr>
          <w:rStyle w:val="s3"/>
          <w:rFonts w:ascii="Times New Roman" w:hAnsi="Times New Roman" w:cs="Times New Roman"/>
          <w:sz w:val="23"/>
          <w:szCs w:val="23"/>
        </w:rPr>
        <w:lastRenderedPageBreak/>
        <w:t xml:space="preserve">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w:t>
      </w:r>
      <w:r w:rsidR="000A5332">
        <w:rPr>
          <w:rFonts w:ascii="Times New Roman" w:hAnsi="Times New Roman" w:cs="Times New Roman"/>
          <w:sz w:val="23"/>
          <w:szCs w:val="23"/>
        </w:rPr>
        <w:lastRenderedPageBreak/>
        <w:t xml:space="preserve">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1C58F415"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6F1D8F">
        <w:rPr>
          <w:rFonts w:ascii="Times New Roman" w:hAnsi="Times New Roman" w:cs="Times New Roman"/>
          <w:sz w:val="23"/>
          <w:szCs w:val="23"/>
        </w:rPr>
        <w:t xml:space="preserve">, the </w:t>
      </w:r>
      <w:r w:rsidR="004A4D4B">
        <w:rPr>
          <w:rFonts w:ascii="Times New Roman" w:hAnsi="Times New Roman" w:cs="Times New Roman"/>
          <w:sz w:val="23"/>
          <w:szCs w:val="23"/>
        </w:rPr>
        <w:t xml:space="preserve"> FDIC and the State of Illinois</w:t>
      </w:r>
      <w:r w:rsidR="00BF4297">
        <w:rPr>
          <w:rFonts w:ascii="Times New Roman" w:hAnsi="Times New Roman" w:cs="Times New Roman"/>
          <w:color w:val="002060"/>
          <w:sz w:val="23"/>
          <w:szCs w:val="23"/>
        </w:rPr>
        <w:t xml:space="preserve">, </w:t>
      </w:r>
      <w:r w:rsidR="00BF4297" w:rsidRPr="00BF4297">
        <w:rPr>
          <w:rFonts w:ascii="Times New Roman" w:hAnsi="Times New Roman" w:cs="Times New Roman"/>
          <w:sz w:val="23"/>
          <w:szCs w:val="23"/>
        </w:rPr>
        <w:t xml:space="preserve">have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lastRenderedPageBreak/>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436D60">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small banks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72956EF2"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lastRenderedPageBreak/>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2049E1">
        <w:rPr>
          <w:rStyle w:val="s3"/>
          <w:rFonts w:ascii="Times New Roman" w:hAnsi="Times New Roman" w:cs="Times New Roman"/>
          <w:sz w:val="23"/>
          <w:szCs w:val="23"/>
        </w:rPr>
        <w:t xml:space="preserve">, our customers and the community of </w:t>
      </w:r>
      <w:r w:rsidR="004A4D4B">
        <w:rPr>
          <w:rStyle w:val="s3"/>
          <w:rFonts w:ascii="Times New Roman" w:hAnsi="Times New Roman" w:cs="Times New Roman"/>
          <w:sz w:val="23"/>
          <w:szCs w:val="23"/>
        </w:rPr>
        <w:t>Chicago</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41165DA4"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4A4D4B">
        <w:rPr>
          <w:rFonts w:ascii="Times New Roman" w:hAnsi="Times New Roman" w:cs="Times New Roman"/>
          <w:sz w:val="23"/>
          <w:szCs w:val="23"/>
        </w:rPr>
        <w:t>Jane M Rogocki</w:t>
      </w:r>
    </w:p>
    <w:p w14:paraId="012CF100" w14:textId="08549EF1"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4A4D4B">
        <w:rPr>
          <w:rFonts w:ascii="Times New Roman" w:hAnsi="Times New Roman" w:cs="Times New Roman"/>
          <w:sz w:val="23"/>
          <w:szCs w:val="23"/>
        </w:rPr>
        <w:t>SR VP, Secretary</w:t>
      </w:r>
    </w:p>
    <w:p w14:paraId="38F1F799" w14:textId="1E47EBD7" w:rsidR="00F6653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4A4D4B">
        <w:rPr>
          <w:rFonts w:ascii="Times New Roman" w:hAnsi="Times New Roman" w:cs="Times New Roman"/>
          <w:sz w:val="23"/>
          <w:szCs w:val="23"/>
        </w:rPr>
        <w:t>Pulaski Savings Bank</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6DBB5C3A" w14:textId="28116877" w:rsidR="0046275D" w:rsidRDefault="0046275D" w:rsidP="008C5376">
      <w:pPr>
        <w:pStyle w:val="NoSpacing"/>
        <w:rPr>
          <w:rFonts w:ascii="Times New Roman" w:hAnsi="Times New Roman" w:cs="Times New Roman"/>
          <w:sz w:val="23"/>
          <w:szCs w:val="23"/>
        </w:rPr>
      </w:pPr>
      <w:bookmarkStart w:id="0" w:name="_GoBack"/>
      <w:bookmarkEnd w:id="0"/>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1AE1" w14:textId="77777777" w:rsidR="00C61206" w:rsidRDefault="00C61206" w:rsidP="0046275D">
      <w:r>
        <w:separator/>
      </w:r>
    </w:p>
  </w:endnote>
  <w:endnote w:type="continuationSeparator" w:id="0">
    <w:p w14:paraId="23BE5AD6" w14:textId="77777777" w:rsidR="00C61206" w:rsidRDefault="00C61206"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4A4D4B">
          <w:rPr>
            <w:noProof/>
          </w:rPr>
          <w:t>4</w:t>
        </w:r>
        <w:r>
          <w:rPr>
            <w:noProof/>
          </w:rPr>
          <w:fldChar w:fldCharType="end"/>
        </w:r>
      </w:p>
    </w:sdtContent>
  </w:sdt>
  <w:p w14:paraId="1D9AC6F5" w14:textId="77777777" w:rsidR="00C61206" w:rsidRDefault="00C6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0254" w14:textId="77777777" w:rsidR="00C61206" w:rsidRDefault="00C61206" w:rsidP="0046275D">
      <w:r>
        <w:separator/>
      </w:r>
    </w:p>
  </w:footnote>
  <w:footnote w:type="continuationSeparator" w:id="0">
    <w:p w14:paraId="690CE75B" w14:textId="77777777" w:rsidR="00C61206" w:rsidRDefault="00C61206"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2BFB" w14:textId="77777777" w:rsidR="00C61206" w:rsidRPr="00B07C8A" w:rsidRDefault="00C61206"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78AF"/>
    <w:rsid w:val="002049E1"/>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A4D4B"/>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36CAA"/>
    <w:rsid w:val="00B41362"/>
    <w:rsid w:val="00B46373"/>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E49FB"/>
  <w15:docId w15:val="{9B5E67EA-6629-4157-A6D1-84F89F3F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3.xml><?xml version="1.0" encoding="utf-8"?>
<ds:datastoreItem xmlns:ds="http://schemas.openxmlformats.org/officeDocument/2006/customXml" ds:itemID="{6F5E334A-6992-45BA-B8BC-3536B60C457C}">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CC5D2D-EA83-4215-9D11-5BBDE8E5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10330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pbechtel</dc:creator>
  <cp:lastModifiedBy>Karen Lucas</cp:lastModifiedBy>
  <cp:revision>2</cp:revision>
  <cp:lastPrinted>2014-12-19T22:17:00Z</cp:lastPrinted>
  <dcterms:created xsi:type="dcterms:W3CDTF">2014-12-19T22:17:00Z</dcterms:created>
  <dcterms:modified xsi:type="dcterms:W3CDTF">2014-12-19T22:17:00Z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