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64" w:rsidRDefault="00755464">
      <w:pPr>
        <w:pStyle w:val="MessageHeaderFirst"/>
        <w:spacing w:before="120" w:line="240" w:lineRule="auto"/>
        <w:jc w:val="center"/>
        <w:rPr>
          <w:w w:val="180"/>
        </w:rPr>
      </w:pPr>
      <w:r>
        <w:rPr>
          <w:rFonts w:ascii="Staccato222 BT" w:hAnsi="Staccato222 BT"/>
          <w:b/>
          <w:noProof/>
          <w:sz w:val="48"/>
          <w:lang w:bidi="ar-SA"/>
        </w:rPr>
        <w:drawing>
          <wp:anchor distT="0" distB="0" distL="114300" distR="114300" simplePos="0" relativeHeight="251662336" behindDoc="1" locked="0" layoutInCell="1" allowOverlap="1">
            <wp:simplePos x="0" y="0"/>
            <wp:positionH relativeFrom="column">
              <wp:posOffset>2052320</wp:posOffset>
            </wp:positionH>
            <wp:positionV relativeFrom="paragraph">
              <wp:posOffset>-381000</wp:posOffset>
            </wp:positionV>
            <wp:extent cx="2298700" cy="1097280"/>
            <wp:effectExtent l="0" t="0" r="0" b="0"/>
            <wp:wrapTight wrapText="bothSides">
              <wp:wrapPolygon edited="0">
                <wp:start x="0" y="0"/>
                <wp:lineTo x="0" y="21375"/>
                <wp:lineTo x="21481" y="21375"/>
                <wp:lineTo x="21481" y="0"/>
                <wp:lineTo x="0" y="0"/>
              </wp:wrapPolygon>
            </wp:wrapTight>
            <wp:docPr id="1" name="Picture 0" descr="CBW logo sm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W logo sm - Copy.jpg"/>
                    <pic:cNvPicPr/>
                  </pic:nvPicPr>
                  <pic:blipFill>
                    <a:blip r:embed="rId9" cstate="print"/>
                    <a:stretch>
                      <a:fillRect/>
                    </a:stretch>
                  </pic:blipFill>
                  <pic:spPr>
                    <a:xfrm>
                      <a:off x="0" y="0"/>
                      <a:ext cx="2298700" cy="1097280"/>
                    </a:xfrm>
                    <a:prstGeom prst="rect">
                      <a:avLst/>
                    </a:prstGeom>
                  </pic:spPr>
                </pic:pic>
              </a:graphicData>
            </a:graphic>
            <wp14:sizeRelH relativeFrom="margin">
              <wp14:pctWidth>0</wp14:pctWidth>
            </wp14:sizeRelH>
            <wp14:sizeRelV relativeFrom="margin">
              <wp14:pctHeight>0</wp14:pctHeight>
            </wp14:sizeRelV>
          </wp:anchor>
        </w:drawing>
      </w:r>
    </w:p>
    <w:p w:rsidR="00755464" w:rsidRDefault="00755464" w:rsidP="000B043C">
      <w:pPr>
        <w:pStyle w:val="Closing"/>
        <w:spacing w:line="240" w:lineRule="auto"/>
        <w:jc w:val="right"/>
        <w:rPr>
          <w:sz w:val="20"/>
        </w:rPr>
      </w:pPr>
    </w:p>
    <w:p w:rsidR="00755464" w:rsidRDefault="00755464" w:rsidP="000B043C">
      <w:pPr>
        <w:pStyle w:val="Closing"/>
        <w:spacing w:line="240" w:lineRule="auto"/>
        <w:jc w:val="right"/>
        <w:rPr>
          <w:sz w:val="20"/>
        </w:rPr>
      </w:pPr>
    </w:p>
    <w:p w:rsidR="00755464" w:rsidRPr="008805EA" w:rsidRDefault="00755464" w:rsidP="008805EA">
      <w:pPr>
        <w:pStyle w:val="BodyText"/>
        <w:spacing w:after="0" w:line="240" w:lineRule="auto"/>
        <w:ind w:firstLine="0"/>
        <w:rPr>
          <w:b/>
          <w:bCs/>
          <w:sz w:val="20"/>
        </w:rPr>
      </w:pPr>
    </w:p>
    <w:p w:rsidR="00755464" w:rsidRDefault="00755464" w:rsidP="00D33AAF">
      <w:pPr>
        <w:pStyle w:val="BodyText"/>
        <w:spacing w:after="0" w:line="240" w:lineRule="auto"/>
        <w:ind w:firstLine="0"/>
        <w:rPr>
          <w:bCs/>
          <w:sz w:val="20"/>
        </w:rPr>
      </w:pPr>
    </w:p>
    <w:p w:rsidR="00C3613C" w:rsidRDefault="00C3613C" w:rsidP="00D33AAF">
      <w:pPr>
        <w:pStyle w:val="BodyText"/>
        <w:spacing w:after="0" w:line="240" w:lineRule="auto"/>
        <w:ind w:firstLine="0"/>
        <w:rPr>
          <w:bCs/>
          <w:sz w:val="20"/>
        </w:rPr>
      </w:pPr>
    </w:p>
    <w:p w:rsidR="00C3613C" w:rsidRDefault="00C3613C" w:rsidP="00D33AAF">
      <w:pPr>
        <w:pStyle w:val="BodyText"/>
        <w:spacing w:after="0" w:line="240" w:lineRule="auto"/>
        <w:ind w:firstLine="0"/>
        <w:rPr>
          <w:bCs/>
          <w:sz w:val="20"/>
        </w:rPr>
      </w:pP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December 9, 2014</w:t>
      </w:r>
    </w:p>
    <w:p w:rsidR="002A534C" w:rsidRDefault="002A534C" w:rsidP="002A534C">
      <w:pPr>
        <w:pStyle w:val="NoSpacing"/>
        <w:rPr>
          <w:rFonts w:ascii="Arial" w:hAnsi="Arial" w:cs="Arial"/>
          <w:color w:val="000000" w:themeColor="text1"/>
        </w:rPr>
      </w:pP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Alfred M. Pollard, General Counsel</w:t>
      </w: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Attention: Comments/RIN 2590-AA39</w:t>
      </w: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Federal Housing Finance Agency</w:t>
      </w: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400 Seventh Street SW</w:t>
      </w: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Washington, D.C. 20024</w:t>
      </w:r>
    </w:p>
    <w:p w:rsidR="002A534C" w:rsidRDefault="002A534C" w:rsidP="002A534C">
      <w:pPr>
        <w:pStyle w:val="NoSpacing"/>
        <w:rPr>
          <w:rFonts w:ascii="Arial" w:hAnsi="Arial" w:cs="Arial"/>
          <w:color w:val="000000" w:themeColor="text1"/>
        </w:rPr>
      </w:pP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 xml:space="preserve">Re:  Notice of Proposed Rulemaking and Request for Comments – Members of </w:t>
      </w:r>
      <w:proofErr w:type="spellStart"/>
      <w:r w:rsidRPr="002A534C">
        <w:rPr>
          <w:rFonts w:ascii="Arial" w:hAnsi="Arial" w:cs="Arial"/>
          <w:color w:val="000000" w:themeColor="text1"/>
        </w:rPr>
        <w:t>FHLBanks</w:t>
      </w:r>
      <w:proofErr w:type="spellEnd"/>
      <w:r w:rsidRPr="002A534C">
        <w:rPr>
          <w:rFonts w:ascii="Arial" w:hAnsi="Arial" w:cs="Arial"/>
          <w:color w:val="000000" w:themeColor="text1"/>
        </w:rPr>
        <w:t xml:space="preserve"> (RIN 2590-AA39)</w:t>
      </w:r>
    </w:p>
    <w:p w:rsidR="002A534C" w:rsidRPr="002A534C" w:rsidRDefault="002A534C" w:rsidP="002A534C">
      <w:pPr>
        <w:pStyle w:val="NoSpacing"/>
        <w:rPr>
          <w:rFonts w:ascii="Arial" w:hAnsi="Arial" w:cs="Arial"/>
          <w:color w:val="000000" w:themeColor="text1"/>
        </w:rPr>
      </w:pP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Dear Mr. Pollard:</w:t>
      </w:r>
    </w:p>
    <w:p w:rsidR="002A534C" w:rsidRPr="002A534C" w:rsidRDefault="002A534C" w:rsidP="002A534C">
      <w:pPr>
        <w:pStyle w:val="NoSpacing"/>
        <w:rPr>
          <w:rFonts w:ascii="Arial" w:hAnsi="Arial" w:cs="Arial"/>
          <w:color w:val="000000" w:themeColor="text1"/>
        </w:rPr>
      </w:pP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On behalf of the Community Bankers of Washington, I thank you for the opportunity to comment on the Proposed Rulemaking in the matter of membership eligibility in the Federal Home Loan Bank (</w:t>
      </w:r>
      <w:proofErr w:type="spellStart"/>
      <w:r w:rsidRPr="002A534C">
        <w:rPr>
          <w:rFonts w:ascii="Arial" w:hAnsi="Arial" w:cs="Arial"/>
          <w:color w:val="000000" w:themeColor="text1"/>
        </w:rPr>
        <w:t>FHLBank</w:t>
      </w:r>
      <w:proofErr w:type="spellEnd"/>
      <w:r w:rsidRPr="002A534C">
        <w:rPr>
          <w:rFonts w:ascii="Arial" w:hAnsi="Arial" w:cs="Arial"/>
          <w:color w:val="000000" w:themeColor="text1"/>
        </w:rPr>
        <w:t xml:space="preserve">) System.  </w:t>
      </w:r>
    </w:p>
    <w:p w:rsidR="002A534C" w:rsidRPr="002A534C" w:rsidRDefault="002A534C" w:rsidP="002A534C">
      <w:pPr>
        <w:pStyle w:val="NoSpacing"/>
        <w:rPr>
          <w:rFonts w:ascii="Arial" w:hAnsi="Arial" w:cs="Arial"/>
          <w:color w:val="000000" w:themeColor="text1"/>
        </w:rPr>
      </w:pP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 xml:space="preserve">Community Bankers of Washington believes that the current </w:t>
      </w:r>
      <w:proofErr w:type="spellStart"/>
      <w:r w:rsidRPr="002A534C">
        <w:rPr>
          <w:rFonts w:ascii="Arial" w:hAnsi="Arial" w:cs="Arial"/>
          <w:color w:val="000000" w:themeColor="text1"/>
        </w:rPr>
        <w:t>FHLBank</w:t>
      </w:r>
      <w:proofErr w:type="spellEnd"/>
      <w:r w:rsidRPr="002A534C">
        <w:rPr>
          <w:rFonts w:ascii="Arial" w:hAnsi="Arial" w:cs="Arial"/>
          <w:color w:val="000000" w:themeColor="text1"/>
        </w:rPr>
        <w:t xml:space="preserve"> membership rules more-than-adequately address the role that the </w:t>
      </w:r>
      <w:proofErr w:type="spellStart"/>
      <w:r w:rsidRPr="002A534C">
        <w:rPr>
          <w:rFonts w:ascii="Arial" w:hAnsi="Arial" w:cs="Arial"/>
          <w:color w:val="000000" w:themeColor="text1"/>
        </w:rPr>
        <w:t>FHLBank</w:t>
      </w:r>
      <w:proofErr w:type="spellEnd"/>
      <w:r w:rsidRPr="002A534C">
        <w:rPr>
          <w:rFonts w:ascii="Arial" w:hAnsi="Arial" w:cs="Arial"/>
          <w:color w:val="000000" w:themeColor="text1"/>
        </w:rPr>
        <w:t xml:space="preserve"> System and its members play in providing essential liquidity and funding for housing finance and community investment to the communities they serve.  </w:t>
      </w:r>
    </w:p>
    <w:p w:rsidR="002A534C" w:rsidRPr="002A534C" w:rsidRDefault="002A534C" w:rsidP="002A534C">
      <w:pPr>
        <w:pStyle w:val="NoSpacing"/>
        <w:rPr>
          <w:rFonts w:ascii="Arial" w:hAnsi="Arial" w:cs="Arial"/>
          <w:color w:val="000000" w:themeColor="text1"/>
        </w:rPr>
      </w:pP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 xml:space="preserve">Indeed, we concur with the view expressed in the FHFA’s Strategic Plan (as released for public input on August 15, 2014) that “the </w:t>
      </w:r>
      <w:proofErr w:type="spellStart"/>
      <w:r w:rsidRPr="002A534C">
        <w:rPr>
          <w:rFonts w:ascii="Arial" w:hAnsi="Arial" w:cs="Arial"/>
          <w:color w:val="000000" w:themeColor="text1"/>
        </w:rPr>
        <w:t>FHLBanks</w:t>
      </w:r>
      <w:proofErr w:type="spellEnd"/>
      <w:r w:rsidRPr="002A534C">
        <w:rPr>
          <w:rFonts w:ascii="Arial" w:hAnsi="Arial" w:cs="Arial"/>
          <w:color w:val="000000" w:themeColor="text1"/>
        </w:rPr>
        <w:t xml:space="preserve">’ core mission is to serve as a reliable source of liquidity for their member institutions in support of housing finance and community lending.” The Housing and Economic Recovery Act of 2008 underscores the </w:t>
      </w:r>
      <w:proofErr w:type="spellStart"/>
      <w:r w:rsidRPr="002A534C">
        <w:rPr>
          <w:rFonts w:ascii="Arial" w:hAnsi="Arial" w:cs="Arial"/>
          <w:color w:val="000000" w:themeColor="text1"/>
        </w:rPr>
        <w:t>FHLBank</w:t>
      </w:r>
      <w:proofErr w:type="spellEnd"/>
      <w:r w:rsidRPr="002A534C">
        <w:rPr>
          <w:rFonts w:ascii="Arial" w:hAnsi="Arial" w:cs="Arial"/>
          <w:color w:val="000000" w:themeColor="text1"/>
        </w:rPr>
        <w:t xml:space="preserve"> Systems’ role in providing liquidity in support of “affordable housing and community development.”</w:t>
      </w:r>
    </w:p>
    <w:p w:rsidR="002A534C" w:rsidRPr="002A534C" w:rsidRDefault="002A534C" w:rsidP="002A534C">
      <w:pPr>
        <w:pStyle w:val="NoSpacing"/>
        <w:rPr>
          <w:rFonts w:ascii="Arial" w:hAnsi="Arial" w:cs="Arial"/>
          <w:color w:val="000000" w:themeColor="text1"/>
        </w:rPr>
      </w:pP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 xml:space="preserve">Notwithstanding this view, our association of banks is concerned about the Proposed Rulemaking for a number of reasons.  Our overriding concern has to do with ensuring that the </w:t>
      </w:r>
      <w:proofErr w:type="spellStart"/>
      <w:r w:rsidRPr="002A534C">
        <w:rPr>
          <w:rFonts w:ascii="Arial" w:hAnsi="Arial" w:cs="Arial"/>
          <w:color w:val="000000" w:themeColor="text1"/>
        </w:rPr>
        <w:t>FHLBanks</w:t>
      </w:r>
      <w:proofErr w:type="spellEnd"/>
      <w:r w:rsidRPr="002A534C">
        <w:rPr>
          <w:rFonts w:ascii="Arial" w:hAnsi="Arial" w:cs="Arial"/>
          <w:color w:val="000000" w:themeColor="text1"/>
        </w:rPr>
        <w:t xml:space="preserve"> remain highly reliable sources of liquidity to our member banks and their communities. Our members depend on this access to help manage their businesses and to support their lending to the households and businesses in their communities. If their access to </w:t>
      </w:r>
      <w:proofErr w:type="spellStart"/>
      <w:r w:rsidRPr="002A534C">
        <w:rPr>
          <w:rFonts w:ascii="Arial" w:hAnsi="Arial" w:cs="Arial"/>
          <w:color w:val="000000" w:themeColor="text1"/>
        </w:rPr>
        <w:t>FHLBank</w:t>
      </w:r>
      <w:proofErr w:type="spellEnd"/>
      <w:r w:rsidRPr="002A534C">
        <w:rPr>
          <w:rFonts w:ascii="Arial" w:hAnsi="Arial" w:cs="Arial"/>
          <w:color w:val="000000" w:themeColor="text1"/>
        </w:rPr>
        <w:t xml:space="preserve"> liquidity is further restricted by this Proposed Rulemaking, they would be put in the position of having to hold idle liquidity on their balance sheets that could otherwise be directed to lending that supports the formation of jobs, businesses, and housing. As such, the consequences of restricting liquidity availability would go well beyond the operations of the banks themselves to adversely impact the communities they serve.  </w:t>
      </w:r>
    </w:p>
    <w:p w:rsidR="002A534C" w:rsidRPr="002A534C" w:rsidRDefault="002A534C" w:rsidP="002A534C">
      <w:pPr>
        <w:pStyle w:val="NoSpacing"/>
        <w:rPr>
          <w:rFonts w:ascii="Arial" w:hAnsi="Arial" w:cs="Arial"/>
          <w:color w:val="000000" w:themeColor="text1"/>
        </w:rPr>
      </w:pPr>
    </w:p>
    <w:p w:rsidR="00AD43C1" w:rsidRDefault="002A534C" w:rsidP="002A534C">
      <w:pPr>
        <w:pStyle w:val="NoSpacing"/>
        <w:rPr>
          <w:rFonts w:ascii="Arial" w:hAnsi="Arial" w:cs="Arial"/>
          <w:color w:val="000000" w:themeColor="text1"/>
        </w:rPr>
      </w:pPr>
      <w:r w:rsidRPr="002A534C">
        <w:rPr>
          <w:rFonts w:ascii="Arial" w:hAnsi="Arial" w:cs="Arial"/>
          <w:color w:val="000000" w:themeColor="text1"/>
        </w:rPr>
        <w:t xml:space="preserve">As our member banks continually address the issue of interest-rate risk, they require maximum balance sheet flexibility. As an example, if a liability-sensitive bank needs to moderate its interest-rate risk during a period of rising rates, its best course of action could be to reduce its holdings of longer-term mortgage assets. Similarly, as economic conditions or their financial conditions change, many </w:t>
      </w:r>
    </w:p>
    <w:p w:rsidR="00AD43C1" w:rsidRDefault="00AD43C1" w:rsidP="00AD43C1">
      <w:pPr>
        <w:pStyle w:val="NoSpacing"/>
        <w:rPr>
          <w:rFonts w:ascii="Arial" w:hAnsi="Arial" w:cs="Arial"/>
          <w:color w:val="000000" w:themeColor="text1"/>
        </w:rPr>
      </w:pPr>
      <w:proofErr w:type="gramStart"/>
      <w:r w:rsidRPr="002A534C">
        <w:rPr>
          <w:rFonts w:ascii="Arial" w:hAnsi="Arial" w:cs="Arial"/>
          <w:color w:val="000000" w:themeColor="text1"/>
        </w:rPr>
        <w:t>banks</w:t>
      </w:r>
      <w:proofErr w:type="gramEnd"/>
      <w:r w:rsidRPr="002A534C">
        <w:rPr>
          <w:rFonts w:ascii="Arial" w:hAnsi="Arial" w:cs="Arial"/>
          <w:color w:val="000000" w:themeColor="text1"/>
        </w:rPr>
        <w:t xml:space="preserve"> strategically alter their asset compositions—for such reasons as raising capital, generating </w:t>
      </w:r>
    </w:p>
    <w:p w:rsidR="00AD43C1" w:rsidRDefault="00AD43C1" w:rsidP="00AD43C1">
      <w:pPr>
        <w:pStyle w:val="NoSpacing"/>
        <w:rPr>
          <w:rFonts w:ascii="Arial" w:hAnsi="Arial" w:cs="Arial"/>
          <w:color w:val="000000" w:themeColor="text1"/>
        </w:rPr>
      </w:pPr>
      <w:proofErr w:type="gramStart"/>
      <w:r w:rsidRPr="002A534C">
        <w:rPr>
          <w:rFonts w:ascii="Arial" w:hAnsi="Arial" w:cs="Arial"/>
          <w:color w:val="000000" w:themeColor="text1"/>
        </w:rPr>
        <w:t>liquidity</w:t>
      </w:r>
      <w:proofErr w:type="gramEnd"/>
      <w:r w:rsidRPr="002A534C">
        <w:rPr>
          <w:rFonts w:ascii="Arial" w:hAnsi="Arial" w:cs="Arial"/>
          <w:color w:val="000000" w:themeColor="text1"/>
        </w:rPr>
        <w:t>, and diversifying their portfolios. Their ability to manage their asset compositions also helps to</w:t>
      </w:r>
    </w:p>
    <w:p w:rsidR="00AD43C1" w:rsidRDefault="00AD43C1" w:rsidP="00AD43C1">
      <w:pPr>
        <w:pStyle w:val="NoSpacing"/>
        <w:rPr>
          <w:rFonts w:ascii="Arial" w:hAnsi="Arial" w:cs="Arial"/>
          <w:color w:val="000000" w:themeColor="text1"/>
        </w:rPr>
      </w:pPr>
    </w:p>
    <w:p w:rsidR="00AD43C1" w:rsidRDefault="00AD43C1" w:rsidP="00AD43C1">
      <w:pPr>
        <w:pStyle w:val="NoSpacing"/>
        <w:rPr>
          <w:rFonts w:ascii="Arial" w:hAnsi="Arial" w:cs="Arial"/>
          <w:color w:val="000000" w:themeColor="text1"/>
        </w:rPr>
      </w:pPr>
    </w:p>
    <w:p w:rsidR="00AD43C1" w:rsidRDefault="00AD43C1" w:rsidP="00AD43C1">
      <w:pPr>
        <w:pStyle w:val="NoSpacing"/>
        <w:rPr>
          <w:rFonts w:ascii="Arial" w:hAnsi="Arial" w:cs="Arial"/>
          <w:color w:val="000000" w:themeColor="text1"/>
        </w:rPr>
      </w:pPr>
      <w:r w:rsidRPr="002A534C">
        <w:rPr>
          <w:rFonts w:ascii="Arial" w:hAnsi="Arial" w:cs="Arial"/>
          <w:color w:val="000000" w:themeColor="text1"/>
        </w:rPr>
        <w:lastRenderedPageBreak/>
        <w:t>Alfred M. Pollard, General Counsel</w:t>
      </w:r>
      <w:r>
        <w:rPr>
          <w:rFonts w:ascii="Arial" w:hAnsi="Arial" w:cs="Arial"/>
          <w:color w:val="000000" w:themeColor="text1"/>
        </w:rPr>
        <w:t>, FHFA</w:t>
      </w:r>
    </w:p>
    <w:p w:rsidR="00AD43C1" w:rsidRDefault="00AD43C1" w:rsidP="00AD43C1">
      <w:pPr>
        <w:pStyle w:val="NoSpacing"/>
        <w:rPr>
          <w:rFonts w:ascii="Arial" w:hAnsi="Arial" w:cs="Arial"/>
          <w:color w:val="000000" w:themeColor="text1"/>
        </w:rPr>
      </w:pPr>
      <w:r>
        <w:rPr>
          <w:rFonts w:ascii="Arial" w:hAnsi="Arial" w:cs="Arial"/>
          <w:color w:val="000000" w:themeColor="text1"/>
        </w:rPr>
        <w:t>December 9, 2014</w:t>
      </w:r>
    </w:p>
    <w:p w:rsidR="00AD43C1" w:rsidRPr="002A534C" w:rsidRDefault="00AD43C1" w:rsidP="00AD43C1">
      <w:pPr>
        <w:pStyle w:val="NoSpacing"/>
        <w:rPr>
          <w:rFonts w:ascii="Arial" w:hAnsi="Arial" w:cs="Arial"/>
          <w:color w:val="000000" w:themeColor="text1"/>
        </w:rPr>
      </w:pPr>
      <w:r>
        <w:rPr>
          <w:rFonts w:ascii="Arial" w:hAnsi="Arial" w:cs="Arial"/>
          <w:color w:val="000000" w:themeColor="text1"/>
        </w:rPr>
        <w:t>Page 2</w:t>
      </w:r>
    </w:p>
    <w:p w:rsidR="00AD43C1" w:rsidRDefault="00AD43C1" w:rsidP="002A534C">
      <w:pPr>
        <w:pStyle w:val="NoSpacing"/>
        <w:rPr>
          <w:rFonts w:ascii="Arial" w:hAnsi="Arial" w:cs="Arial"/>
          <w:color w:val="000000" w:themeColor="text1"/>
        </w:rPr>
      </w:pPr>
    </w:p>
    <w:p w:rsidR="00AD43C1" w:rsidRDefault="00AD43C1" w:rsidP="002A534C">
      <w:pPr>
        <w:pStyle w:val="NoSpacing"/>
        <w:rPr>
          <w:rFonts w:ascii="Arial" w:hAnsi="Arial" w:cs="Arial"/>
          <w:color w:val="000000" w:themeColor="text1"/>
        </w:rPr>
      </w:pPr>
      <w:bookmarkStart w:id="0" w:name="_GoBack"/>
      <w:bookmarkEnd w:id="0"/>
    </w:p>
    <w:p w:rsidR="002A534C" w:rsidRPr="002A534C" w:rsidRDefault="002A534C" w:rsidP="002A534C">
      <w:pPr>
        <w:pStyle w:val="NoSpacing"/>
        <w:rPr>
          <w:rFonts w:ascii="Arial" w:hAnsi="Arial" w:cs="Arial"/>
          <w:color w:val="000000" w:themeColor="text1"/>
        </w:rPr>
      </w:pPr>
      <w:proofErr w:type="gramStart"/>
      <w:r w:rsidRPr="002A534C">
        <w:rPr>
          <w:rFonts w:ascii="Arial" w:hAnsi="Arial" w:cs="Arial"/>
          <w:color w:val="000000" w:themeColor="text1"/>
        </w:rPr>
        <w:t>ensure</w:t>
      </w:r>
      <w:proofErr w:type="gramEnd"/>
      <w:r w:rsidRPr="002A534C">
        <w:rPr>
          <w:rFonts w:ascii="Arial" w:hAnsi="Arial" w:cs="Arial"/>
          <w:color w:val="000000" w:themeColor="text1"/>
        </w:rPr>
        <w:t xml:space="preserve"> their safety and soundness. We believe that requiring banks to hold a certain percentage of mortgage assets on an ongoing basis reduces its flexibility to use its balance sheet to manage interest-rate risk or address changing economic or conditions. This, in turn, could have a negative impact on the bank’s safety and soundness and community lending activities. </w:t>
      </w:r>
    </w:p>
    <w:p w:rsidR="002A534C" w:rsidRPr="002A534C" w:rsidRDefault="002A534C" w:rsidP="002A534C">
      <w:pPr>
        <w:pStyle w:val="NoSpacing"/>
        <w:rPr>
          <w:rFonts w:ascii="Arial" w:hAnsi="Arial" w:cs="Arial"/>
          <w:color w:val="000000" w:themeColor="text1"/>
        </w:rPr>
      </w:pP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 xml:space="preserve">Community Bankers of Washington is dedicated to enhancing the benefit of consumers and businesses that are served by Washington State’s community banks, many of which are designated as Community Financial Institutions (CFIs). Congress has authorized and encouraged CFIs to use </w:t>
      </w:r>
      <w:proofErr w:type="spellStart"/>
      <w:r w:rsidRPr="002A534C">
        <w:rPr>
          <w:rFonts w:ascii="Arial" w:hAnsi="Arial" w:cs="Arial"/>
          <w:color w:val="000000" w:themeColor="text1"/>
        </w:rPr>
        <w:t>FHLBank</w:t>
      </w:r>
      <w:proofErr w:type="spellEnd"/>
      <w:r w:rsidRPr="002A534C">
        <w:rPr>
          <w:rFonts w:ascii="Arial" w:hAnsi="Arial" w:cs="Arial"/>
          <w:color w:val="000000" w:themeColor="text1"/>
        </w:rPr>
        <w:t xml:space="preserve"> advances to support their lending to small businesses, farms, and agri-business. To confine the scope of </w:t>
      </w:r>
      <w:proofErr w:type="spellStart"/>
      <w:r w:rsidRPr="002A534C">
        <w:rPr>
          <w:rFonts w:ascii="Arial" w:hAnsi="Arial" w:cs="Arial"/>
          <w:color w:val="000000" w:themeColor="text1"/>
        </w:rPr>
        <w:t>FHLBank</w:t>
      </w:r>
      <w:proofErr w:type="spellEnd"/>
      <w:r w:rsidRPr="002A534C">
        <w:rPr>
          <w:rFonts w:ascii="Arial" w:hAnsi="Arial" w:cs="Arial"/>
          <w:color w:val="000000" w:themeColor="text1"/>
        </w:rPr>
        <w:t xml:space="preserve"> membership eligibility to a rigid annual test based strictly on housing-related assets could be perceived as running contrary to Congressional intent. The situation could be further complicated for a bank that, via organic growth or merger, exceeded the CFI threshold and became subject to the broader test of a minimum 10% residential mortgage threshold. In the event the Proposed Rule is implemented, banks that are predominantly focused on commercial and industrial assets and commercial real estate (which in the past have been significant supporters of community investment programs and activities) may temporarily fall below the target as they grow their business.</w:t>
      </w:r>
    </w:p>
    <w:p w:rsidR="002A534C" w:rsidRPr="002A534C" w:rsidRDefault="002A534C" w:rsidP="002A534C">
      <w:pPr>
        <w:pStyle w:val="NoSpacing"/>
        <w:rPr>
          <w:rFonts w:ascii="Arial" w:hAnsi="Arial" w:cs="Arial"/>
          <w:color w:val="000000" w:themeColor="text1"/>
        </w:rPr>
      </w:pP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 xml:space="preserve">Finally, our organization’s members are already subject to ongoing home financing compliance testing in the form of random completion of a Community Support Statement, which among other things, requires them to certify support of the first-time homebuyer market in order to obtain eligibility for long-term advance financing.  </w:t>
      </w:r>
    </w:p>
    <w:p w:rsidR="002A534C" w:rsidRPr="002A534C" w:rsidRDefault="002A534C" w:rsidP="002A534C">
      <w:pPr>
        <w:pStyle w:val="NoSpacing"/>
        <w:rPr>
          <w:rFonts w:ascii="Arial" w:hAnsi="Arial" w:cs="Arial"/>
          <w:color w:val="000000" w:themeColor="text1"/>
        </w:rPr>
      </w:pP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 xml:space="preserve">We thank you for reviewing our comments and appreciate your consideration of </w:t>
      </w:r>
      <w:r w:rsidR="00AD43C1">
        <w:rPr>
          <w:rFonts w:ascii="Arial" w:hAnsi="Arial" w:cs="Arial"/>
          <w:color w:val="000000" w:themeColor="text1"/>
        </w:rPr>
        <w:t xml:space="preserve">withdrawing </w:t>
      </w:r>
      <w:r w:rsidRPr="002A534C">
        <w:rPr>
          <w:rFonts w:ascii="Arial" w:hAnsi="Arial" w:cs="Arial"/>
          <w:color w:val="000000" w:themeColor="text1"/>
        </w:rPr>
        <w:t>the Proposed Rulemaking.</w:t>
      </w:r>
    </w:p>
    <w:p w:rsidR="002A534C" w:rsidRDefault="002A534C" w:rsidP="002A534C">
      <w:pPr>
        <w:pStyle w:val="NoSpacing"/>
        <w:rPr>
          <w:rFonts w:ascii="Arial" w:hAnsi="Arial" w:cs="Arial"/>
          <w:color w:val="000000" w:themeColor="text1"/>
        </w:rPr>
      </w:pPr>
    </w:p>
    <w:p w:rsidR="00AD43C1" w:rsidRPr="002A534C" w:rsidRDefault="00AD43C1" w:rsidP="002A534C">
      <w:pPr>
        <w:pStyle w:val="NoSpacing"/>
        <w:rPr>
          <w:rFonts w:ascii="Arial" w:hAnsi="Arial" w:cs="Arial"/>
          <w:color w:val="000000" w:themeColor="text1"/>
        </w:rPr>
      </w:pPr>
    </w:p>
    <w:p w:rsidR="002A534C" w:rsidRPr="002A534C" w:rsidRDefault="002A534C" w:rsidP="002A534C">
      <w:pPr>
        <w:pStyle w:val="NoSpacing"/>
        <w:rPr>
          <w:rFonts w:ascii="Arial" w:hAnsi="Arial" w:cs="Arial"/>
          <w:color w:val="000000" w:themeColor="text1"/>
        </w:rPr>
      </w:pPr>
      <w:r w:rsidRPr="002A534C">
        <w:rPr>
          <w:rFonts w:ascii="Arial" w:hAnsi="Arial" w:cs="Arial"/>
          <w:color w:val="000000" w:themeColor="text1"/>
        </w:rPr>
        <w:t>Sincerely,</w:t>
      </w:r>
    </w:p>
    <w:p w:rsidR="002A534C" w:rsidRPr="002A534C" w:rsidRDefault="002A534C" w:rsidP="002A534C">
      <w:pPr>
        <w:pStyle w:val="NoSpacing"/>
        <w:rPr>
          <w:rFonts w:ascii="Arial" w:hAnsi="Arial" w:cs="Arial"/>
          <w:color w:val="000000" w:themeColor="text1"/>
        </w:rPr>
      </w:pPr>
    </w:p>
    <w:p w:rsidR="002A534C" w:rsidRPr="002A534C" w:rsidRDefault="002A534C" w:rsidP="002A534C">
      <w:pPr>
        <w:pStyle w:val="NoSpacing"/>
        <w:rPr>
          <w:rFonts w:ascii="Arial" w:hAnsi="Arial" w:cs="Arial"/>
          <w:color w:val="000000" w:themeColor="text1"/>
        </w:rPr>
      </w:pPr>
    </w:p>
    <w:p w:rsidR="002A534C" w:rsidRPr="002A534C" w:rsidRDefault="002A534C" w:rsidP="002A534C">
      <w:pPr>
        <w:pStyle w:val="NoSpacing"/>
        <w:rPr>
          <w:rFonts w:ascii="Arial" w:hAnsi="Arial" w:cs="Arial"/>
          <w:color w:val="000000" w:themeColor="text1"/>
        </w:rPr>
      </w:pPr>
    </w:p>
    <w:p w:rsidR="00121685" w:rsidRPr="002A534C" w:rsidRDefault="00121685" w:rsidP="00D33AAF">
      <w:pPr>
        <w:pStyle w:val="BodyText"/>
        <w:spacing w:after="0" w:line="240" w:lineRule="auto"/>
        <w:ind w:firstLine="0"/>
        <w:rPr>
          <w:rFonts w:ascii="Arial" w:hAnsi="Arial" w:cs="Arial"/>
          <w:bCs/>
          <w:szCs w:val="22"/>
        </w:rPr>
      </w:pPr>
    </w:p>
    <w:p w:rsidR="00121685" w:rsidRPr="002A534C" w:rsidRDefault="00121685" w:rsidP="00D33AAF">
      <w:pPr>
        <w:pStyle w:val="BodyText"/>
        <w:spacing w:after="0" w:line="240" w:lineRule="auto"/>
        <w:ind w:firstLine="0"/>
        <w:rPr>
          <w:rFonts w:ascii="Arial" w:hAnsi="Arial" w:cs="Arial"/>
          <w:bCs/>
          <w:szCs w:val="22"/>
        </w:rPr>
      </w:pPr>
      <w:r w:rsidRPr="002A534C">
        <w:rPr>
          <w:rFonts w:ascii="Arial" w:hAnsi="Arial" w:cs="Arial"/>
          <w:bCs/>
          <w:szCs w:val="22"/>
        </w:rPr>
        <w:t>Mark M. MacDonald</w:t>
      </w:r>
    </w:p>
    <w:p w:rsidR="00121685" w:rsidRDefault="00121685" w:rsidP="00D33AAF">
      <w:pPr>
        <w:pStyle w:val="BodyText"/>
        <w:spacing w:after="0" w:line="240" w:lineRule="auto"/>
        <w:ind w:firstLine="0"/>
        <w:rPr>
          <w:rFonts w:ascii="Arial" w:hAnsi="Arial" w:cs="Arial"/>
          <w:bCs/>
          <w:szCs w:val="22"/>
        </w:rPr>
      </w:pPr>
      <w:proofErr w:type="gramStart"/>
      <w:r w:rsidRPr="002A534C">
        <w:rPr>
          <w:rFonts w:ascii="Arial" w:hAnsi="Arial" w:cs="Arial"/>
          <w:bCs/>
          <w:szCs w:val="22"/>
        </w:rPr>
        <w:t>President &amp;</w:t>
      </w:r>
      <w:proofErr w:type="gramEnd"/>
      <w:r w:rsidRPr="002A534C">
        <w:rPr>
          <w:rFonts w:ascii="Arial" w:hAnsi="Arial" w:cs="Arial"/>
          <w:bCs/>
          <w:szCs w:val="22"/>
        </w:rPr>
        <w:t xml:space="preserve"> Executive Director</w:t>
      </w:r>
    </w:p>
    <w:p w:rsidR="002A534C" w:rsidRPr="002A534C" w:rsidRDefault="002A534C" w:rsidP="00D33AAF">
      <w:pPr>
        <w:pStyle w:val="BodyText"/>
        <w:spacing w:after="0" w:line="240" w:lineRule="auto"/>
        <w:ind w:firstLine="0"/>
        <w:rPr>
          <w:rFonts w:ascii="Arial" w:hAnsi="Arial" w:cs="Arial"/>
          <w:bCs/>
          <w:szCs w:val="22"/>
        </w:rPr>
      </w:pPr>
      <w:r>
        <w:rPr>
          <w:rFonts w:ascii="Arial" w:hAnsi="Arial" w:cs="Arial"/>
          <w:bCs/>
          <w:szCs w:val="22"/>
        </w:rPr>
        <w:t>Community Bankers of Washington</w:t>
      </w:r>
    </w:p>
    <w:p w:rsidR="00121685" w:rsidRPr="00121685" w:rsidRDefault="00121685" w:rsidP="00D33AAF">
      <w:pPr>
        <w:pStyle w:val="BodyText"/>
        <w:spacing w:after="0" w:line="240" w:lineRule="auto"/>
        <w:ind w:firstLine="0"/>
        <w:rPr>
          <w:rFonts w:asciiTheme="minorHAnsi" w:hAnsiTheme="minorHAnsi"/>
          <w:bCs/>
          <w:szCs w:val="22"/>
        </w:rPr>
      </w:pPr>
    </w:p>
    <w:p w:rsidR="00121685" w:rsidRPr="00BD3A49" w:rsidRDefault="00121685" w:rsidP="00D33AAF">
      <w:pPr>
        <w:pStyle w:val="BodyText"/>
        <w:spacing w:after="0" w:line="240" w:lineRule="auto"/>
        <w:ind w:firstLine="0"/>
        <w:rPr>
          <w:bCs/>
          <w:sz w:val="20"/>
        </w:rPr>
      </w:pPr>
    </w:p>
    <w:sectPr w:rsidR="00121685" w:rsidRPr="00BD3A49" w:rsidSect="00D33AAF">
      <w:footerReference w:type="default" r:id="rId10"/>
      <w:pgSz w:w="12240" w:h="15840"/>
      <w:pgMar w:top="1440"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92F" w:rsidRDefault="00E9192F" w:rsidP="0007611E">
      <w:r>
        <w:separator/>
      </w:r>
    </w:p>
  </w:endnote>
  <w:endnote w:type="continuationSeparator" w:id="0">
    <w:p w:rsidR="00E9192F" w:rsidRDefault="00E9192F" w:rsidP="0007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lon Bd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accato222 BT">
    <w:altName w:val="Mistral"/>
    <w:charset w:val="00"/>
    <w:family w:val="script"/>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1E" w:rsidRPr="0007611E" w:rsidRDefault="0007611E">
    <w:pPr>
      <w:pStyle w:val="Footer"/>
      <w:rPr>
        <w:sz w:val="22"/>
        <w:szCs w:val="22"/>
      </w:rPr>
    </w:pPr>
    <w:r w:rsidRPr="0007611E">
      <w:rPr>
        <w:sz w:val="22"/>
        <w:szCs w:val="22"/>
      </w:rPr>
      <w:t>504 14</w:t>
    </w:r>
    <w:r w:rsidRPr="0007611E">
      <w:rPr>
        <w:sz w:val="22"/>
        <w:szCs w:val="22"/>
        <w:vertAlign w:val="superscript"/>
      </w:rPr>
      <w:t>th</w:t>
    </w:r>
    <w:r w:rsidRPr="0007611E">
      <w:rPr>
        <w:sz w:val="22"/>
        <w:szCs w:val="22"/>
      </w:rPr>
      <w:t xml:space="preserve"> Ave SE, Suite 100   Olympia WA 98501    </w:t>
    </w:r>
    <w:r>
      <w:rPr>
        <w:sz w:val="22"/>
        <w:szCs w:val="22"/>
      </w:rPr>
      <w:t xml:space="preserve"> </w:t>
    </w:r>
    <w:r w:rsidRPr="0007611E">
      <w:rPr>
        <w:sz w:val="22"/>
        <w:szCs w:val="22"/>
      </w:rPr>
      <w:t xml:space="preserve">   360-754-5138  </w:t>
    </w:r>
    <w:r>
      <w:rPr>
        <w:sz w:val="22"/>
        <w:szCs w:val="22"/>
      </w:rPr>
      <w:t xml:space="preserve">      </w:t>
    </w:r>
    <w:r w:rsidRPr="0007611E">
      <w:rPr>
        <w:sz w:val="22"/>
        <w:szCs w:val="22"/>
      </w:rPr>
      <w:t xml:space="preserve">   www.communitybankers-wa.org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92F" w:rsidRDefault="00E9192F" w:rsidP="0007611E">
      <w:r>
        <w:separator/>
      </w:r>
    </w:p>
  </w:footnote>
  <w:footnote w:type="continuationSeparator" w:id="0">
    <w:p w:rsidR="00E9192F" w:rsidRDefault="00E9192F" w:rsidP="00076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15D4F"/>
    <w:multiLevelType w:val="hybridMultilevel"/>
    <w:tmpl w:val="D490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AA4725"/>
    <w:multiLevelType w:val="hybridMultilevel"/>
    <w:tmpl w:val="44A8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7402E"/>
    <w:rsid w:val="00011E40"/>
    <w:rsid w:val="0001433E"/>
    <w:rsid w:val="00026FE2"/>
    <w:rsid w:val="00027A66"/>
    <w:rsid w:val="0003286F"/>
    <w:rsid w:val="00033952"/>
    <w:rsid w:val="00033FF9"/>
    <w:rsid w:val="00036758"/>
    <w:rsid w:val="00037B69"/>
    <w:rsid w:val="00041306"/>
    <w:rsid w:val="000463A5"/>
    <w:rsid w:val="00057F7F"/>
    <w:rsid w:val="00057FF1"/>
    <w:rsid w:val="00061FD8"/>
    <w:rsid w:val="00064D2E"/>
    <w:rsid w:val="000713E4"/>
    <w:rsid w:val="00073B99"/>
    <w:rsid w:val="0007611E"/>
    <w:rsid w:val="00077D6B"/>
    <w:rsid w:val="00080013"/>
    <w:rsid w:val="000842B1"/>
    <w:rsid w:val="00094A71"/>
    <w:rsid w:val="00094D84"/>
    <w:rsid w:val="000A1AE1"/>
    <w:rsid w:val="000B00E3"/>
    <w:rsid w:val="000B043C"/>
    <w:rsid w:val="000B24F3"/>
    <w:rsid w:val="000B58D3"/>
    <w:rsid w:val="000C0D6F"/>
    <w:rsid w:val="000D3F4D"/>
    <w:rsid w:val="000D720A"/>
    <w:rsid w:val="000E1CCC"/>
    <w:rsid w:val="000E2DD4"/>
    <w:rsid w:val="000E6292"/>
    <w:rsid w:val="000F1911"/>
    <w:rsid w:val="00100FD0"/>
    <w:rsid w:val="001032A9"/>
    <w:rsid w:val="001110BC"/>
    <w:rsid w:val="001200F8"/>
    <w:rsid w:val="00121685"/>
    <w:rsid w:val="001272D9"/>
    <w:rsid w:val="00130176"/>
    <w:rsid w:val="0013100C"/>
    <w:rsid w:val="001451CF"/>
    <w:rsid w:val="001705E7"/>
    <w:rsid w:val="0017740F"/>
    <w:rsid w:val="0019011D"/>
    <w:rsid w:val="001B51AA"/>
    <w:rsid w:val="001C14A6"/>
    <w:rsid w:val="001C7300"/>
    <w:rsid w:val="001E1DED"/>
    <w:rsid w:val="001E549B"/>
    <w:rsid w:val="001F332B"/>
    <w:rsid w:val="002007B5"/>
    <w:rsid w:val="0021053F"/>
    <w:rsid w:val="00213A99"/>
    <w:rsid w:val="002157DC"/>
    <w:rsid w:val="00226CC0"/>
    <w:rsid w:val="00231B2C"/>
    <w:rsid w:val="00235773"/>
    <w:rsid w:val="002378BB"/>
    <w:rsid w:val="002427FF"/>
    <w:rsid w:val="0026029B"/>
    <w:rsid w:val="002603A7"/>
    <w:rsid w:val="00272A1D"/>
    <w:rsid w:val="00277B49"/>
    <w:rsid w:val="002A1EDA"/>
    <w:rsid w:val="002A534C"/>
    <w:rsid w:val="002A65E8"/>
    <w:rsid w:val="002B6AA4"/>
    <w:rsid w:val="002B781F"/>
    <w:rsid w:val="002C176B"/>
    <w:rsid w:val="002C381D"/>
    <w:rsid w:val="002C6725"/>
    <w:rsid w:val="002C7399"/>
    <w:rsid w:val="002E49E8"/>
    <w:rsid w:val="002E7C1F"/>
    <w:rsid w:val="002F08CE"/>
    <w:rsid w:val="002F2DAB"/>
    <w:rsid w:val="002F7C0C"/>
    <w:rsid w:val="00300FA8"/>
    <w:rsid w:val="00303F95"/>
    <w:rsid w:val="00317677"/>
    <w:rsid w:val="003236E5"/>
    <w:rsid w:val="00327E2D"/>
    <w:rsid w:val="00334130"/>
    <w:rsid w:val="00335E90"/>
    <w:rsid w:val="00344542"/>
    <w:rsid w:val="003501BD"/>
    <w:rsid w:val="00351D6F"/>
    <w:rsid w:val="0037143D"/>
    <w:rsid w:val="003736FA"/>
    <w:rsid w:val="00376513"/>
    <w:rsid w:val="00380DE0"/>
    <w:rsid w:val="0039073D"/>
    <w:rsid w:val="003A7854"/>
    <w:rsid w:val="003B55C0"/>
    <w:rsid w:val="003B57CB"/>
    <w:rsid w:val="003C5237"/>
    <w:rsid w:val="003C5B6D"/>
    <w:rsid w:val="003D3309"/>
    <w:rsid w:val="003D5DE0"/>
    <w:rsid w:val="003D64B0"/>
    <w:rsid w:val="003E45F1"/>
    <w:rsid w:val="003E7393"/>
    <w:rsid w:val="003F07BF"/>
    <w:rsid w:val="003F3FAD"/>
    <w:rsid w:val="00400233"/>
    <w:rsid w:val="00434E4F"/>
    <w:rsid w:val="00460E00"/>
    <w:rsid w:val="00463F57"/>
    <w:rsid w:val="00473E51"/>
    <w:rsid w:val="00480CD8"/>
    <w:rsid w:val="004971FE"/>
    <w:rsid w:val="004A0264"/>
    <w:rsid w:val="004A3BBC"/>
    <w:rsid w:val="004A5408"/>
    <w:rsid w:val="004A7C5A"/>
    <w:rsid w:val="004B5A86"/>
    <w:rsid w:val="004C7DEB"/>
    <w:rsid w:val="004F6DE7"/>
    <w:rsid w:val="004F7CCA"/>
    <w:rsid w:val="00505516"/>
    <w:rsid w:val="005061F2"/>
    <w:rsid w:val="00510CBE"/>
    <w:rsid w:val="00516BDF"/>
    <w:rsid w:val="005209B1"/>
    <w:rsid w:val="005374C8"/>
    <w:rsid w:val="00537B8B"/>
    <w:rsid w:val="00540BDB"/>
    <w:rsid w:val="00546FFC"/>
    <w:rsid w:val="00561899"/>
    <w:rsid w:val="00570BF0"/>
    <w:rsid w:val="0057402E"/>
    <w:rsid w:val="005802FB"/>
    <w:rsid w:val="00581641"/>
    <w:rsid w:val="00586C2F"/>
    <w:rsid w:val="005A67B8"/>
    <w:rsid w:val="005B0FEB"/>
    <w:rsid w:val="005B3234"/>
    <w:rsid w:val="005B341C"/>
    <w:rsid w:val="005B359D"/>
    <w:rsid w:val="005B7384"/>
    <w:rsid w:val="005D076B"/>
    <w:rsid w:val="005D13ED"/>
    <w:rsid w:val="005D38E7"/>
    <w:rsid w:val="005D393F"/>
    <w:rsid w:val="005D51CF"/>
    <w:rsid w:val="005F4AAF"/>
    <w:rsid w:val="00605590"/>
    <w:rsid w:val="00620DEA"/>
    <w:rsid w:val="00623FA7"/>
    <w:rsid w:val="00626CF1"/>
    <w:rsid w:val="00627007"/>
    <w:rsid w:val="006418CF"/>
    <w:rsid w:val="006513D7"/>
    <w:rsid w:val="00681538"/>
    <w:rsid w:val="00681838"/>
    <w:rsid w:val="006834DB"/>
    <w:rsid w:val="00683B0E"/>
    <w:rsid w:val="00687473"/>
    <w:rsid w:val="006951CC"/>
    <w:rsid w:val="006A2E4C"/>
    <w:rsid w:val="006B3E82"/>
    <w:rsid w:val="006C0547"/>
    <w:rsid w:val="006C139A"/>
    <w:rsid w:val="006C7956"/>
    <w:rsid w:val="007033AA"/>
    <w:rsid w:val="00711806"/>
    <w:rsid w:val="00714B56"/>
    <w:rsid w:val="0074003A"/>
    <w:rsid w:val="00755464"/>
    <w:rsid w:val="00760B28"/>
    <w:rsid w:val="00767153"/>
    <w:rsid w:val="00773AA1"/>
    <w:rsid w:val="00782DF1"/>
    <w:rsid w:val="00785BCA"/>
    <w:rsid w:val="0079037F"/>
    <w:rsid w:val="00791DBA"/>
    <w:rsid w:val="00794424"/>
    <w:rsid w:val="007A0FEE"/>
    <w:rsid w:val="007A6E15"/>
    <w:rsid w:val="007B6AD8"/>
    <w:rsid w:val="007C2014"/>
    <w:rsid w:val="007C3BF6"/>
    <w:rsid w:val="007D2D3B"/>
    <w:rsid w:val="007D71C6"/>
    <w:rsid w:val="007E0281"/>
    <w:rsid w:val="007E0BCE"/>
    <w:rsid w:val="007E52A0"/>
    <w:rsid w:val="007E5A5C"/>
    <w:rsid w:val="007F03BE"/>
    <w:rsid w:val="007F1583"/>
    <w:rsid w:val="007F1DD2"/>
    <w:rsid w:val="00804D61"/>
    <w:rsid w:val="00816E27"/>
    <w:rsid w:val="00833590"/>
    <w:rsid w:val="00833F11"/>
    <w:rsid w:val="0084331F"/>
    <w:rsid w:val="008459D1"/>
    <w:rsid w:val="00846473"/>
    <w:rsid w:val="0085045B"/>
    <w:rsid w:val="0085672C"/>
    <w:rsid w:val="00857BD9"/>
    <w:rsid w:val="00863972"/>
    <w:rsid w:val="00864F4B"/>
    <w:rsid w:val="008706D1"/>
    <w:rsid w:val="00870AC3"/>
    <w:rsid w:val="008805EA"/>
    <w:rsid w:val="00892CDD"/>
    <w:rsid w:val="008935C9"/>
    <w:rsid w:val="008A1F80"/>
    <w:rsid w:val="008B2A26"/>
    <w:rsid w:val="008B3D44"/>
    <w:rsid w:val="008C4E9A"/>
    <w:rsid w:val="008F2109"/>
    <w:rsid w:val="008F46D4"/>
    <w:rsid w:val="008F4771"/>
    <w:rsid w:val="009029B0"/>
    <w:rsid w:val="00903605"/>
    <w:rsid w:val="00905F5A"/>
    <w:rsid w:val="009340F9"/>
    <w:rsid w:val="009361D5"/>
    <w:rsid w:val="00950247"/>
    <w:rsid w:val="00952573"/>
    <w:rsid w:val="00952DE8"/>
    <w:rsid w:val="00961C84"/>
    <w:rsid w:val="00966485"/>
    <w:rsid w:val="009771FB"/>
    <w:rsid w:val="009810C3"/>
    <w:rsid w:val="00985D3F"/>
    <w:rsid w:val="00987C72"/>
    <w:rsid w:val="00995762"/>
    <w:rsid w:val="009A19D7"/>
    <w:rsid w:val="009A698F"/>
    <w:rsid w:val="009C0082"/>
    <w:rsid w:val="009D7D02"/>
    <w:rsid w:val="009E79EF"/>
    <w:rsid w:val="009F2B8B"/>
    <w:rsid w:val="009F48EC"/>
    <w:rsid w:val="00A0171C"/>
    <w:rsid w:val="00A16B8E"/>
    <w:rsid w:val="00A268EE"/>
    <w:rsid w:val="00A30C1B"/>
    <w:rsid w:val="00A33CB8"/>
    <w:rsid w:val="00A4074B"/>
    <w:rsid w:val="00A43D62"/>
    <w:rsid w:val="00A44EDC"/>
    <w:rsid w:val="00A62724"/>
    <w:rsid w:val="00A7010C"/>
    <w:rsid w:val="00A71EDF"/>
    <w:rsid w:val="00A74CEA"/>
    <w:rsid w:val="00A76E73"/>
    <w:rsid w:val="00A80530"/>
    <w:rsid w:val="00A8066B"/>
    <w:rsid w:val="00A811B2"/>
    <w:rsid w:val="00A84B2B"/>
    <w:rsid w:val="00A9122B"/>
    <w:rsid w:val="00A976F2"/>
    <w:rsid w:val="00AA6549"/>
    <w:rsid w:val="00AB5DD7"/>
    <w:rsid w:val="00AC284D"/>
    <w:rsid w:val="00AC61F1"/>
    <w:rsid w:val="00AC7D9C"/>
    <w:rsid w:val="00AD43C1"/>
    <w:rsid w:val="00AD59D9"/>
    <w:rsid w:val="00AE173A"/>
    <w:rsid w:val="00AF16F0"/>
    <w:rsid w:val="00AF2A88"/>
    <w:rsid w:val="00B04B66"/>
    <w:rsid w:val="00B10B1F"/>
    <w:rsid w:val="00B13B34"/>
    <w:rsid w:val="00B15103"/>
    <w:rsid w:val="00B15E0D"/>
    <w:rsid w:val="00B174F4"/>
    <w:rsid w:val="00B24E79"/>
    <w:rsid w:val="00B27A4B"/>
    <w:rsid w:val="00B31316"/>
    <w:rsid w:val="00B43D6A"/>
    <w:rsid w:val="00B50B43"/>
    <w:rsid w:val="00B54859"/>
    <w:rsid w:val="00B60373"/>
    <w:rsid w:val="00B65613"/>
    <w:rsid w:val="00B70A09"/>
    <w:rsid w:val="00B72A18"/>
    <w:rsid w:val="00B750DD"/>
    <w:rsid w:val="00B809D7"/>
    <w:rsid w:val="00B80C92"/>
    <w:rsid w:val="00B941F2"/>
    <w:rsid w:val="00BB382C"/>
    <w:rsid w:val="00BC547D"/>
    <w:rsid w:val="00BC794F"/>
    <w:rsid w:val="00BD26F9"/>
    <w:rsid w:val="00BD3A49"/>
    <w:rsid w:val="00BE3150"/>
    <w:rsid w:val="00BF67B0"/>
    <w:rsid w:val="00C00B2D"/>
    <w:rsid w:val="00C072F1"/>
    <w:rsid w:val="00C10B2D"/>
    <w:rsid w:val="00C16734"/>
    <w:rsid w:val="00C24008"/>
    <w:rsid w:val="00C249D8"/>
    <w:rsid w:val="00C25652"/>
    <w:rsid w:val="00C3613C"/>
    <w:rsid w:val="00C40C22"/>
    <w:rsid w:val="00C426EC"/>
    <w:rsid w:val="00C60B97"/>
    <w:rsid w:val="00C62081"/>
    <w:rsid w:val="00C717C0"/>
    <w:rsid w:val="00C750CB"/>
    <w:rsid w:val="00C763AA"/>
    <w:rsid w:val="00C94B5F"/>
    <w:rsid w:val="00CA12B4"/>
    <w:rsid w:val="00CA7086"/>
    <w:rsid w:val="00CB1108"/>
    <w:rsid w:val="00CB208F"/>
    <w:rsid w:val="00CB4420"/>
    <w:rsid w:val="00CC4A23"/>
    <w:rsid w:val="00CD4588"/>
    <w:rsid w:val="00CD5C30"/>
    <w:rsid w:val="00CD7213"/>
    <w:rsid w:val="00CE534C"/>
    <w:rsid w:val="00CF5140"/>
    <w:rsid w:val="00CF623B"/>
    <w:rsid w:val="00D04747"/>
    <w:rsid w:val="00D057E1"/>
    <w:rsid w:val="00D11B2F"/>
    <w:rsid w:val="00D12519"/>
    <w:rsid w:val="00D26E2F"/>
    <w:rsid w:val="00D33AAF"/>
    <w:rsid w:val="00D35839"/>
    <w:rsid w:val="00D3774E"/>
    <w:rsid w:val="00D54A80"/>
    <w:rsid w:val="00D63568"/>
    <w:rsid w:val="00D64023"/>
    <w:rsid w:val="00D66BF5"/>
    <w:rsid w:val="00D7118D"/>
    <w:rsid w:val="00D71A43"/>
    <w:rsid w:val="00D75A3A"/>
    <w:rsid w:val="00D7758B"/>
    <w:rsid w:val="00D77B31"/>
    <w:rsid w:val="00D93885"/>
    <w:rsid w:val="00D94C9A"/>
    <w:rsid w:val="00DA08A1"/>
    <w:rsid w:val="00DC0D33"/>
    <w:rsid w:val="00DD68ED"/>
    <w:rsid w:val="00DE438A"/>
    <w:rsid w:val="00DF5FE2"/>
    <w:rsid w:val="00E03A12"/>
    <w:rsid w:val="00E11000"/>
    <w:rsid w:val="00E21BDA"/>
    <w:rsid w:val="00E2316F"/>
    <w:rsid w:val="00E27D3F"/>
    <w:rsid w:val="00E33166"/>
    <w:rsid w:val="00E36F49"/>
    <w:rsid w:val="00E373A2"/>
    <w:rsid w:val="00E45ED1"/>
    <w:rsid w:val="00E514B2"/>
    <w:rsid w:val="00E540F7"/>
    <w:rsid w:val="00E60630"/>
    <w:rsid w:val="00E61BE5"/>
    <w:rsid w:val="00E80183"/>
    <w:rsid w:val="00E84C8F"/>
    <w:rsid w:val="00E9192F"/>
    <w:rsid w:val="00E95AC5"/>
    <w:rsid w:val="00E97838"/>
    <w:rsid w:val="00EA5370"/>
    <w:rsid w:val="00EC43CE"/>
    <w:rsid w:val="00ED4C2D"/>
    <w:rsid w:val="00ED4F99"/>
    <w:rsid w:val="00EF439A"/>
    <w:rsid w:val="00F041F6"/>
    <w:rsid w:val="00F222E7"/>
    <w:rsid w:val="00F35543"/>
    <w:rsid w:val="00F40A01"/>
    <w:rsid w:val="00F4517C"/>
    <w:rsid w:val="00F4617B"/>
    <w:rsid w:val="00F55CAB"/>
    <w:rsid w:val="00F57E9E"/>
    <w:rsid w:val="00F627BC"/>
    <w:rsid w:val="00F64A88"/>
    <w:rsid w:val="00F867B2"/>
    <w:rsid w:val="00FB25F7"/>
    <w:rsid w:val="00FB319F"/>
    <w:rsid w:val="00FC013E"/>
    <w:rsid w:val="00FC1F91"/>
    <w:rsid w:val="00FC352A"/>
    <w:rsid w:val="00FC4FC8"/>
    <w:rsid w:val="00FD67CC"/>
    <w:rsid w:val="00FE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F2"/>
    <w:rPr>
      <w:sz w:val="24"/>
      <w:szCs w:val="24"/>
    </w:rPr>
  </w:style>
  <w:style w:type="paragraph" w:styleId="Heading9">
    <w:name w:val="heading 9"/>
    <w:basedOn w:val="Normal"/>
    <w:next w:val="Normal"/>
    <w:qFormat/>
    <w:rsid w:val="005061F2"/>
    <w:pPr>
      <w:keepNext/>
      <w:outlineLvl w:val="8"/>
    </w:pPr>
    <w:rPr>
      <w:rFonts w:ascii="Caslon Bd BT" w:hAnsi="Caslon Bd BT"/>
      <w:b/>
      <w:sz w:val="16"/>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61F2"/>
    <w:pPr>
      <w:spacing w:after="240" w:line="240" w:lineRule="atLeast"/>
      <w:ind w:firstLine="360"/>
      <w:jc w:val="both"/>
    </w:pPr>
    <w:rPr>
      <w:rFonts w:ascii="Garamond" w:hAnsi="Garamond"/>
      <w:sz w:val="22"/>
      <w:szCs w:val="20"/>
      <w:lang w:bidi="he-IL"/>
    </w:rPr>
  </w:style>
  <w:style w:type="paragraph" w:styleId="Closing">
    <w:name w:val="Closing"/>
    <w:basedOn w:val="Normal"/>
    <w:next w:val="Normal"/>
    <w:rsid w:val="005061F2"/>
    <w:pPr>
      <w:spacing w:line="220" w:lineRule="atLeast"/>
    </w:pPr>
    <w:rPr>
      <w:rFonts w:ascii="Garamond" w:hAnsi="Garamond"/>
      <w:sz w:val="22"/>
      <w:szCs w:val="20"/>
      <w:lang w:bidi="he-IL"/>
    </w:rPr>
  </w:style>
  <w:style w:type="paragraph" w:styleId="MessageHeader">
    <w:name w:val="Message Header"/>
    <w:basedOn w:val="BodyText"/>
    <w:rsid w:val="005061F2"/>
    <w:pPr>
      <w:keepLines/>
      <w:spacing w:after="120"/>
      <w:ind w:left="1080" w:hanging="1080"/>
      <w:jc w:val="left"/>
    </w:pPr>
    <w:rPr>
      <w:caps/>
      <w:sz w:val="18"/>
    </w:rPr>
  </w:style>
  <w:style w:type="paragraph" w:customStyle="1" w:styleId="MessageHeaderFirst">
    <w:name w:val="Message Header First"/>
    <w:basedOn w:val="MessageHeader"/>
    <w:next w:val="MessageHeader"/>
    <w:rsid w:val="005061F2"/>
    <w:pPr>
      <w:spacing w:before="360"/>
    </w:pPr>
  </w:style>
  <w:style w:type="character" w:styleId="Hyperlink">
    <w:name w:val="Hyperlink"/>
    <w:basedOn w:val="DefaultParagraphFont"/>
    <w:rsid w:val="005061F2"/>
    <w:rPr>
      <w:color w:val="0000FF"/>
      <w:u w:val="single"/>
    </w:rPr>
  </w:style>
  <w:style w:type="paragraph" w:styleId="BalloonText">
    <w:name w:val="Balloon Text"/>
    <w:basedOn w:val="Normal"/>
    <w:semiHidden/>
    <w:rsid w:val="00AF2A88"/>
    <w:rPr>
      <w:rFonts w:ascii="Tahoma" w:hAnsi="Tahoma" w:cs="Tahoma"/>
      <w:sz w:val="16"/>
      <w:szCs w:val="16"/>
    </w:rPr>
  </w:style>
  <w:style w:type="character" w:styleId="Emphasis">
    <w:name w:val="Emphasis"/>
    <w:basedOn w:val="DefaultParagraphFont"/>
    <w:qFormat/>
    <w:rsid w:val="00057F7F"/>
    <w:rPr>
      <w:i/>
      <w:iCs/>
    </w:rPr>
  </w:style>
  <w:style w:type="paragraph" w:styleId="NormalWeb">
    <w:name w:val="Normal (Web)"/>
    <w:basedOn w:val="Normal"/>
    <w:uiPriority w:val="99"/>
    <w:semiHidden/>
    <w:unhideWhenUsed/>
    <w:rsid w:val="007E52A0"/>
    <w:pPr>
      <w:spacing w:before="100" w:beforeAutospacing="1" w:after="100" w:afterAutospacing="1"/>
    </w:pPr>
  </w:style>
  <w:style w:type="table" w:styleId="TableGrid">
    <w:name w:val="Table Grid"/>
    <w:basedOn w:val="TableNormal"/>
    <w:uiPriority w:val="59"/>
    <w:rsid w:val="00A80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10CBE"/>
    <w:rPr>
      <w:rFonts w:ascii="Garamond" w:hAnsi="Garamond"/>
      <w:sz w:val="22"/>
      <w:lang w:bidi="he-IL"/>
    </w:rPr>
  </w:style>
  <w:style w:type="paragraph" w:styleId="Header">
    <w:name w:val="header"/>
    <w:basedOn w:val="Normal"/>
    <w:link w:val="HeaderChar"/>
    <w:uiPriority w:val="99"/>
    <w:semiHidden/>
    <w:unhideWhenUsed/>
    <w:rsid w:val="0007611E"/>
    <w:pPr>
      <w:tabs>
        <w:tab w:val="center" w:pos="4680"/>
        <w:tab w:val="right" w:pos="9360"/>
      </w:tabs>
    </w:pPr>
  </w:style>
  <w:style w:type="character" w:customStyle="1" w:styleId="HeaderChar">
    <w:name w:val="Header Char"/>
    <w:basedOn w:val="DefaultParagraphFont"/>
    <w:link w:val="Header"/>
    <w:uiPriority w:val="99"/>
    <w:semiHidden/>
    <w:rsid w:val="0007611E"/>
    <w:rPr>
      <w:sz w:val="24"/>
      <w:szCs w:val="24"/>
    </w:rPr>
  </w:style>
  <w:style w:type="paragraph" w:styleId="Footer">
    <w:name w:val="footer"/>
    <w:basedOn w:val="Normal"/>
    <w:link w:val="FooterChar"/>
    <w:uiPriority w:val="99"/>
    <w:semiHidden/>
    <w:unhideWhenUsed/>
    <w:rsid w:val="0007611E"/>
    <w:pPr>
      <w:tabs>
        <w:tab w:val="center" w:pos="4680"/>
        <w:tab w:val="right" w:pos="9360"/>
      </w:tabs>
    </w:pPr>
  </w:style>
  <w:style w:type="character" w:customStyle="1" w:styleId="FooterChar">
    <w:name w:val="Footer Char"/>
    <w:basedOn w:val="DefaultParagraphFont"/>
    <w:link w:val="Footer"/>
    <w:uiPriority w:val="99"/>
    <w:semiHidden/>
    <w:rsid w:val="0007611E"/>
    <w:rPr>
      <w:sz w:val="24"/>
      <w:szCs w:val="24"/>
    </w:rPr>
  </w:style>
  <w:style w:type="paragraph" w:styleId="NoSpacing">
    <w:name w:val="No Spacing"/>
    <w:uiPriority w:val="1"/>
    <w:qFormat/>
    <w:rsid w:val="002A534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208684">
      <w:bodyDiv w:val="1"/>
      <w:marLeft w:val="0"/>
      <w:marRight w:val="0"/>
      <w:marTop w:val="0"/>
      <w:marBottom w:val="0"/>
      <w:divBdr>
        <w:top w:val="none" w:sz="0" w:space="0" w:color="auto"/>
        <w:left w:val="none" w:sz="0" w:space="0" w:color="auto"/>
        <w:bottom w:val="none" w:sz="0" w:space="0" w:color="auto"/>
        <w:right w:val="none" w:sz="0" w:space="0" w:color="auto"/>
      </w:divBdr>
      <w:divsChild>
        <w:div w:id="563182473">
          <w:marLeft w:val="0"/>
          <w:marRight w:val="0"/>
          <w:marTop w:val="0"/>
          <w:marBottom w:val="0"/>
          <w:divBdr>
            <w:top w:val="none" w:sz="0" w:space="0" w:color="auto"/>
            <w:left w:val="none" w:sz="0" w:space="0" w:color="auto"/>
            <w:bottom w:val="none" w:sz="0" w:space="0" w:color="auto"/>
            <w:right w:val="none" w:sz="0" w:space="0" w:color="auto"/>
          </w:divBdr>
          <w:divsChild>
            <w:div w:id="449394139">
              <w:marLeft w:val="0"/>
              <w:marRight w:val="0"/>
              <w:marTop w:val="0"/>
              <w:marBottom w:val="0"/>
              <w:divBdr>
                <w:top w:val="none" w:sz="0" w:space="0" w:color="auto"/>
                <w:left w:val="none" w:sz="0" w:space="0" w:color="auto"/>
                <w:bottom w:val="none" w:sz="0" w:space="0" w:color="auto"/>
                <w:right w:val="none" w:sz="0" w:space="0" w:color="auto"/>
              </w:divBdr>
            </w:div>
            <w:div w:id="485363223">
              <w:marLeft w:val="0"/>
              <w:marRight w:val="0"/>
              <w:marTop w:val="0"/>
              <w:marBottom w:val="0"/>
              <w:divBdr>
                <w:top w:val="none" w:sz="0" w:space="0" w:color="auto"/>
                <w:left w:val="none" w:sz="0" w:space="0" w:color="auto"/>
                <w:bottom w:val="none" w:sz="0" w:space="0" w:color="auto"/>
                <w:right w:val="none" w:sz="0" w:space="0" w:color="auto"/>
              </w:divBdr>
            </w:div>
            <w:div w:id="9208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2577">
      <w:bodyDiv w:val="1"/>
      <w:marLeft w:val="0"/>
      <w:marRight w:val="0"/>
      <w:marTop w:val="0"/>
      <w:marBottom w:val="0"/>
      <w:divBdr>
        <w:top w:val="none" w:sz="0" w:space="0" w:color="auto"/>
        <w:left w:val="none" w:sz="0" w:space="0" w:color="auto"/>
        <w:bottom w:val="none" w:sz="0" w:space="0" w:color="auto"/>
        <w:right w:val="none" w:sz="0" w:space="0" w:color="auto"/>
      </w:divBdr>
      <w:divsChild>
        <w:div w:id="1247887587">
          <w:marLeft w:val="0"/>
          <w:marRight w:val="0"/>
          <w:marTop w:val="0"/>
          <w:marBottom w:val="0"/>
          <w:divBdr>
            <w:top w:val="none" w:sz="0" w:space="0" w:color="auto"/>
            <w:left w:val="none" w:sz="0" w:space="0" w:color="auto"/>
            <w:bottom w:val="none" w:sz="0" w:space="0" w:color="auto"/>
            <w:right w:val="none" w:sz="0" w:space="0" w:color="auto"/>
          </w:divBdr>
          <w:divsChild>
            <w:div w:id="2112969229">
              <w:marLeft w:val="0"/>
              <w:marRight w:val="0"/>
              <w:marTop w:val="0"/>
              <w:marBottom w:val="0"/>
              <w:divBdr>
                <w:top w:val="none" w:sz="0" w:space="0" w:color="auto"/>
                <w:left w:val="none" w:sz="0" w:space="0" w:color="auto"/>
                <w:bottom w:val="none" w:sz="0" w:space="0" w:color="auto"/>
                <w:right w:val="none" w:sz="0" w:space="0" w:color="auto"/>
              </w:divBdr>
              <w:divsChild>
                <w:div w:id="49885971">
                  <w:marLeft w:val="0"/>
                  <w:marRight w:val="0"/>
                  <w:marTop w:val="0"/>
                  <w:marBottom w:val="0"/>
                  <w:divBdr>
                    <w:top w:val="none" w:sz="0" w:space="0" w:color="auto"/>
                    <w:left w:val="none" w:sz="0" w:space="0" w:color="auto"/>
                    <w:bottom w:val="none" w:sz="0" w:space="0" w:color="auto"/>
                    <w:right w:val="none" w:sz="0" w:space="0" w:color="auto"/>
                  </w:divBdr>
                  <w:divsChild>
                    <w:div w:id="1147018128">
                      <w:marLeft w:val="0"/>
                      <w:marRight w:val="0"/>
                      <w:marTop w:val="0"/>
                      <w:marBottom w:val="84"/>
                      <w:divBdr>
                        <w:top w:val="none" w:sz="0" w:space="0" w:color="auto"/>
                        <w:left w:val="none" w:sz="0" w:space="0" w:color="auto"/>
                        <w:bottom w:val="none" w:sz="0" w:space="0" w:color="auto"/>
                        <w:right w:val="none" w:sz="0" w:space="0" w:color="auto"/>
                      </w:divBdr>
                      <w:divsChild>
                        <w:div w:id="20141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19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0C21B-1812-4522-8076-F1CC769BED18}"/>
</file>

<file path=customXml/itemProps2.xml><?xml version="1.0" encoding="utf-8"?>
<ds:datastoreItem xmlns:ds="http://schemas.openxmlformats.org/officeDocument/2006/customXml" ds:itemID="{B2046BAD-7A48-4408-B94B-8DC9FFDB4FA5}"/>
</file>

<file path=customXml/itemProps3.xml><?xml version="1.0" encoding="utf-8"?>
<ds:datastoreItem xmlns:ds="http://schemas.openxmlformats.org/officeDocument/2006/customXml" ds:itemID="{CBEA841C-B49C-4392-85E6-28987685D47A}"/>
</file>

<file path=customXml/itemProps4.xml><?xml version="1.0" encoding="utf-8"?>
<ds:datastoreItem xmlns:ds="http://schemas.openxmlformats.org/officeDocument/2006/customXml" ds:itemID="{401CCDB9-AA65-4582-8ECD-AEDAF5A36A2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4790</CharactersWithSpaces>
  <SharedDoc>false</SharedDoc>
  <HLinks>
    <vt:vector size="18" baseType="variant">
      <vt:variant>
        <vt:i4>5439530</vt:i4>
      </vt:variant>
      <vt:variant>
        <vt:i4>21</vt:i4>
      </vt:variant>
      <vt:variant>
        <vt:i4>0</vt:i4>
      </vt:variant>
      <vt:variant>
        <vt:i4>5</vt:i4>
      </vt:variant>
      <vt:variant>
        <vt:lpwstr>mailto:kathy@communitybankers-wa.org</vt:lpwstr>
      </vt:variant>
      <vt:variant>
        <vt:lpwstr/>
      </vt:variant>
      <vt:variant>
        <vt:i4>8126585</vt:i4>
      </vt:variant>
      <vt:variant>
        <vt:i4>3</vt:i4>
      </vt:variant>
      <vt:variant>
        <vt:i4>0</vt:i4>
      </vt:variant>
      <vt:variant>
        <vt:i4>5</vt:i4>
      </vt:variant>
      <vt:variant>
        <vt:lpwstr>http://www.communitybankers-wa.org/</vt:lpwstr>
      </vt:variant>
      <vt:variant>
        <vt:lpwstr/>
      </vt:variant>
      <vt:variant>
        <vt:i4>524396</vt:i4>
      </vt:variant>
      <vt:variant>
        <vt:i4>0</vt:i4>
      </vt:variant>
      <vt:variant>
        <vt:i4>0</vt:i4>
      </vt:variant>
      <vt:variant>
        <vt:i4>5</vt:i4>
      </vt:variant>
      <vt:variant>
        <vt:lpwstr>mailto:brad@communitybankers-wa.org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Mark</cp:lastModifiedBy>
  <cp:revision>2</cp:revision>
  <cp:lastPrinted>2013-12-12T22:09:00Z</cp:lastPrinted>
  <dcterms:created xsi:type="dcterms:W3CDTF">2014-12-10T23:16:00Z</dcterms:created>
  <dcterms:modified xsi:type="dcterms:W3CDTF">2014-12-10T23:16:00Z</dcterms:modified>
</cp:coreProperties>
</file>