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92" w:rsidRDefault="00511392" w:rsidP="004769E5">
      <w:pPr>
        <w:spacing w:line="240" w:lineRule="auto"/>
        <w:contextualSpacing/>
        <w:rPr>
          <w:rFonts w:ascii="Verdana" w:hAnsi="Verdana"/>
          <w:sz w:val="20"/>
        </w:rPr>
      </w:pPr>
    </w:p>
    <w:p w:rsidR="00511392" w:rsidRDefault="00511392" w:rsidP="004769E5">
      <w:pPr>
        <w:spacing w:line="240" w:lineRule="auto"/>
        <w:contextualSpacing/>
        <w:rPr>
          <w:rFonts w:ascii="Verdana" w:hAnsi="Verdana"/>
          <w:sz w:val="20"/>
        </w:rPr>
      </w:pPr>
    </w:p>
    <w:p w:rsidR="00511392" w:rsidRDefault="00511392" w:rsidP="004769E5">
      <w:pPr>
        <w:spacing w:line="240" w:lineRule="auto"/>
        <w:contextualSpacing/>
        <w:rPr>
          <w:rFonts w:ascii="Verdana" w:hAnsi="Verdana"/>
          <w:sz w:val="20"/>
        </w:rPr>
      </w:pPr>
    </w:p>
    <w:p w:rsidR="00511392" w:rsidRDefault="00511392" w:rsidP="004769E5">
      <w:pPr>
        <w:spacing w:line="240" w:lineRule="auto"/>
        <w:contextualSpacing/>
        <w:rPr>
          <w:rFonts w:ascii="Verdana" w:hAnsi="Verdana"/>
          <w:sz w:val="20"/>
        </w:rPr>
      </w:pPr>
    </w:p>
    <w:p w:rsidR="00511392" w:rsidRDefault="00511392"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bookmarkStart w:id="0" w:name="_GoBack"/>
      <w:r w:rsidRPr="00AA6D48">
        <w:rPr>
          <w:rFonts w:ascii="Verdana" w:hAnsi="Verdana"/>
          <w:sz w:val="20"/>
        </w:rPr>
        <w:t>Alfred M. Pollard, General Counsel</w:t>
      </w:r>
    </w:p>
    <w:p w:rsidR="004769E5" w:rsidRPr="00AA6D48" w:rsidRDefault="004769E5" w:rsidP="004769E5">
      <w:pPr>
        <w:spacing w:line="240" w:lineRule="auto"/>
        <w:contextualSpacing/>
        <w:rPr>
          <w:rFonts w:ascii="Verdana" w:hAnsi="Verdana"/>
          <w:sz w:val="20"/>
        </w:rPr>
      </w:pPr>
      <w:r w:rsidRPr="00AA6D48">
        <w:rPr>
          <w:rFonts w:ascii="Verdana" w:hAnsi="Verdana"/>
          <w:sz w:val="20"/>
        </w:rPr>
        <w:t>Attention: Comments/RIN 2590-AA39</w:t>
      </w:r>
    </w:p>
    <w:p w:rsidR="004769E5" w:rsidRPr="00AA6D48" w:rsidRDefault="004769E5" w:rsidP="004769E5">
      <w:pPr>
        <w:spacing w:line="240" w:lineRule="auto"/>
        <w:contextualSpacing/>
        <w:rPr>
          <w:rFonts w:ascii="Verdana" w:hAnsi="Verdana"/>
          <w:sz w:val="20"/>
        </w:rPr>
      </w:pPr>
      <w:r w:rsidRPr="00AA6D48">
        <w:rPr>
          <w:rFonts w:ascii="Verdana" w:hAnsi="Verdana"/>
          <w:sz w:val="20"/>
        </w:rPr>
        <w:t>Federal Housing Finance Agency</w:t>
      </w:r>
    </w:p>
    <w:p w:rsidR="004769E5" w:rsidRPr="00AA6D48" w:rsidRDefault="004769E5" w:rsidP="004769E5">
      <w:pPr>
        <w:spacing w:line="240" w:lineRule="auto"/>
        <w:contextualSpacing/>
        <w:rPr>
          <w:rFonts w:ascii="Verdana" w:hAnsi="Verdana"/>
          <w:sz w:val="20"/>
        </w:rPr>
      </w:pPr>
      <w:r w:rsidRPr="00AA6D48">
        <w:rPr>
          <w:rFonts w:ascii="Verdana" w:hAnsi="Verdana"/>
          <w:sz w:val="20"/>
        </w:rPr>
        <w:t>400 Seventh Street SW</w:t>
      </w:r>
    </w:p>
    <w:p w:rsidR="004769E5" w:rsidRPr="00AA6D48" w:rsidRDefault="004769E5" w:rsidP="004769E5">
      <w:pPr>
        <w:spacing w:line="240" w:lineRule="auto"/>
        <w:contextualSpacing/>
        <w:rPr>
          <w:rFonts w:ascii="Verdana" w:hAnsi="Verdana"/>
          <w:sz w:val="20"/>
        </w:rPr>
      </w:pPr>
      <w:r w:rsidRPr="00AA6D48">
        <w:rPr>
          <w:rFonts w:ascii="Verdana" w:hAnsi="Verdana"/>
          <w:sz w:val="20"/>
        </w:rPr>
        <w:t>Washington, D.C. 20024</w:t>
      </w:r>
    </w:p>
    <w:p w:rsidR="004769E5" w:rsidRPr="00AA6D48" w:rsidRDefault="004769E5" w:rsidP="004769E5">
      <w:pPr>
        <w:spacing w:line="240" w:lineRule="auto"/>
        <w:contextualSpacing/>
        <w:rPr>
          <w:rFonts w:ascii="Verdana" w:hAnsi="Verdana"/>
          <w:sz w:val="20"/>
        </w:rPr>
      </w:pPr>
    </w:p>
    <w:p w:rsidR="004769E5" w:rsidRPr="00AA6D48" w:rsidRDefault="004769E5" w:rsidP="004769E5">
      <w:pPr>
        <w:spacing w:line="240" w:lineRule="auto"/>
        <w:contextualSpacing/>
        <w:rPr>
          <w:rFonts w:ascii="Verdana" w:hAnsi="Verdana"/>
          <w:sz w:val="20"/>
        </w:rPr>
      </w:pPr>
      <w:r w:rsidRPr="00AA6D48">
        <w:rPr>
          <w:rFonts w:ascii="Verdana" w:hAnsi="Verdana"/>
          <w:sz w:val="20"/>
        </w:rPr>
        <w:t>Re: Notice of Proposed Rulemaking and Request for Comments- Members of the FHLBanks (RIN 2590-AA39)</w:t>
      </w:r>
    </w:p>
    <w:p w:rsidR="004769E5" w:rsidRPr="00AA6D48" w:rsidRDefault="004769E5" w:rsidP="004769E5">
      <w:pPr>
        <w:spacing w:line="240" w:lineRule="auto"/>
        <w:contextualSpacing/>
        <w:rPr>
          <w:rFonts w:ascii="Verdana" w:hAnsi="Verdana"/>
          <w:sz w:val="20"/>
        </w:rPr>
      </w:pPr>
    </w:p>
    <w:p w:rsidR="00AF7D20" w:rsidRPr="00BD61C9" w:rsidRDefault="004769E5" w:rsidP="004769E5">
      <w:pPr>
        <w:spacing w:line="240" w:lineRule="auto"/>
        <w:contextualSpacing/>
        <w:rPr>
          <w:rFonts w:ascii="Verdana" w:hAnsi="Verdana"/>
          <w:sz w:val="20"/>
        </w:rPr>
      </w:pPr>
      <w:r w:rsidRPr="00AA6D48">
        <w:rPr>
          <w:rFonts w:ascii="Verdana" w:hAnsi="Verdana"/>
          <w:sz w:val="20"/>
        </w:rPr>
        <w:t>Dear Mr. Pollard:</w:t>
      </w:r>
    </w:p>
    <w:p w:rsidR="00AF7D20" w:rsidRPr="00AA6D48" w:rsidRDefault="00AF7D20" w:rsidP="004769E5">
      <w:pPr>
        <w:spacing w:line="240" w:lineRule="auto"/>
        <w:contextualSpacing/>
        <w:rPr>
          <w:rFonts w:ascii="Verdana" w:hAnsi="Verdana"/>
          <w:b/>
          <w:sz w:val="20"/>
          <w:szCs w:val="20"/>
          <w:u w:val="single"/>
        </w:rPr>
      </w:pPr>
    </w:p>
    <w:p w:rsidR="00AF7D20" w:rsidRDefault="004769E5" w:rsidP="00BD61C9">
      <w:pPr>
        <w:spacing w:line="240" w:lineRule="auto"/>
        <w:contextualSpacing/>
        <w:rPr>
          <w:rFonts w:ascii="Verdana" w:hAnsi="Verdana"/>
          <w:sz w:val="20"/>
        </w:rPr>
      </w:pPr>
      <w:r w:rsidRPr="00AA6D48">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AA6D48">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w:t>
      </w:r>
      <w:r w:rsidR="00BD61C9">
        <w:rPr>
          <w:rFonts w:ascii="Verdana" w:hAnsi="Verdana"/>
          <w:sz w:val="20"/>
        </w:rPr>
        <w:t xml:space="preserve">LBank Act).  For these reasons First State Bank of Wyoming </w:t>
      </w:r>
      <w:r w:rsidR="00DB21EC" w:rsidRPr="00AA6D48">
        <w:rPr>
          <w:rFonts w:ascii="Verdana" w:hAnsi="Verdana"/>
          <w:sz w:val="20"/>
        </w:rPr>
        <w:t xml:space="preserve">vehemently opposes this proposed rule. </w:t>
      </w:r>
    </w:p>
    <w:p w:rsidR="00BD61C9" w:rsidRPr="00BD61C9" w:rsidRDefault="00BD61C9" w:rsidP="00BD61C9">
      <w:pPr>
        <w:spacing w:line="240" w:lineRule="auto"/>
        <w:contextualSpacing/>
        <w:rPr>
          <w:rFonts w:ascii="Verdana" w:hAnsi="Verdana"/>
          <w:sz w:val="20"/>
        </w:rPr>
      </w:pPr>
    </w:p>
    <w:p w:rsidR="00DB21EC" w:rsidRPr="00AA6D48" w:rsidRDefault="00DB21EC" w:rsidP="00DB21EC">
      <w:pPr>
        <w:rPr>
          <w:rFonts w:ascii="Verdana" w:hAnsi="Verdana"/>
          <w:sz w:val="20"/>
        </w:rPr>
      </w:pPr>
      <w:r w:rsidRPr="00AA6D48">
        <w:rPr>
          <w:rFonts w:ascii="Verdana" w:hAnsi="Verdana"/>
          <w:sz w:val="20"/>
        </w:rPr>
        <w:t xml:space="preserve">The proposed regulation on FHLB membership creates many concerns for our bank. While my bank would meet the proposed rule requirements of the proposed rule today, I feel that the rule establishes a problematic precedent.  There remains a distinct chance that at some point in the future, due </w:t>
      </w:r>
      <w:r w:rsidR="00BD61C9">
        <w:rPr>
          <w:rFonts w:ascii="Verdana" w:hAnsi="Verdana"/>
          <w:sz w:val="20"/>
        </w:rPr>
        <w:t xml:space="preserve">to </w:t>
      </w:r>
      <w:r w:rsidRPr="00AA6D48">
        <w:rPr>
          <w:rFonts w:ascii="Verdana" w:hAnsi="Verdana"/>
          <w:sz w:val="20"/>
        </w:rPr>
        <w:t xml:space="preserve">prudent management of interest rate risk, economic or regulatory changes, our institution could fail the test.  Our bank should be free to manage our balance sheets in light of what’s best for us, not the demands of a regulator.  </w:t>
      </w:r>
      <w:r w:rsidR="00AF7D20" w:rsidRPr="00AA6D48">
        <w:rPr>
          <w:rFonts w:ascii="Verdana" w:hAnsi="Verdana"/>
          <w:sz w:val="20"/>
        </w:rPr>
        <w:t xml:space="preserve">Not to mention, </w:t>
      </w:r>
      <w:r w:rsidR="009E64AE" w:rsidRPr="00AA6D48">
        <w:rPr>
          <w:rFonts w:ascii="Verdana" w:hAnsi="Verdana"/>
          <w:sz w:val="20"/>
        </w:rPr>
        <w:t>the proposed</w:t>
      </w:r>
      <w:r w:rsidR="00AF7D20" w:rsidRPr="00AA6D48">
        <w:rPr>
          <w:rFonts w:ascii="Verdana" w:hAnsi="Verdana"/>
          <w:sz w:val="20"/>
        </w:rPr>
        <w:t xml:space="preserve"> regulation conflicts with concerns from financial regulators that financial institutions reduce holdings of long-term fixed rate mortgages and sell them in the secondary market.  </w:t>
      </w:r>
    </w:p>
    <w:p w:rsidR="00E21338" w:rsidRPr="00AA6D48" w:rsidRDefault="00E21338" w:rsidP="00DB21EC">
      <w:pPr>
        <w:rPr>
          <w:rFonts w:ascii="Verdana" w:hAnsi="Verdana"/>
          <w:sz w:val="20"/>
        </w:rPr>
      </w:pPr>
      <w:r w:rsidRPr="00AA6D48">
        <w:rPr>
          <w:rFonts w:ascii="Verdana" w:hAnsi="Verdana"/>
          <w:sz w:val="20"/>
        </w:rPr>
        <w:t xml:space="preserve">It is also crucial to point out that more than 25 years ago, Congress made it clear that community financial institutions (CFIs) such as my bank may use advances for purposes other than residential housing finance.  It remains the intent of Congress today that CFIs may utilize FHLBank liquidity for commercial real estate, small business, agricultural real estate and agricultural operating loans.  This fact alone highlights how this proposed rule runs counter to existing federal statute.  </w:t>
      </w:r>
    </w:p>
    <w:p w:rsidR="00E21338" w:rsidRPr="00AA6D48" w:rsidRDefault="00E21338" w:rsidP="00DB21EC">
      <w:pPr>
        <w:rPr>
          <w:rFonts w:ascii="Verdana" w:hAnsi="Verdana"/>
          <w:sz w:val="20"/>
        </w:rPr>
      </w:pPr>
      <w:r w:rsidRPr="00AA6D48">
        <w:rPr>
          <w:rFonts w:ascii="Verdana" w:hAnsi="Verdana"/>
          <w:sz w:val="20"/>
        </w:rPr>
        <w:t xml:space="preserve">Broadly speaking, the FHLB Des Moines serves as a critical source of liquidity for </w:t>
      </w:r>
      <w:r w:rsidR="00726BDE" w:rsidRPr="00AA6D48">
        <w:rPr>
          <w:rFonts w:ascii="Verdana" w:hAnsi="Verdana"/>
          <w:sz w:val="20"/>
        </w:rPr>
        <w:t xml:space="preserve">financial institutions </w:t>
      </w:r>
      <w:r w:rsidRPr="00AA6D48">
        <w:rPr>
          <w:rFonts w:ascii="Verdana" w:hAnsi="Verdana"/>
          <w:sz w:val="20"/>
        </w:rPr>
        <w:t xml:space="preserve">in Iowa, Minnesota, Missouri, North and South Dakota.  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AF7D20" w:rsidRDefault="00AF7D20" w:rsidP="00AF7D20">
      <w:pPr>
        <w:rPr>
          <w:rFonts w:ascii="Verdana" w:hAnsi="Verdana"/>
          <w:sz w:val="20"/>
        </w:rPr>
      </w:pPr>
      <w:r w:rsidRPr="00AA6D48">
        <w:rPr>
          <w:rFonts w:ascii="Verdana" w:hAnsi="Verdana"/>
          <w:sz w:val="20"/>
        </w:rPr>
        <w:t xml:space="preserve">Your agency’s proposed rules could fundamentally change how, or even whether, a depository financial institution such as ours could remain a member of a FHLB Des Moines. This is enormously disturbing. Confidence trust and reliability comprise the bedrock upon </w:t>
      </w:r>
      <w:r w:rsidRPr="00AA6D48">
        <w:rPr>
          <w:rFonts w:ascii="Verdana" w:hAnsi="Verdana"/>
          <w:sz w:val="20"/>
        </w:rPr>
        <w:lastRenderedPageBreak/>
        <w:t>which our long-time FHLB membership is built. We need to know that the FHLB Des Moines can provide funding on a moment’s notice as it did in the recent financial crisis.</w:t>
      </w:r>
    </w:p>
    <w:p w:rsidR="00573CEC" w:rsidRPr="007F7A2B" w:rsidRDefault="00573CEC" w:rsidP="00573CEC">
      <w:pPr>
        <w:rPr>
          <w:rFonts w:ascii="Verdana" w:hAnsi="Verdana"/>
          <w:sz w:val="20"/>
        </w:rPr>
      </w:pPr>
      <w:r>
        <w:rPr>
          <w:rFonts w:ascii="Verdana" w:hAnsi="Verdana"/>
          <w:sz w:val="20"/>
        </w:rPr>
        <w:t>Access to advances is critically important</w:t>
      </w:r>
      <w:r w:rsidR="00BD61C9">
        <w:rPr>
          <w:rFonts w:ascii="Verdana" w:hAnsi="Verdana"/>
          <w:sz w:val="20"/>
        </w:rPr>
        <w:t xml:space="preserve"> to our bank because FHLBank </w:t>
      </w:r>
      <w:r w:rsidRPr="00100791">
        <w:rPr>
          <w:rFonts w:ascii="Verdana" w:hAnsi="Verdana"/>
          <w:b/>
          <w:sz w:val="20"/>
        </w:rPr>
        <w:t>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BE5F3B" w:rsidRPr="00AA6D48" w:rsidRDefault="00BE5F3B" w:rsidP="00AF7D20">
      <w:pPr>
        <w:rPr>
          <w:rFonts w:ascii="Verdana" w:hAnsi="Verdana"/>
          <w:sz w:val="20"/>
          <w:szCs w:val="20"/>
        </w:rPr>
      </w:pPr>
      <w:r w:rsidRPr="00AA6D48">
        <w:rPr>
          <w:rFonts w:ascii="Verdana" w:hAnsi="Verdana"/>
          <w:sz w:val="20"/>
          <w:szCs w:val="20"/>
        </w:rPr>
        <w:t xml:space="preserve">Access to FHLBank advances is important to CFIs like mine in our region.  FHLB Des Moines and the 11 other FHLBanks are operating well within the authorities granted them by Congress.  The membership requirements being contemplated by FHFA would change long-standing requirements that have worked well, and the proposed rule would ignore the collateral expansions approved by Congress over time.  </w:t>
      </w:r>
      <w:r w:rsidR="00BD61C9" w:rsidRPr="00BD61C9">
        <w:rPr>
          <w:rFonts w:ascii="Verdana" w:hAnsi="Verdana"/>
          <w:sz w:val="20"/>
          <w:szCs w:val="20"/>
        </w:rPr>
        <w:t>First State Bank of Wyoming</w:t>
      </w:r>
      <w:r w:rsidRPr="00AA6D48">
        <w:rPr>
          <w:rFonts w:ascii="Verdana" w:hAnsi="Verdana"/>
          <w:sz w:val="20"/>
          <w:szCs w:val="20"/>
        </w:rPr>
        <w:t xml:space="preserve"> strongly recommends you rescind the proposed rule.  Thanks for taking our comments into consideration.  </w:t>
      </w:r>
    </w:p>
    <w:p w:rsidR="00AF7D20" w:rsidRPr="00AA6D48" w:rsidRDefault="00AF7D20" w:rsidP="00AF7D20">
      <w:pPr>
        <w:rPr>
          <w:rFonts w:ascii="Verdana" w:hAnsi="Verdana"/>
          <w:sz w:val="20"/>
          <w:szCs w:val="20"/>
        </w:rPr>
      </w:pPr>
    </w:p>
    <w:p w:rsidR="00AF7D20" w:rsidRPr="00AA6D48" w:rsidRDefault="00AF7D20" w:rsidP="00DB21EC">
      <w:pPr>
        <w:rPr>
          <w:rFonts w:ascii="Verdana" w:hAnsi="Verdana"/>
          <w:sz w:val="20"/>
        </w:rPr>
      </w:pPr>
    </w:p>
    <w:p w:rsidR="00AF7D20" w:rsidRPr="00AA6D48" w:rsidRDefault="00AF7D20" w:rsidP="00DB21EC">
      <w:pPr>
        <w:rPr>
          <w:rFonts w:ascii="Verdana" w:hAnsi="Verdana"/>
          <w:sz w:val="20"/>
        </w:rPr>
      </w:pPr>
      <w:r w:rsidRPr="00AA6D48">
        <w:rPr>
          <w:rFonts w:ascii="Verdana" w:hAnsi="Verdana"/>
          <w:sz w:val="20"/>
        </w:rPr>
        <w:t>Sincerely,</w:t>
      </w:r>
    </w:p>
    <w:p w:rsidR="00AF7D20" w:rsidRPr="00AA6D48" w:rsidRDefault="00AF7D20" w:rsidP="00DB21EC">
      <w:pPr>
        <w:rPr>
          <w:rFonts w:ascii="Verdana" w:hAnsi="Verdana"/>
          <w:sz w:val="20"/>
        </w:rPr>
      </w:pPr>
    </w:p>
    <w:p w:rsidR="00AF7D20" w:rsidRPr="00BD61C9" w:rsidRDefault="00BD61C9" w:rsidP="00AF7D20">
      <w:pPr>
        <w:spacing w:line="240" w:lineRule="auto"/>
        <w:contextualSpacing/>
        <w:rPr>
          <w:rFonts w:ascii="Verdana" w:hAnsi="Verdana"/>
          <w:sz w:val="20"/>
        </w:rPr>
      </w:pPr>
      <w:r w:rsidRPr="00BD61C9">
        <w:rPr>
          <w:rFonts w:ascii="Verdana" w:hAnsi="Verdana"/>
          <w:sz w:val="20"/>
        </w:rPr>
        <w:t>Mark A. Zaruba</w:t>
      </w:r>
    </w:p>
    <w:p w:rsidR="00AF7D20" w:rsidRPr="00BD61C9" w:rsidRDefault="00BD61C9" w:rsidP="00AF7D20">
      <w:pPr>
        <w:spacing w:line="240" w:lineRule="auto"/>
        <w:contextualSpacing/>
        <w:rPr>
          <w:rFonts w:ascii="Verdana" w:hAnsi="Verdana"/>
          <w:sz w:val="20"/>
        </w:rPr>
      </w:pPr>
      <w:r w:rsidRPr="00BD61C9">
        <w:rPr>
          <w:rFonts w:ascii="Verdana" w:hAnsi="Verdana"/>
          <w:sz w:val="20"/>
        </w:rPr>
        <w:t>Executive Vice President</w:t>
      </w:r>
    </w:p>
    <w:p w:rsidR="00AF7D20" w:rsidRPr="00AA6D48" w:rsidRDefault="00BD61C9" w:rsidP="00AF7D20">
      <w:pPr>
        <w:spacing w:line="240" w:lineRule="auto"/>
        <w:contextualSpacing/>
        <w:rPr>
          <w:rFonts w:ascii="Verdana" w:hAnsi="Verdana"/>
          <w:sz w:val="20"/>
        </w:rPr>
      </w:pPr>
      <w:r w:rsidRPr="00BD61C9">
        <w:rPr>
          <w:rFonts w:ascii="Verdana" w:hAnsi="Verdana"/>
          <w:sz w:val="20"/>
        </w:rPr>
        <w:t>First State Bank of Wyoming</w:t>
      </w:r>
      <w:bookmarkEnd w:id="0"/>
    </w:p>
    <w:p w:rsidR="00DB21EC" w:rsidRPr="00AA6D48" w:rsidRDefault="00DB21EC" w:rsidP="00DB21EC">
      <w:pPr>
        <w:rPr>
          <w:rFonts w:ascii="Verdana" w:hAnsi="Verdana"/>
          <w:sz w:val="20"/>
        </w:rPr>
      </w:pPr>
    </w:p>
    <w:p w:rsidR="004769E5" w:rsidRPr="00AA6D48" w:rsidRDefault="004769E5" w:rsidP="004769E5">
      <w:pPr>
        <w:spacing w:line="240" w:lineRule="auto"/>
        <w:contextualSpacing/>
        <w:rPr>
          <w:rFonts w:ascii="Verdana" w:hAnsi="Verdana"/>
          <w:sz w:val="20"/>
        </w:rPr>
      </w:pPr>
    </w:p>
    <w:sectPr w:rsidR="004769E5" w:rsidRPr="00AA6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E5"/>
    <w:rsid w:val="0001515B"/>
    <w:rsid w:val="00035996"/>
    <w:rsid w:val="000B104D"/>
    <w:rsid w:val="000B2C3A"/>
    <w:rsid w:val="000F392C"/>
    <w:rsid w:val="00125242"/>
    <w:rsid w:val="00131F0B"/>
    <w:rsid w:val="00152DEA"/>
    <w:rsid w:val="001D5E53"/>
    <w:rsid w:val="001E6D1A"/>
    <w:rsid w:val="00206C15"/>
    <w:rsid w:val="00247229"/>
    <w:rsid w:val="00271B52"/>
    <w:rsid w:val="002D48EC"/>
    <w:rsid w:val="002D7298"/>
    <w:rsid w:val="002F46C2"/>
    <w:rsid w:val="00310FD8"/>
    <w:rsid w:val="0032060F"/>
    <w:rsid w:val="003273EA"/>
    <w:rsid w:val="003E0D88"/>
    <w:rsid w:val="003F038A"/>
    <w:rsid w:val="003F6C93"/>
    <w:rsid w:val="0043138C"/>
    <w:rsid w:val="0046376A"/>
    <w:rsid w:val="004769E5"/>
    <w:rsid w:val="004C728A"/>
    <w:rsid w:val="00511392"/>
    <w:rsid w:val="005605AE"/>
    <w:rsid w:val="00562FE4"/>
    <w:rsid w:val="00573CEC"/>
    <w:rsid w:val="005B52AB"/>
    <w:rsid w:val="005C7126"/>
    <w:rsid w:val="005D0D9D"/>
    <w:rsid w:val="006023E1"/>
    <w:rsid w:val="00605EF8"/>
    <w:rsid w:val="006102DD"/>
    <w:rsid w:val="006967E2"/>
    <w:rsid w:val="006A1939"/>
    <w:rsid w:val="006A2344"/>
    <w:rsid w:val="006A494D"/>
    <w:rsid w:val="006D4CCF"/>
    <w:rsid w:val="006E1FA1"/>
    <w:rsid w:val="006F221F"/>
    <w:rsid w:val="00726BDE"/>
    <w:rsid w:val="0077580F"/>
    <w:rsid w:val="007840DB"/>
    <w:rsid w:val="007B31BC"/>
    <w:rsid w:val="008039F8"/>
    <w:rsid w:val="00860597"/>
    <w:rsid w:val="008D683E"/>
    <w:rsid w:val="00914FA4"/>
    <w:rsid w:val="00945AB2"/>
    <w:rsid w:val="009A0FD4"/>
    <w:rsid w:val="009A755A"/>
    <w:rsid w:val="009E2FBF"/>
    <w:rsid w:val="009E64AE"/>
    <w:rsid w:val="009E7EB1"/>
    <w:rsid w:val="00A01FCF"/>
    <w:rsid w:val="00A054ED"/>
    <w:rsid w:val="00A40EFF"/>
    <w:rsid w:val="00A6379A"/>
    <w:rsid w:val="00AA6D48"/>
    <w:rsid w:val="00AC347D"/>
    <w:rsid w:val="00AC6F09"/>
    <w:rsid w:val="00AF7D20"/>
    <w:rsid w:val="00B049F9"/>
    <w:rsid w:val="00B47C66"/>
    <w:rsid w:val="00B50C87"/>
    <w:rsid w:val="00B52378"/>
    <w:rsid w:val="00B639BC"/>
    <w:rsid w:val="00B73D38"/>
    <w:rsid w:val="00B771AB"/>
    <w:rsid w:val="00BD61C9"/>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573B7"/>
    <w:rsid w:val="00E629BA"/>
    <w:rsid w:val="00E820E1"/>
    <w:rsid w:val="00EA77B6"/>
    <w:rsid w:val="00EC1DE9"/>
    <w:rsid w:val="00EC77D2"/>
    <w:rsid w:val="00ED6F5E"/>
    <w:rsid w:val="00EE53E0"/>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B7598-93A0-4FCB-91F2-C09D9A6B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0F984-013F-4143-AEF2-5C25BFB6B9E9}"/>
</file>

<file path=customXml/itemProps2.xml><?xml version="1.0" encoding="utf-8"?>
<ds:datastoreItem xmlns:ds="http://schemas.openxmlformats.org/officeDocument/2006/customXml" ds:itemID="{839DE3C6-9768-4856-9831-3FAC3FB80390}"/>
</file>

<file path=customXml/itemProps3.xml><?xml version="1.0" encoding="utf-8"?>
<ds:datastoreItem xmlns:ds="http://schemas.openxmlformats.org/officeDocument/2006/customXml" ds:itemID="{CAFD994C-53E1-415A-8B2D-C97A6118B7BF}"/>
</file>

<file path=customXml/itemProps4.xml><?xml version="1.0" encoding="utf-8"?>
<ds:datastoreItem xmlns:ds="http://schemas.openxmlformats.org/officeDocument/2006/customXml" ds:itemID="{5DBF3D8A-0155-4D89-865E-07BA6E5E3F3A}"/>
</file>

<file path=docProps/app.xml><?xml version="1.0" encoding="utf-8"?>
<Properties xmlns="http://schemas.openxmlformats.org/officeDocument/2006/extended-properties" xmlns:vt="http://schemas.openxmlformats.org/officeDocument/2006/docPropsVTypes">
  <Template>Normal.dotm</Template>
  <TotalTime>17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Mark Zaruba</cp:lastModifiedBy>
  <cp:revision>5</cp:revision>
  <cp:lastPrinted>2014-10-28T14:04:00Z</cp:lastPrinted>
  <dcterms:created xsi:type="dcterms:W3CDTF">2014-10-28T13:49:00Z</dcterms:created>
  <dcterms:modified xsi:type="dcterms:W3CDTF">2014-10-28T14:25:00Z</dcterms:modified>
</cp:coreProperties>
</file>