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7EC8F361" w:rsidR="00112251" w:rsidRPr="00112251" w:rsidRDefault="00B24315" w:rsidP="00112251">
      <w:pPr>
        <w:jc w:val="center"/>
        <w:rPr>
          <w:sz w:val="23"/>
          <w:szCs w:val="23"/>
        </w:rPr>
      </w:pPr>
      <w:r>
        <w:rPr>
          <w:sz w:val="23"/>
          <w:szCs w:val="23"/>
        </w:rPr>
        <w:t>11/14/14</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61C6289E" w14:textId="33E660C7" w:rsidR="00D7779C" w:rsidRPr="00D7779C"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B3315A">
        <w:rPr>
          <w:rFonts w:ascii="Times New Roman" w:hAnsi="Times New Roman" w:cs="Times New Roman"/>
          <w:sz w:val="23"/>
          <w:szCs w:val="23"/>
        </w:rPr>
        <w:t>I am sending this letter to</w:t>
      </w:r>
      <w:r w:rsidR="004C6497" w:rsidRPr="00BA0D4F">
        <w:rPr>
          <w:rFonts w:ascii="Times New Roman" w:hAnsi="Times New Roman" w:cs="Times New Roman"/>
          <w:sz w:val="23"/>
          <w:szCs w:val="23"/>
        </w:rPr>
        <w:t xml:space="preserve"> express </w:t>
      </w:r>
      <w:r w:rsidR="00B3315A">
        <w:rPr>
          <w:rFonts w:ascii="Times New Roman" w:hAnsi="Times New Roman" w:cs="Times New Roman"/>
          <w:sz w:val="23"/>
          <w:szCs w:val="23"/>
        </w:rPr>
        <w:t>my</w:t>
      </w:r>
      <w:r w:rsidR="001D59AB">
        <w:rPr>
          <w:rFonts w:ascii="Times New Roman" w:hAnsi="Times New Roman" w:cs="Times New Roman"/>
          <w:sz w:val="23"/>
          <w:szCs w:val="23"/>
        </w:rPr>
        <w:t xml:space="preserve"> </w:t>
      </w:r>
      <w:r w:rsidR="004C6497" w:rsidRPr="00BA0D4F">
        <w:rPr>
          <w:rFonts w:ascii="Times New Roman" w:hAnsi="Times New Roman" w:cs="Times New Roman"/>
          <w:sz w:val="23"/>
          <w:szCs w:val="23"/>
        </w:rPr>
        <w:t>concerns about t</w:t>
      </w:r>
      <w:r w:rsidR="004C6497" w:rsidRPr="004C6497">
        <w:rPr>
          <w:rFonts w:ascii="Times New Roman" w:hAnsi="Times New Roman" w:cs="Times New Roman"/>
          <w:sz w:val="23"/>
          <w:szCs w:val="23"/>
        </w:rPr>
        <w:t xml:space="preserve">he Federal Housing Finance Agency’s (“FHFA”) notice of proposed rulemaking and request for comments on “Members of the Federal Home Loan Banks” published on September 12, 2014. </w:t>
      </w:r>
      <w:r w:rsidR="00D7779C">
        <w:rPr>
          <w:rFonts w:ascii="Times New Roman" w:hAnsi="Times New Roman" w:cs="Times New Roman"/>
          <w:sz w:val="23"/>
          <w:szCs w:val="23"/>
        </w:rPr>
        <w:t xml:space="preserve"> </w:t>
      </w:r>
      <w:r w:rsidR="00B24315">
        <w:rPr>
          <w:rFonts w:ascii="Times New Roman" w:hAnsi="Times New Roman" w:cs="Times New Roman"/>
          <w:sz w:val="23"/>
          <w:szCs w:val="23"/>
        </w:rPr>
        <w:t>As you read my letter you will understand why I must</w:t>
      </w:r>
      <w:r w:rsidR="00D7779C" w:rsidRPr="00D7779C">
        <w:rPr>
          <w:rFonts w:ascii="Times New Roman" w:hAnsi="Times New Roman" w:cs="Times New Roman"/>
          <w:sz w:val="23"/>
          <w:szCs w:val="23"/>
        </w:rPr>
        <w:t xml:space="preserve"> respectfully request the withdrawal of this proposal.  </w:t>
      </w:r>
    </w:p>
    <w:p w14:paraId="0A113228" w14:textId="77777777" w:rsidR="00D7779C" w:rsidRDefault="00D7779C" w:rsidP="00BA0D4F">
      <w:pPr>
        <w:pStyle w:val="NoSpacing"/>
        <w:rPr>
          <w:rFonts w:ascii="Times New Roman" w:hAnsi="Times New Roman" w:cs="Times New Roman"/>
          <w:sz w:val="23"/>
          <w:szCs w:val="23"/>
        </w:rPr>
      </w:pPr>
    </w:p>
    <w:p w14:paraId="49B3E5B6" w14:textId="10045F26" w:rsidR="00207EC4" w:rsidRPr="00D7779C" w:rsidRDefault="00207EC4" w:rsidP="00BA0D4F">
      <w:pPr>
        <w:pStyle w:val="NoSpacing"/>
        <w:rPr>
          <w:rFonts w:ascii="Times New Roman" w:hAnsi="Times New Roman" w:cs="Times New Roman"/>
          <w:sz w:val="23"/>
          <w:szCs w:val="23"/>
        </w:rPr>
      </w:pPr>
      <w:r>
        <w:rPr>
          <w:rFonts w:ascii="Times New Roman" w:hAnsi="Times New Roman" w:cs="Times New Roman"/>
          <w:sz w:val="23"/>
          <w:szCs w:val="23"/>
        </w:rPr>
        <w:t xml:space="preserve">The Farmers National Bank of Griggsville is a $75 million </w:t>
      </w:r>
      <w:r w:rsidR="00B24315">
        <w:rPr>
          <w:rFonts w:ascii="Times New Roman" w:hAnsi="Times New Roman" w:cs="Times New Roman"/>
          <w:sz w:val="23"/>
          <w:szCs w:val="23"/>
        </w:rPr>
        <w:t xml:space="preserve">rural </w:t>
      </w:r>
      <w:r>
        <w:rPr>
          <w:rFonts w:ascii="Times New Roman" w:hAnsi="Times New Roman" w:cs="Times New Roman"/>
          <w:sz w:val="23"/>
          <w:szCs w:val="23"/>
        </w:rPr>
        <w:t xml:space="preserve">bank based on total assets located in Griggsville Illinois.  We have been a member of the Federal Home Loan Bank for approximately 14 years.  Our </w:t>
      </w:r>
      <w:r w:rsidR="00B3315A">
        <w:rPr>
          <w:rFonts w:ascii="Times New Roman" w:hAnsi="Times New Roman" w:cs="Times New Roman"/>
          <w:sz w:val="23"/>
          <w:szCs w:val="23"/>
        </w:rPr>
        <w:t xml:space="preserve">two </w:t>
      </w:r>
      <w:proofErr w:type="gramStart"/>
      <w:r>
        <w:rPr>
          <w:rFonts w:ascii="Times New Roman" w:hAnsi="Times New Roman" w:cs="Times New Roman"/>
          <w:sz w:val="23"/>
          <w:szCs w:val="23"/>
        </w:rPr>
        <w:t>county</w:t>
      </w:r>
      <w:proofErr w:type="gramEnd"/>
      <w:r>
        <w:rPr>
          <w:rFonts w:ascii="Times New Roman" w:hAnsi="Times New Roman" w:cs="Times New Roman"/>
          <w:sz w:val="23"/>
          <w:szCs w:val="23"/>
        </w:rPr>
        <w:t xml:space="preserve"> demographic that we serve is best described as low income with agriculture being the predominant industry.  </w:t>
      </w:r>
      <w:r w:rsidR="00B24315">
        <w:rPr>
          <w:rFonts w:ascii="Times New Roman" w:hAnsi="Times New Roman" w:cs="Times New Roman"/>
          <w:sz w:val="23"/>
          <w:szCs w:val="23"/>
        </w:rPr>
        <w:t>We are a vital source of lending for our community, providing loan products for residential real estate, commercial real estate, small business, agricultural real estate and agricultural operating loans.  As permitted under the FHLB Act, we use these loans as collateral to support our activities with the FHLB of Chicago.</w:t>
      </w:r>
    </w:p>
    <w:p w14:paraId="21294DD2" w14:textId="77777777" w:rsidR="00097EBC" w:rsidRDefault="00097EBC" w:rsidP="00BA0D4F">
      <w:pPr>
        <w:pStyle w:val="NoSpacing"/>
        <w:rPr>
          <w:rFonts w:ascii="Times New Roman" w:hAnsi="Times New Roman" w:cs="Times New Roman"/>
          <w:sz w:val="23"/>
          <w:szCs w:val="23"/>
        </w:rPr>
      </w:pPr>
    </w:p>
    <w:p w14:paraId="489B2E48" w14:textId="04B0721F"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competitive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proofErr w:type="gramStart"/>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proofErr w:type="gramEnd"/>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w:t>
      </w:r>
      <w:proofErr w:type="gramStart"/>
      <w:r w:rsidR="00853980">
        <w:rPr>
          <w:rFonts w:ascii="Times New Roman" w:hAnsi="Times New Roman" w:cs="Times New Roman"/>
          <w:sz w:val="23"/>
          <w:szCs w:val="23"/>
        </w:rPr>
        <w:t>maintain</w:t>
      </w:r>
      <w:proofErr w:type="gramEnd"/>
      <w:r w:rsidR="00853980">
        <w:rPr>
          <w:rFonts w:ascii="Times New Roman" w:hAnsi="Times New Roman" w:cs="Times New Roman"/>
          <w:sz w:val="23"/>
          <w:szCs w:val="23"/>
        </w:rPr>
        <w:t xml:space="preserve">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lastRenderedPageBreak/>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w:t>
      </w:r>
      <w:r w:rsidR="00DF5C32">
        <w:rPr>
          <w:rFonts w:ascii="Times New Roman" w:hAnsi="Times New Roman" w:cs="Times New Roman"/>
          <w:sz w:val="23"/>
          <w:szCs w:val="23"/>
        </w:rPr>
        <w:lastRenderedPageBreak/>
        <w:t xml:space="preserve">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4E90A9C7"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6F1D8F">
        <w:rPr>
          <w:rFonts w:ascii="Times New Roman" w:hAnsi="Times New Roman" w:cs="Times New Roman"/>
          <w:sz w:val="23"/>
          <w:szCs w:val="23"/>
        </w:rPr>
        <w:t xml:space="preserve">, the </w:t>
      </w:r>
      <w:r w:rsidR="00B24315">
        <w:rPr>
          <w:rFonts w:ascii="Times New Roman" w:hAnsi="Times New Roman" w:cs="Times New Roman"/>
          <w:sz w:val="23"/>
          <w:szCs w:val="23"/>
        </w:rPr>
        <w:t>OCC</w:t>
      </w:r>
      <w:r w:rsidR="00BF4297">
        <w:rPr>
          <w:rFonts w:ascii="Times New Roman" w:hAnsi="Times New Roman" w:cs="Times New Roman"/>
          <w:color w:val="002060"/>
          <w:sz w:val="23"/>
          <w:szCs w:val="23"/>
        </w:rPr>
        <w:t xml:space="preserve"> </w:t>
      </w:r>
      <w:r w:rsidR="00BF4297" w:rsidRPr="00BF4297">
        <w:rPr>
          <w:rFonts w:ascii="Times New Roman" w:hAnsi="Times New Roman" w:cs="Times New Roman"/>
          <w:sz w:val="23"/>
          <w:szCs w:val="23"/>
        </w:rPr>
        <w:t xml:space="preserve">have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436D60">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small banks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5BD5C6D0"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lastRenderedPageBreak/>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our bank</w:t>
      </w:r>
      <w:r w:rsidR="002049E1">
        <w:rPr>
          <w:rStyle w:val="s3"/>
          <w:rFonts w:ascii="Times New Roman" w:hAnsi="Times New Roman" w:cs="Times New Roman"/>
          <w:sz w:val="23"/>
          <w:szCs w:val="23"/>
        </w:rPr>
        <w:t>, our customers and the community of</w:t>
      </w:r>
      <w:r w:rsidR="00B24315">
        <w:rPr>
          <w:rStyle w:val="s3"/>
          <w:rFonts w:ascii="Times New Roman" w:hAnsi="Times New Roman" w:cs="Times New Roman"/>
          <w:sz w:val="23"/>
          <w:szCs w:val="23"/>
        </w:rPr>
        <w:t xml:space="preserve"> Pike and Brown County</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2E56C021"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24315">
        <w:rPr>
          <w:rFonts w:ascii="Times New Roman" w:hAnsi="Times New Roman" w:cs="Times New Roman"/>
          <w:sz w:val="23"/>
          <w:szCs w:val="23"/>
        </w:rPr>
        <w:t>Douglas W. Smith</w:t>
      </w:r>
      <w:r w:rsidR="00B24315">
        <w:rPr>
          <w:rFonts w:ascii="Times New Roman" w:hAnsi="Times New Roman" w:cs="Times New Roman"/>
          <w:sz w:val="23"/>
          <w:szCs w:val="23"/>
        </w:rPr>
        <w:tab/>
      </w:r>
    </w:p>
    <w:p w14:paraId="012CF100" w14:textId="41744344"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24315">
        <w:rPr>
          <w:rFonts w:ascii="Times New Roman" w:hAnsi="Times New Roman" w:cs="Times New Roman"/>
          <w:sz w:val="23"/>
          <w:szCs w:val="23"/>
        </w:rPr>
        <w:t>President/CEO</w:t>
      </w:r>
      <w:r w:rsidR="00B24315">
        <w:rPr>
          <w:rFonts w:ascii="Times New Roman" w:hAnsi="Times New Roman" w:cs="Times New Roman"/>
          <w:sz w:val="23"/>
          <w:szCs w:val="23"/>
        </w:rPr>
        <w:tab/>
      </w:r>
    </w:p>
    <w:p w14:paraId="38F1F799" w14:textId="322B1FBB"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B24315">
        <w:rPr>
          <w:rFonts w:ascii="Times New Roman" w:hAnsi="Times New Roman" w:cs="Times New Roman"/>
          <w:sz w:val="23"/>
          <w:szCs w:val="23"/>
        </w:rPr>
        <w:t>Farmers National Bank of Griggsville</w:t>
      </w:r>
    </w:p>
    <w:p w14:paraId="5A9BA205" w14:textId="77777777" w:rsidR="00D85B8C" w:rsidRDefault="00D85B8C" w:rsidP="008C5376">
      <w:pPr>
        <w:pStyle w:val="NoSpacing"/>
        <w:rPr>
          <w:rFonts w:ascii="Times New Roman" w:hAnsi="Times New Roman" w:cs="Times New Roman"/>
          <w:sz w:val="23"/>
          <w:szCs w:val="23"/>
        </w:rPr>
      </w:pPr>
    </w:p>
    <w:p w14:paraId="1FA37D2C" w14:textId="77777777" w:rsidR="00D85B8C" w:rsidRDefault="00D85B8C" w:rsidP="008C5376">
      <w:pPr>
        <w:pStyle w:val="NoSpacing"/>
        <w:rPr>
          <w:rFonts w:ascii="Times New Roman" w:hAnsi="Times New Roman" w:cs="Times New Roman"/>
          <w:sz w:val="23"/>
          <w:szCs w:val="23"/>
        </w:rPr>
      </w:pPr>
    </w:p>
    <w:p w14:paraId="5E05D547" w14:textId="77777777" w:rsidR="00D85B8C" w:rsidRDefault="00D85B8C" w:rsidP="008C5376">
      <w:pPr>
        <w:pStyle w:val="NoSpacing"/>
        <w:rPr>
          <w:rFonts w:ascii="Times New Roman" w:hAnsi="Times New Roman" w:cs="Times New Roman"/>
          <w:sz w:val="23"/>
          <w:szCs w:val="23"/>
        </w:rPr>
      </w:pPr>
    </w:p>
    <w:p w14:paraId="20D3EBE6" w14:textId="77777777" w:rsidR="00D85B8C" w:rsidRDefault="00D85B8C" w:rsidP="008C5376">
      <w:pPr>
        <w:pStyle w:val="NoSpacing"/>
        <w:rPr>
          <w:rFonts w:ascii="Times New Roman" w:hAnsi="Times New Roman" w:cs="Times New Roman"/>
          <w:sz w:val="23"/>
          <w:szCs w:val="23"/>
        </w:rPr>
      </w:pPr>
    </w:p>
    <w:p w14:paraId="7D0D87A1" w14:textId="77777777" w:rsidR="00D85B8C" w:rsidRDefault="00D85B8C" w:rsidP="008C5376">
      <w:pPr>
        <w:pStyle w:val="NoSpacing"/>
        <w:rPr>
          <w:rFonts w:ascii="Times New Roman" w:hAnsi="Times New Roman" w:cs="Times New Roman"/>
          <w:sz w:val="23"/>
          <w:szCs w:val="23"/>
        </w:rPr>
      </w:pPr>
    </w:p>
    <w:p w14:paraId="0B192AB8" w14:textId="77777777" w:rsidR="00D85B8C" w:rsidRDefault="00D85B8C" w:rsidP="008C5376">
      <w:pPr>
        <w:pStyle w:val="NoSpacing"/>
        <w:rPr>
          <w:rFonts w:ascii="Times New Roman" w:hAnsi="Times New Roman" w:cs="Times New Roman"/>
          <w:sz w:val="23"/>
          <w:szCs w:val="23"/>
        </w:rPr>
      </w:pPr>
    </w:p>
    <w:p w14:paraId="5F8898CD" w14:textId="77777777" w:rsidR="00D85B8C" w:rsidRDefault="00D85B8C" w:rsidP="008C5376">
      <w:pPr>
        <w:pStyle w:val="NoSpacing"/>
        <w:rPr>
          <w:rFonts w:ascii="Times New Roman" w:hAnsi="Times New Roman" w:cs="Times New Roman"/>
          <w:sz w:val="23"/>
          <w:szCs w:val="23"/>
        </w:rPr>
      </w:pPr>
    </w:p>
    <w:p w14:paraId="165AE703" w14:textId="77777777" w:rsidR="00D85B8C" w:rsidRDefault="00D85B8C" w:rsidP="008C5376">
      <w:pPr>
        <w:pStyle w:val="NoSpacing"/>
        <w:rPr>
          <w:rFonts w:ascii="Times New Roman" w:hAnsi="Times New Roman" w:cs="Times New Roman"/>
          <w:sz w:val="23"/>
          <w:szCs w:val="23"/>
        </w:rPr>
      </w:pPr>
    </w:p>
    <w:p w14:paraId="385D1F34" w14:textId="77777777" w:rsidR="00D85B8C" w:rsidRDefault="00D85B8C" w:rsidP="008C5376">
      <w:pPr>
        <w:pStyle w:val="NoSpacing"/>
        <w:rPr>
          <w:rFonts w:ascii="Times New Roman" w:hAnsi="Times New Roman" w:cs="Times New Roman"/>
          <w:sz w:val="23"/>
          <w:szCs w:val="23"/>
        </w:rPr>
      </w:pPr>
    </w:p>
    <w:p w14:paraId="6782E1CF" w14:textId="77777777" w:rsidR="00D85B8C" w:rsidRDefault="00D85B8C" w:rsidP="008C5376">
      <w:pPr>
        <w:pStyle w:val="NoSpacing"/>
        <w:rPr>
          <w:rFonts w:ascii="Times New Roman" w:hAnsi="Times New Roman" w:cs="Times New Roman"/>
          <w:sz w:val="23"/>
          <w:szCs w:val="23"/>
        </w:rPr>
      </w:pPr>
    </w:p>
    <w:p w14:paraId="231DACD3" w14:textId="77777777" w:rsidR="00D85B8C" w:rsidRDefault="00D85B8C" w:rsidP="008C5376">
      <w:pPr>
        <w:pStyle w:val="NoSpacing"/>
        <w:rPr>
          <w:rFonts w:ascii="Times New Roman" w:hAnsi="Times New Roman" w:cs="Times New Roman"/>
          <w:sz w:val="23"/>
          <w:szCs w:val="23"/>
        </w:rPr>
      </w:pPr>
    </w:p>
    <w:p w14:paraId="447BE056" w14:textId="77777777" w:rsidR="00D85B8C" w:rsidRDefault="00D85B8C" w:rsidP="008C5376">
      <w:pPr>
        <w:pStyle w:val="NoSpacing"/>
        <w:rPr>
          <w:rFonts w:ascii="Times New Roman" w:hAnsi="Times New Roman" w:cs="Times New Roman"/>
          <w:sz w:val="23"/>
          <w:szCs w:val="23"/>
        </w:rPr>
      </w:pPr>
    </w:p>
    <w:p w14:paraId="5F5A1A3B" w14:textId="77777777" w:rsidR="00D85B8C" w:rsidRDefault="00D85B8C" w:rsidP="008C5376">
      <w:pPr>
        <w:pStyle w:val="NoSpacing"/>
        <w:rPr>
          <w:rFonts w:ascii="Times New Roman" w:hAnsi="Times New Roman" w:cs="Times New Roman"/>
          <w:sz w:val="23"/>
          <w:szCs w:val="23"/>
        </w:rPr>
      </w:pPr>
    </w:p>
    <w:p w14:paraId="1EAD4538" w14:textId="77777777" w:rsidR="00D85B8C" w:rsidRDefault="00D85B8C" w:rsidP="008C5376">
      <w:pPr>
        <w:pStyle w:val="NoSpacing"/>
        <w:rPr>
          <w:rFonts w:ascii="Times New Roman" w:hAnsi="Times New Roman" w:cs="Times New Roman"/>
          <w:sz w:val="23"/>
          <w:szCs w:val="23"/>
        </w:rPr>
      </w:pPr>
    </w:p>
    <w:p w14:paraId="78452B84" w14:textId="77777777" w:rsidR="00D85B8C" w:rsidRDefault="00D85B8C" w:rsidP="008C5376">
      <w:pPr>
        <w:pStyle w:val="NoSpacing"/>
        <w:rPr>
          <w:rFonts w:ascii="Times New Roman" w:hAnsi="Times New Roman" w:cs="Times New Roman"/>
          <w:sz w:val="23"/>
          <w:szCs w:val="23"/>
        </w:rPr>
      </w:pPr>
    </w:p>
    <w:p w14:paraId="10A34D4F" w14:textId="77777777" w:rsidR="00D85B8C" w:rsidRDefault="00D85B8C" w:rsidP="008C5376">
      <w:pPr>
        <w:pStyle w:val="NoSpacing"/>
        <w:rPr>
          <w:rFonts w:ascii="Times New Roman" w:hAnsi="Times New Roman" w:cs="Times New Roman"/>
          <w:sz w:val="23"/>
          <w:szCs w:val="23"/>
        </w:rPr>
      </w:pPr>
    </w:p>
    <w:p w14:paraId="63D987F8" w14:textId="77777777" w:rsidR="00D85B8C" w:rsidRDefault="00D85B8C" w:rsidP="008C5376">
      <w:pPr>
        <w:pStyle w:val="NoSpacing"/>
        <w:rPr>
          <w:rFonts w:ascii="Times New Roman" w:hAnsi="Times New Roman" w:cs="Times New Roman"/>
          <w:sz w:val="23"/>
          <w:szCs w:val="23"/>
        </w:rPr>
      </w:pPr>
    </w:p>
    <w:p w14:paraId="2B421EBF" w14:textId="77777777" w:rsidR="00D85B8C" w:rsidRDefault="00D85B8C" w:rsidP="008C5376">
      <w:pPr>
        <w:pStyle w:val="NoSpacing"/>
        <w:rPr>
          <w:rFonts w:ascii="Times New Roman" w:hAnsi="Times New Roman" w:cs="Times New Roman"/>
          <w:sz w:val="23"/>
          <w:szCs w:val="23"/>
        </w:rPr>
      </w:pPr>
    </w:p>
    <w:p w14:paraId="22A23D36" w14:textId="77777777" w:rsidR="00D85B8C" w:rsidRDefault="00D85B8C" w:rsidP="008C5376">
      <w:pPr>
        <w:pStyle w:val="NoSpacing"/>
        <w:rPr>
          <w:rFonts w:ascii="Times New Roman" w:hAnsi="Times New Roman" w:cs="Times New Roman"/>
          <w:sz w:val="23"/>
          <w:szCs w:val="23"/>
        </w:rPr>
      </w:pPr>
    </w:p>
    <w:p w14:paraId="45130075" w14:textId="77777777" w:rsidR="00D85B8C" w:rsidRDefault="00D85B8C" w:rsidP="008C5376">
      <w:pPr>
        <w:pStyle w:val="NoSpacing"/>
        <w:rPr>
          <w:rFonts w:ascii="Times New Roman" w:hAnsi="Times New Roman" w:cs="Times New Roman"/>
          <w:sz w:val="23"/>
          <w:szCs w:val="23"/>
        </w:rPr>
      </w:pPr>
    </w:p>
    <w:p w14:paraId="0505590E" w14:textId="77777777" w:rsidR="00D85B8C" w:rsidRDefault="00D85B8C" w:rsidP="008C5376">
      <w:pPr>
        <w:pStyle w:val="NoSpacing"/>
        <w:rPr>
          <w:rFonts w:ascii="Times New Roman" w:hAnsi="Times New Roman" w:cs="Times New Roman"/>
          <w:sz w:val="23"/>
          <w:szCs w:val="23"/>
        </w:rPr>
      </w:pPr>
    </w:p>
    <w:p w14:paraId="39362BAE" w14:textId="77777777" w:rsidR="00D85B8C" w:rsidRDefault="00D85B8C" w:rsidP="008C5376">
      <w:pPr>
        <w:pStyle w:val="NoSpacing"/>
        <w:rPr>
          <w:rFonts w:ascii="Times New Roman" w:hAnsi="Times New Roman" w:cs="Times New Roman"/>
          <w:sz w:val="23"/>
          <w:szCs w:val="23"/>
        </w:rPr>
      </w:pPr>
    </w:p>
    <w:p w14:paraId="6E367186" w14:textId="77777777" w:rsidR="00D85B8C" w:rsidRDefault="00D85B8C" w:rsidP="008C5376">
      <w:pPr>
        <w:pStyle w:val="NoSpacing"/>
        <w:rPr>
          <w:rFonts w:ascii="Times New Roman" w:hAnsi="Times New Roman" w:cs="Times New Roman"/>
          <w:sz w:val="23"/>
          <w:szCs w:val="23"/>
        </w:rPr>
      </w:pPr>
    </w:p>
    <w:p w14:paraId="39AE0E2D" w14:textId="77777777" w:rsidR="00D85B8C" w:rsidRDefault="00D85B8C" w:rsidP="008C5376">
      <w:pPr>
        <w:pStyle w:val="NoSpacing"/>
        <w:rPr>
          <w:rFonts w:ascii="Times New Roman" w:hAnsi="Times New Roman" w:cs="Times New Roman"/>
          <w:sz w:val="23"/>
          <w:szCs w:val="23"/>
        </w:rPr>
      </w:pPr>
    </w:p>
    <w:p w14:paraId="6562AEC9" w14:textId="77777777" w:rsidR="00D85B8C" w:rsidRDefault="00D85B8C" w:rsidP="008C5376">
      <w:pPr>
        <w:pStyle w:val="NoSpacing"/>
        <w:rPr>
          <w:rFonts w:ascii="Times New Roman" w:hAnsi="Times New Roman" w:cs="Times New Roman"/>
          <w:sz w:val="23"/>
          <w:szCs w:val="23"/>
        </w:rPr>
      </w:pPr>
    </w:p>
    <w:p w14:paraId="15D83814" w14:textId="77777777" w:rsidR="00D85B8C" w:rsidRDefault="00D85B8C" w:rsidP="008C5376">
      <w:pPr>
        <w:pStyle w:val="NoSpacing"/>
        <w:rPr>
          <w:rFonts w:ascii="Times New Roman" w:hAnsi="Times New Roman" w:cs="Times New Roman"/>
          <w:sz w:val="23"/>
          <w:szCs w:val="23"/>
        </w:rPr>
      </w:pPr>
    </w:p>
    <w:p w14:paraId="22EC0FB0" w14:textId="77777777" w:rsidR="00D85B8C" w:rsidRDefault="00D85B8C" w:rsidP="008C5376">
      <w:pPr>
        <w:pStyle w:val="NoSpacing"/>
        <w:rPr>
          <w:rFonts w:ascii="Times New Roman" w:hAnsi="Times New Roman" w:cs="Times New Roman"/>
          <w:sz w:val="23"/>
          <w:szCs w:val="23"/>
        </w:rPr>
      </w:pPr>
    </w:p>
    <w:p w14:paraId="5522A429" w14:textId="57930C2B" w:rsidR="00D85B8C" w:rsidRPr="00D85B8C" w:rsidRDefault="00D85B8C" w:rsidP="008C5376">
      <w:pPr>
        <w:pStyle w:val="NoSpacing"/>
        <w:rPr>
          <w:rFonts w:ascii="Times New Roman" w:hAnsi="Times New Roman" w:cs="Times New Roman"/>
          <w:sz w:val="16"/>
          <w:szCs w:val="16"/>
        </w:rPr>
      </w:pPr>
      <w:r>
        <w:rPr>
          <w:rFonts w:ascii="Times New Roman" w:hAnsi="Times New Roman" w:cs="Times New Roman"/>
          <w:sz w:val="16"/>
          <w:szCs w:val="16"/>
        </w:rPr>
        <w:t>H:\FHLB</w:t>
      </w:r>
      <w:bookmarkStart w:id="0" w:name="_GoBack"/>
      <w:bookmarkEnd w:id="0"/>
    </w:p>
    <w:p w14:paraId="0B0BC9BE" w14:textId="77777777" w:rsidR="00764627" w:rsidRPr="00BA0D4F" w:rsidRDefault="00764627" w:rsidP="008C5376">
      <w:pPr>
        <w:pStyle w:val="NoSpacing"/>
        <w:rPr>
          <w:rFonts w:ascii="Times New Roman" w:hAnsi="Times New Roman" w:cs="Times New Roman"/>
          <w:sz w:val="23"/>
          <w:szCs w:val="23"/>
        </w:rPr>
      </w:pPr>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C61206" w:rsidRDefault="00C61206" w:rsidP="0046275D">
      <w:r>
        <w:separator/>
      </w:r>
    </w:p>
  </w:endnote>
  <w:endnote w:type="continuationSeparator" w:id="0">
    <w:p w14:paraId="23BE5AD6" w14:textId="77777777" w:rsidR="00C61206" w:rsidRDefault="00C61206"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C61206" w:rsidRDefault="00C61206"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C61206" w:rsidRDefault="00C61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C61206" w:rsidRDefault="00C61206">
        <w:pPr>
          <w:pStyle w:val="Footer"/>
          <w:jc w:val="center"/>
        </w:pPr>
        <w:r>
          <w:fldChar w:fldCharType="begin"/>
        </w:r>
        <w:r>
          <w:instrText xml:space="preserve"> PAGE   \* MERGEFORMAT </w:instrText>
        </w:r>
        <w:r>
          <w:fldChar w:fldCharType="separate"/>
        </w:r>
        <w:r w:rsidR="00D85B8C">
          <w:rPr>
            <w:noProof/>
          </w:rPr>
          <w:t>4</w:t>
        </w:r>
        <w:r>
          <w:rPr>
            <w:noProof/>
          </w:rPr>
          <w:fldChar w:fldCharType="end"/>
        </w:r>
      </w:p>
    </w:sdtContent>
  </w:sdt>
  <w:p w14:paraId="1D9AC6F5" w14:textId="77777777" w:rsidR="00C61206" w:rsidRDefault="00C61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C61206" w:rsidRDefault="00C61206" w:rsidP="0046275D">
      <w:r>
        <w:separator/>
      </w:r>
    </w:p>
  </w:footnote>
  <w:footnote w:type="continuationSeparator" w:id="0">
    <w:p w14:paraId="690CE75B" w14:textId="77777777" w:rsidR="00C61206" w:rsidRDefault="00C61206" w:rsidP="004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890803"/>
      <w:docPartObj>
        <w:docPartGallery w:val="Page Numbers (Top of Page)"/>
        <w:docPartUnique/>
      </w:docPartObj>
    </w:sdtPr>
    <w:sdtEndPr>
      <w:rPr>
        <w:noProof/>
      </w:rPr>
    </w:sdtEndPr>
    <w:sdtContent>
      <w:p w14:paraId="622C4698" w14:textId="12C2EAAE" w:rsidR="00C61206" w:rsidRDefault="00C61206">
        <w:pPr>
          <w:pStyle w:val="Header"/>
          <w:jc w:val="center"/>
        </w:pPr>
        <w:r>
          <w:tab/>
        </w:r>
        <w:r>
          <w:tab/>
        </w:r>
      </w:p>
    </w:sdtContent>
  </w:sdt>
  <w:p w14:paraId="579D2BFB" w14:textId="77777777" w:rsidR="00C61206" w:rsidRPr="00B07C8A" w:rsidRDefault="00C61206" w:rsidP="000425C9">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78AF"/>
    <w:rsid w:val="002049E1"/>
    <w:rsid w:val="00207EC4"/>
    <w:rsid w:val="00215A58"/>
    <w:rsid w:val="002160ED"/>
    <w:rsid w:val="00222383"/>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A0998"/>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24315"/>
    <w:rsid w:val="00B3315A"/>
    <w:rsid w:val="00B36CAA"/>
    <w:rsid w:val="00B41362"/>
    <w:rsid w:val="00B46373"/>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85B8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A478A"/>
    <w:rsid w:val="00FA71F0"/>
    <w:rsid w:val="00FB3235"/>
    <w:rsid w:val="00FB42AF"/>
    <w:rsid w:val="00FB5F74"/>
    <w:rsid w:val="00FC5341"/>
    <w:rsid w:val="00FD1567"/>
    <w:rsid w:val="00FE1284"/>
    <w:rsid w:val="00FE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75B4F7-CF2A-4DE0-8CD1-AB9FB438A1C5}"/>
</file>

<file path=customXml/itemProps2.xml><?xml version="1.0" encoding="utf-8"?>
<ds:datastoreItem xmlns:ds="http://schemas.openxmlformats.org/officeDocument/2006/customXml" ds:itemID="{F989BC8B-98B5-4A08-AA63-CC56279B36C2}"/>
</file>

<file path=customXml/itemProps3.xml><?xml version="1.0" encoding="utf-8"?>
<ds:datastoreItem xmlns:ds="http://schemas.openxmlformats.org/officeDocument/2006/customXml" ds:itemID="{AD1FBF84-587C-4BC4-AD2A-4F92F70B9D2C}"/>
</file>

<file path=customXml/itemProps4.xml><?xml version="1.0" encoding="utf-8"?>
<ds:datastoreItem xmlns:ds="http://schemas.openxmlformats.org/officeDocument/2006/customXml" ds:itemID="{59D78309-829E-4C8D-9C71-606E619EB139}"/>
</file>

<file path=docProps/app.xml><?xml version="1.0" encoding="utf-8"?>
<Properties xmlns="http://schemas.openxmlformats.org/officeDocument/2006/extended-properties" xmlns:vt="http://schemas.openxmlformats.org/officeDocument/2006/docPropsVTypes">
  <Template>Normal</Template>
  <TotalTime>2</TotalTime>
  <Pages>5</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Doug Smith</cp:lastModifiedBy>
  <cp:revision>3</cp:revision>
  <cp:lastPrinted>2014-10-27T13:30:00Z</cp:lastPrinted>
  <dcterms:created xsi:type="dcterms:W3CDTF">2014-11-14T13:12:00Z</dcterms:created>
  <dcterms:modified xsi:type="dcterms:W3CDTF">2014-11-14T13:13:00Z</dcterms:modified>
</cp:coreProperties>
</file>