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05FB8" w14:textId="7A7944F0" w:rsidR="00B63035" w:rsidRDefault="00072990">
      <w:bookmarkStart w:id="0" w:name="_GoBack"/>
      <w:bookmarkEnd w:id="0"/>
      <w:r>
        <w:t>Nationstar Mortgage appreciates</w:t>
      </w:r>
      <w:r w:rsidR="00EA69E7">
        <w:t xml:space="preserve"> </w:t>
      </w:r>
      <w:r w:rsidR="00B977C8">
        <w:t xml:space="preserve">the </w:t>
      </w:r>
      <w:r w:rsidR="00EA69E7">
        <w:t>opportunity to provide comments on the F</w:t>
      </w:r>
      <w:r w:rsidR="00426CE7">
        <w:t xml:space="preserve">ederal Housing </w:t>
      </w:r>
      <w:r w:rsidR="00EA69E7">
        <w:t>F</w:t>
      </w:r>
      <w:r w:rsidR="00426CE7">
        <w:t xml:space="preserve">inance </w:t>
      </w:r>
      <w:r w:rsidR="00EA69E7">
        <w:t>A</w:t>
      </w:r>
      <w:r w:rsidR="00426CE7">
        <w:t>gency’s (FHFA)</w:t>
      </w:r>
      <w:r w:rsidR="00EA69E7">
        <w:t xml:space="preserve"> strategic plan for 2018 – 2022.  As a long time</w:t>
      </w:r>
      <w:r w:rsidR="009C7F4C">
        <w:t>, indirect stakeholder in</w:t>
      </w:r>
      <w:r w:rsidR="0088509D">
        <w:t xml:space="preserve"> </w:t>
      </w:r>
      <w:r w:rsidR="00EA69E7">
        <w:t>FHFA, we are greatly invested in seeing the agency</w:t>
      </w:r>
      <w:r w:rsidR="009C7F4C">
        <w:t xml:space="preserve"> and those enterprises it regulates</w:t>
      </w:r>
      <w:r w:rsidR="00EA69E7">
        <w:t xml:space="preserve"> succeed.  We believe our additional comments will help strengthen the success of the mortgage servicing industry and provide a more stable environment for homeownership.</w:t>
      </w:r>
    </w:p>
    <w:p w14:paraId="73D5184B" w14:textId="77777777" w:rsidR="00C8229C" w:rsidRDefault="00C8229C" w:rsidP="00C8229C">
      <w:r w:rsidRPr="0041195B">
        <w:rPr>
          <w:b/>
          <w:u w:val="single"/>
        </w:rPr>
        <w:t>Strategic Goal 2.2 – Promote Sta</w:t>
      </w:r>
      <w:r w:rsidR="00EA69E7" w:rsidRPr="0041195B">
        <w:rPr>
          <w:b/>
          <w:u w:val="single"/>
        </w:rPr>
        <w:t>bility in the Nation’s Housing Finance Markets</w:t>
      </w:r>
      <w:r w:rsidR="00EA69E7">
        <w:t xml:space="preserve">.   </w:t>
      </w:r>
    </w:p>
    <w:p w14:paraId="5111D83A" w14:textId="77777777" w:rsidR="00C8229C" w:rsidRDefault="003708B9" w:rsidP="00C8229C">
      <w:r>
        <w:t xml:space="preserve">Please consider adding these areas of emphasis to your plan with the intent to </w:t>
      </w:r>
      <w:r w:rsidR="00C8229C">
        <w:t>ensure we have a reliable, sound housing eco-system:</w:t>
      </w:r>
    </w:p>
    <w:p w14:paraId="34A100F6" w14:textId="77777777" w:rsidR="00FD0A77" w:rsidRPr="003708B9" w:rsidRDefault="00C8229C" w:rsidP="00C8229C">
      <w:pPr>
        <w:pStyle w:val="ListParagraph"/>
        <w:numPr>
          <w:ilvl w:val="0"/>
          <w:numId w:val="2"/>
        </w:numPr>
        <w:rPr>
          <w:b/>
          <w:u w:val="single"/>
        </w:rPr>
      </w:pPr>
      <w:r>
        <w:t xml:space="preserve"> </w:t>
      </w:r>
      <w:r w:rsidR="00BA5447" w:rsidRPr="003708B9">
        <w:rPr>
          <w:b/>
          <w:u w:val="single"/>
        </w:rPr>
        <w:t>A broken servicing c</w:t>
      </w:r>
      <w:r w:rsidR="00FD0A77" w:rsidRPr="003708B9">
        <w:rPr>
          <w:b/>
          <w:u w:val="single"/>
        </w:rPr>
        <w:t xml:space="preserve">ompensation </w:t>
      </w:r>
      <w:r w:rsidR="00BA5447" w:rsidRPr="003708B9">
        <w:rPr>
          <w:b/>
          <w:u w:val="single"/>
        </w:rPr>
        <w:t>m</w:t>
      </w:r>
      <w:r w:rsidR="00FD0A77" w:rsidRPr="003708B9">
        <w:rPr>
          <w:b/>
          <w:u w:val="single"/>
        </w:rPr>
        <w:t>odel</w:t>
      </w:r>
    </w:p>
    <w:p w14:paraId="1FAEB9AE" w14:textId="7763D51E" w:rsidR="00FD0A77" w:rsidRDefault="00EA69E7" w:rsidP="00FD0A77">
      <w:pPr>
        <w:pStyle w:val="ListParagraph"/>
      </w:pPr>
      <w:r>
        <w:t xml:space="preserve"> The current </w:t>
      </w:r>
      <w:r w:rsidR="009C7F4C">
        <w:t xml:space="preserve">GSE </w:t>
      </w:r>
      <w:r>
        <w:t>compensation model</w:t>
      </w:r>
      <w:r w:rsidR="009C7F4C">
        <w:rPr>
          <w:rStyle w:val="FootnoteReference"/>
        </w:rPr>
        <w:footnoteReference w:id="1"/>
      </w:r>
      <w:r>
        <w:t xml:space="preserve"> for servicers who</w:t>
      </w:r>
      <w:r w:rsidR="00A5323B">
        <w:t xml:space="preserve"> manage </w:t>
      </w:r>
      <w:r>
        <w:t xml:space="preserve">defaulted loans is broken and needs repair prior to the next downturn in the housing market.  As our company has previously shared with you, </w:t>
      </w:r>
      <w:r w:rsidR="00426CE7">
        <w:t>s</w:t>
      </w:r>
      <w:r>
        <w:t xml:space="preserve">ervicing profitability on performing loans has decreased 31% while servicing costs have increased 237% for defaulted loans since 2009.  </w:t>
      </w:r>
      <w:r w:rsidR="00063FB0">
        <w:t xml:space="preserve"> We </w:t>
      </w:r>
      <w:r w:rsidR="00A5323B">
        <w:t xml:space="preserve">believe FHFA should tackle this challenging issue </w:t>
      </w:r>
      <w:r w:rsidR="00EF576B">
        <w:t xml:space="preserve">with a new default </w:t>
      </w:r>
      <w:r w:rsidR="00426CE7">
        <w:t xml:space="preserve">pricing </w:t>
      </w:r>
      <w:r w:rsidR="00EF576B">
        <w:t xml:space="preserve">construct that aligns the interests of the enterprises, homeowners and the servicers; all of which will benefit taxpayers with a stable housing finance system. </w:t>
      </w:r>
    </w:p>
    <w:p w14:paraId="0D1619A9" w14:textId="77777777" w:rsidR="00FD0A77" w:rsidRDefault="00FD0A77" w:rsidP="00C8229C">
      <w:pPr>
        <w:pStyle w:val="ListParagraph"/>
      </w:pPr>
    </w:p>
    <w:p w14:paraId="23E32CE2" w14:textId="77777777" w:rsidR="00C8229C" w:rsidRPr="003708B9" w:rsidRDefault="003708B9" w:rsidP="00C8229C">
      <w:pPr>
        <w:pStyle w:val="ListParagraph"/>
        <w:numPr>
          <w:ilvl w:val="0"/>
          <w:numId w:val="2"/>
        </w:numPr>
        <w:rPr>
          <w:b/>
          <w:u w:val="single"/>
        </w:rPr>
      </w:pPr>
      <w:r w:rsidRPr="003708B9">
        <w:rPr>
          <w:b/>
          <w:u w:val="single"/>
        </w:rPr>
        <w:t xml:space="preserve">The burden of </w:t>
      </w:r>
      <w:r w:rsidR="00C8229C" w:rsidRPr="003708B9">
        <w:rPr>
          <w:b/>
          <w:u w:val="single"/>
        </w:rPr>
        <w:t>servicing advances</w:t>
      </w:r>
    </w:p>
    <w:p w14:paraId="5D3D8E53" w14:textId="69107C24" w:rsidR="00C8229C" w:rsidRDefault="00C8229C" w:rsidP="00C8229C">
      <w:pPr>
        <w:pStyle w:val="ListParagraph"/>
      </w:pPr>
      <w:r>
        <w:t>Non</w:t>
      </w:r>
      <w:r w:rsidR="00426CE7">
        <w:t>-</w:t>
      </w:r>
      <w:r>
        <w:t xml:space="preserve">depository servicers face the additional financial burden of financing </w:t>
      </w:r>
      <w:r w:rsidR="00426CE7">
        <w:t xml:space="preserve">their </w:t>
      </w:r>
      <w:r>
        <w:t xml:space="preserve">advances.  The expense, which for </w:t>
      </w:r>
      <w:r w:rsidR="00426CE7">
        <w:t>our company</w:t>
      </w:r>
      <w:r>
        <w:t xml:space="preserve"> exceeds $40M</w:t>
      </w:r>
      <w:r w:rsidR="00993D3C">
        <w:t xml:space="preserve"> annually, </w:t>
      </w:r>
      <w:r>
        <w:t>creates another financial hardship</w:t>
      </w:r>
      <w:r w:rsidR="00993D3C">
        <w:t xml:space="preserve"> </w:t>
      </w:r>
      <w:r>
        <w:t xml:space="preserve">in addition to the declining profitability outlined above.  </w:t>
      </w:r>
      <w:r w:rsidR="00993D3C">
        <w:t>For example, a typical bank facility will charge LIBOR + 250</w:t>
      </w:r>
      <w:r w:rsidR="00576B93">
        <w:t xml:space="preserve"> bps </w:t>
      </w:r>
      <w:r w:rsidR="00993D3C">
        <w:t xml:space="preserve">to finance about 90% of outstanding advances; the remainder requires capital outlay by the servicer.  </w:t>
      </w:r>
      <w:r>
        <w:t xml:space="preserve">We have two suggestions to address this issue:  </w:t>
      </w:r>
      <w:r w:rsidR="00B85637">
        <w:t xml:space="preserve">   </w:t>
      </w:r>
      <w:r>
        <w:t xml:space="preserve">1) </w:t>
      </w:r>
      <w:r w:rsidR="00426CE7">
        <w:t>r</w:t>
      </w:r>
      <w:r>
        <w:t xml:space="preserve">eimburse all advances </w:t>
      </w:r>
      <w:r w:rsidR="00B85637">
        <w:t>daily</w:t>
      </w:r>
      <w:r>
        <w:t xml:space="preserve"> using </w:t>
      </w:r>
      <w:r w:rsidR="00426CE7">
        <w:t xml:space="preserve">the </w:t>
      </w:r>
      <w:r>
        <w:t>existing Ad</w:t>
      </w:r>
      <w:r w:rsidR="00AD3D71">
        <w:t>vance Solutions program or</w:t>
      </w:r>
      <w:r w:rsidR="00426CE7">
        <w:t>;</w:t>
      </w:r>
      <w:r w:rsidR="00B85637">
        <w:t xml:space="preserve"> </w:t>
      </w:r>
      <w:r w:rsidR="00AD3D71">
        <w:t>2) f</w:t>
      </w:r>
      <w:r>
        <w:t xml:space="preserve">inance all advances at </w:t>
      </w:r>
      <w:r w:rsidR="00426CE7">
        <w:t xml:space="preserve">a </w:t>
      </w:r>
      <w:r>
        <w:t xml:space="preserve">100% advance rate at zero cost.  Over the next several years, we feel this issue must be addressed by FHFA to ensure the financial stability of the </w:t>
      </w:r>
      <w:r w:rsidR="009C7F4C">
        <w:t>non-bank</w:t>
      </w:r>
      <w:r>
        <w:t xml:space="preserve"> sector</w:t>
      </w:r>
      <w:r w:rsidR="00426CE7">
        <w:t xml:space="preserve"> which is critical to the health and stability of the overall housing market</w:t>
      </w:r>
      <w:r>
        <w:t>.</w:t>
      </w:r>
    </w:p>
    <w:p w14:paraId="1D89F726" w14:textId="77777777" w:rsidR="00C8229C" w:rsidRDefault="00C8229C" w:rsidP="00C8229C">
      <w:pPr>
        <w:pStyle w:val="ListParagraph"/>
      </w:pPr>
    </w:p>
    <w:p w14:paraId="50DB1CFC" w14:textId="77777777" w:rsidR="00FD0A77" w:rsidRPr="003708B9" w:rsidRDefault="00C8229C" w:rsidP="00C8229C">
      <w:pPr>
        <w:pStyle w:val="ListParagraph"/>
        <w:numPr>
          <w:ilvl w:val="0"/>
          <w:numId w:val="2"/>
        </w:numPr>
        <w:rPr>
          <w:b/>
          <w:u w:val="single"/>
        </w:rPr>
      </w:pPr>
      <w:r w:rsidRPr="003708B9">
        <w:rPr>
          <w:b/>
          <w:u w:val="single"/>
        </w:rPr>
        <w:t xml:space="preserve"> </w:t>
      </w:r>
      <w:r w:rsidR="00FD0A77" w:rsidRPr="003708B9">
        <w:rPr>
          <w:b/>
          <w:u w:val="single"/>
        </w:rPr>
        <w:t>More financial support during litigation and in protection of lien position</w:t>
      </w:r>
    </w:p>
    <w:p w14:paraId="00F3C186" w14:textId="0F69515D" w:rsidR="00C8229C" w:rsidRDefault="0083509F" w:rsidP="00C8229C">
      <w:pPr>
        <w:pStyle w:val="ListParagraph"/>
      </w:pPr>
      <w:r>
        <w:t>When unintentional</w:t>
      </w:r>
      <w:r w:rsidR="00C8229C">
        <w:t xml:space="preserve"> errors are made by servicers those errors</w:t>
      </w:r>
      <w:r w:rsidR="009C7F4C">
        <w:t xml:space="preserve"> and all related c</w:t>
      </w:r>
      <w:r w:rsidR="00F26E4F">
        <w:t xml:space="preserve">osts are borne by the Servicer.  </w:t>
      </w:r>
      <w:r>
        <w:t xml:space="preserve">However, </w:t>
      </w:r>
      <w:r w:rsidR="00B13C14">
        <w:t xml:space="preserve">if a </w:t>
      </w:r>
      <w:r w:rsidR="009C7F4C">
        <w:t xml:space="preserve">borrower </w:t>
      </w:r>
      <w:r w:rsidR="0088509D">
        <w:t xml:space="preserve">sues and </w:t>
      </w:r>
      <w:r w:rsidR="009C7F4C">
        <w:t xml:space="preserve">makes </w:t>
      </w:r>
      <w:r w:rsidR="009C7F4C" w:rsidRPr="00C738A1">
        <w:rPr>
          <w:i/>
        </w:rPr>
        <w:t>any</w:t>
      </w:r>
      <w:r w:rsidR="009C7F4C">
        <w:t xml:space="preserve"> allegation of </w:t>
      </w:r>
      <w:r w:rsidR="0088509D">
        <w:t>wrongdoing</w:t>
      </w:r>
      <w:r w:rsidR="009C7F4C">
        <w:t xml:space="preserve"> on the part of the </w:t>
      </w:r>
      <w:r w:rsidR="0088509D">
        <w:t xml:space="preserve">Servicer, the Servicer is responsible for </w:t>
      </w:r>
      <w:r w:rsidR="0088509D" w:rsidRPr="00C738A1">
        <w:rPr>
          <w:u w:val="single"/>
        </w:rPr>
        <w:t>all legal fees</w:t>
      </w:r>
      <w:r w:rsidR="0088509D">
        <w:t xml:space="preserve"> even when a Court conclusively determines no Servicer error</w:t>
      </w:r>
      <w:r w:rsidR="00B13C14">
        <w:t xml:space="preserve"> occurred.  </w:t>
      </w:r>
      <w:r w:rsidR="00EF576B">
        <w:t xml:space="preserve">While </w:t>
      </w:r>
      <w:r w:rsidR="0088509D">
        <w:t>litigation is a fact of life in mortgage servicing</w:t>
      </w:r>
      <w:r w:rsidR="00EF576B">
        <w:t>, the current standard is</w:t>
      </w:r>
      <w:r w:rsidR="0088509D">
        <w:t>.  simply unfair and not sustainable</w:t>
      </w:r>
      <w:r w:rsidR="00EF576B">
        <w:t>.</w:t>
      </w:r>
      <w:r w:rsidR="0088509D">
        <w:t xml:space="preserve"> We </w:t>
      </w:r>
      <w:r w:rsidR="004800EF">
        <w:t xml:space="preserve">propose that </w:t>
      </w:r>
      <w:r w:rsidR="0088509D">
        <w:t xml:space="preserve">enterprises </w:t>
      </w:r>
      <w:r w:rsidR="00B13C14">
        <w:t xml:space="preserve">share in this </w:t>
      </w:r>
      <w:r>
        <w:t>cost</w:t>
      </w:r>
      <w:r w:rsidR="00B13C14">
        <w:t xml:space="preserve"> to servicing organizations.  </w:t>
      </w:r>
      <w:r w:rsidR="00D91247">
        <w:t xml:space="preserve">By our estimate, we spend approximately $10+ million annually </w:t>
      </w:r>
      <w:r w:rsidR="00DB4BDC">
        <w:t xml:space="preserve">on </w:t>
      </w:r>
      <w:r w:rsidR="00EF576B">
        <w:t>this type</w:t>
      </w:r>
      <w:r w:rsidR="00D91247">
        <w:t xml:space="preserve"> of </w:t>
      </w:r>
      <w:r w:rsidR="00EF576B">
        <w:t xml:space="preserve">non-routine litigation.  </w:t>
      </w:r>
      <w:r w:rsidR="0088509D">
        <w:t xml:space="preserve">This is one very important component in the servicing </w:t>
      </w:r>
      <w:r w:rsidR="0088509D">
        <w:lastRenderedPageBreak/>
        <w:t xml:space="preserve">compensation model that is broken and must be fixed to insure stability in the system in times of stress. </w:t>
      </w:r>
    </w:p>
    <w:p w14:paraId="2253DA38" w14:textId="77777777" w:rsidR="004800EF" w:rsidRDefault="004800EF" w:rsidP="00C8229C">
      <w:pPr>
        <w:pStyle w:val="ListParagraph"/>
      </w:pPr>
    </w:p>
    <w:p w14:paraId="05E75417" w14:textId="77777777" w:rsidR="00DE2288" w:rsidRPr="003708B9" w:rsidRDefault="00DE2288" w:rsidP="00C8229C">
      <w:pPr>
        <w:pStyle w:val="ListParagraph"/>
        <w:numPr>
          <w:ilvl w:val="0"/>
          <w:numId w:val="2"/>
        </w:numPr>
        <w:rPr>
          <w:b/>
          <w:u w:val="single"/>
        </w:rPr>
      </w:pPr>
      <w:r w:rsidRPr="003708B9">
        <w:rPr>
          <w:b/>
          <w:u w:val="single"/>
        </w:rPr>
        <w:t>Disaster Preparedness</w:t>
      </w:r>
    </w:p>
    <w:p w14:paraId="1691A8BF" w14:textId="6C9628F2" w:rsidR="004800EF" w:rsidRDefault="00EF576B" w:rsidP="004800EF">
      <w:pPr>
        <w:pStyle w:val="ListParagraph"/>
      </w:pPr>
      <w:r>
        <w:t>When a natural disaster occurs, w</w:t>
      </w:r>
      <w:r w:rsidR="00F01678">
        <w:t>e want to offer homeowners consistent and adequate aid</w:t>
      </w:r>
      <w:r>
        <w:t xml:space="preserve"> in a time of great stress for these borrowers. T</w:t>
      </w:r>
      <w:r w:rsidR="00F01678">
        <w:t>oday</w:t>
      </w:r>
      <w:r>
        <w:t xml:space="preserve">, due to different requirements of the </w:t>
      </w:r>
      <w:r w:rsidR="00F251AA">
        <w:t>enterprises, our</w:t>
      </w:r>
      <w:r w:rsidR="00F01678">
        <w:t xml:space="preserve"> response is </w:t>
      </w:r>
      <w:r w:rsidR="00F251AA">
        <w:t>inconsistent</w:t>
      </w:r>
      <w:r>
        <w:t xml:space="preserve"> from borrower to borrower.   The relief a homeowner receives regarding its mortgage should not vary on which enterprise carries or underwrote the credit risk.</w:t>
      </w:r>
      <w:r w:rsidR="00F01678">
        <w:t xml:space="preserve">  </w:t>
      </w:r>
      <w:r w:rsidR="006B42CF">
        <w:t xml:space="preserve">We encourage you to add a section to your goals to make a commitment to developing one disaster plan that encompasses </w:t>
      </w:r>
      <w:r w:rsidR="000345B6">
        <w:t>all</w:t>
      </w:r>
      <w:r w:rsidR="0088509D">
        <w:t xml:space="preserve"> the enterprises overseen by the FHFA and this approach should be coordinated with</w:t>
      </w:r>
      <w:r w:rsidR="0041195B">
        <w:t xml:space="preserve"> CFPB.  </w:t>
      </w:r>
    </w:p>
    <w:p w14:paraId="6D0373EC" w14:textId="77777777" w:rsidR="0041195B" w:rsidRDefault="0041195B" w:rsidP="004800EF">
      <w:pPr>
        <w:pStyle w:val="ListParagraph"/>
      </w:pPr>
    </w:p>
    <w:p w14:paraId="659CC58C" w14:textId="77777777" w:rsidR="0041195B" w:rsidRDefault="0041195B" w:rsidP="004800EF">
      <w:pPr>
        <w:pStyle w:val="ListParagraph"/>
      </w:pPr>
    </w:p>
    <w:p w14:paraId="4A536FE3" w14:textId="77777777" w:rsidR="0041195B" w:rsidRDefault="0041195B" w:rsidP="0041195B">
      <w:pPr>
        <w:pStyle w:val="ListParagraph"/>
        <w:ind w:left="0"/>
        <w:rPr>
          <w:b/>
          <w:u w:val="single"/>
        </w:rPr>
      </w:pPr>
      <w:r w:rsidRPr="0041195B">
        <w:rPr>
          <w:b/>
          <w:u w:val="single"/>
        </w:rPr>
        <w:t>Strategic Goal 3 – Manage the Enterprises’ Ongoing Conservatorships</w:t>
      </w:r>
    </w:p>
    <w:p w14:paraId="7DF8441B" w14:textId="77777777" w:rsidR="00B34F5A" w:rsidRDefault="00B34F5A" w:rsidP="0041195B">
      <w:pPr>
        <w:pStyle w:val="ListParagraph"/>
        <w:ind w:left="0"/>
        <w:rPr>
          <w:b/>
          <w:u w:val="single"/>
        </w:rPr>
      </w:pPr>
    </w:p>
    <w:p w14:paraId="3859CE8C" w14:textId="77777777" w:rsidR="00B34F5A" w:rsidRDefault="00B34F5A" w:rsidP="00B34F5A">
      <w:pPr>
        <w:pStyle w:val="ListParagraph"/>
        <w:numPr>
          <w:ilvl w:val="0"/>
          <w:numId w:val="3"/>
        </w:numPr>
        <w:rPr>
          <w:b/>
          <w:u w:val="single"/>
        </w:rPr>
      </w:pPr>
      <w:r>
        <w:t xml:space="preserve"> </w:t>
      </w:r>
      <w:r w:rsidRPr="00B34F5A">
        <w:rPr>
          <w:b/>
          <w:u w:val="single"/>
        </w:rPr>
        <w:t>Common Securitization</w:t>
      </w:r>
      <w:r>
        <w:rPr>
          <w:b/>
          <w:u w:val="single"/>
        </w:rPr>
        <w:t xml:space="preserve"> Platform</w:t>
      </w:r>
      <w:r w:rsidRPr="00B34F5A">
        <w:rPr>
          <w:b/>
          <w:u w:val="single"/>
        </w:rPr>
        <w:t>/Common Underwriting Characteristics</w:t>
      </w:r>
    </w:p>
    <w:p w14:paraId="6855ABBF" w14:textId="7315364F" w:rsidR="00972D6B" w:rsidRDefault="0084172F" w:rsidP="00B34F5A">
      <w:pPr>
        <w:ind w:left="720"/>
      </w:pPr>
      <w:r>
        <w:t>To enhance the</w:t>
      </w:r>
      <w:r w:rsidR="00B34F5A">
        <w:t xml:space="preserve"> common securitization </w:t>
      </w:r>
      <w:r w:rsidR="0071172B">
        <w:t xml:space="preserve">platform, </w:t>
      </w:r>
      <w:r>
        <w:t xml:space="preserve">it seems logical that </w:t>
      </w:r>
      <w:r w:rsidR="0071172B">
        <w:t>i</w:t>
      </w:r>
      <w:r w:rsidR="00B34F5A" w:rsidRPr="00B34F5A">
        <w:t>nvestors will seek commonality in underwriting characteristics</w:t>
      </w:r>
      <w:r>
        <w:t>.</w:t>
      </w:r>
      <w:r w:rsidR="00B34F5A" w:rsidRPr="00B34F5A">
        <w:t xml:space="preserve"> </w:t>
      </w:r>
      <w:r w:rsidR="00B34F5A">
        <w:t>If underwriting requirements significantly vary, performance of the loans originated under each of the GSE’s guides will also differ.  Investors will ultimately price for this variance, causing subsidization of one GSE by the other</w:t>
      </w:r>
      <w:r w:rsidR="00F01678">
        <w:t xml:space="preserve">.  That scenario </w:t>
      </w:r>
      <w:r w:rsidR="00F251AA">
        <w:t>could destabilize</w:t>
      </w:r>
      <w:r w:rsidR="00B34F5A">
        <w:t xml:space="preserve"> the common securitization platform.  Additionally, originators are looking for consistency in guidelines </w:t>
      </w:r>
      <w:r w:rsidR="00B85637">
        <w:t>to</w:t>
      </w:r>
      <w:r w:rsidR="0071172B">
        <w:t xml:space="preserve"> have </w:t>
      </w:r>
      <w:r w:rsidR="00B34F5A">
        <w:t xml:space="preserve">fungible sales between the two </w:t>
      </w:r>
      <w:r w:rsidR="00972D6B">
        <w:t xml:space="preserve">entities.  </w:t>
      </w:r>
      <w:r w:rsidR="00B34F5A">
        <w:t xml:space="preserve">  </w:t>
      </w:r>
    </w:p>
    <w:p w14:paraId="39AAA4E4" w14:textId="77777777" w:rsidR="00972D6B" w:rsidRDefault="00972D6B" w:rsidP="00972D6B">
      <w:pPr>
        <w:pStyle w:val="ListParagraph"/>
        <w:numPr>
          <w:ilvl w:val="0"/>
          <w:numId w:val="3"/>
        </w:numPr>
        <w:rPr>
          <w:b/>
          <w:u w:val="single"/>
        </w:rPr>
      </w:pPr>
      <w:r>
        <w:t xml:space="preserve"> </w:t>
      </w:r>
      <w:r w:rsidRPr="00972D6B">
        <w:rPr>
          <w:b/>
          <w:u w:val="single"/>
        </w:rPr>
        <w:t>Credit Risk Transfer – Better for the marketplace</w:t>
      </w:r>
    </w:p>
    <w:p w14:paraId="628484E2" w14:textId="5317069D" w:rsidR="00972D6B" w:rsidRDefault="0084172F" w:rsidP="00972D6B">
      <w:pPr>
        <w:ind w:left="720"/>
      </w:pPr>
      <w:r>
        <w:t>We applaud the FHFA and the enterprises in the steps they have taken in Credit Risk Transfer transactions. We believe that these transactions are a very important step in getting private capital into the residential mortgage system</w:t>
      </w:r>
      <w:proofErr w:type="gramStart"/>
      <w:r>
        <w:t xml:space="preserve">. </w:t>
      </w:r>
      <w:r w:rsidR="00972D6B">
        <w:t>.</w:t>
      </w:r>
      <w:proofErr w:type="gramEnd"/>
      <w:r w:rsidR="00972D6B">
        <w:t xml:space="preserve">  By reporting on the credit quality and performance of loans, the prices paid by investors purchasing the credit risk</w:t>
      </w:r>
      <w:r w:rsidR="000E37FC">
        <w:t>,</w:t>
      </w:r>
      <w:r w:rsidR="00972D6B">
        <w:t xml:space="preserve"> and the g</w:t>
      </w:r>
      <w:r w:rsidR="004E11FE">
        <w:t xml:space="preserve">uarantee </w:t>
      </w:r>
      <w:r w:rsidR="00972D6B">
        <w:t xml:space="preserve">fees charged by the agencies, market participants can gain better insight into both performance and benefit of retention/securitization.  Previously, the performance of loans was limited to generic vintage and geographic characteristics.  With common data requirements and more granular reporting required when selling off credit risk, the market is better positioned to gauge credit performance across a broad variety of loan characteristics.  </w:t>
      </w:r>
    </w:p>
    <w:p w14:paraId="10EACBF0" w14:textId="77777777" w:rsidR="00071CF9" w:rsidRDefault="00071CF9" w:rsidP="00071CF9"/>
    <w:p w14:paraId="1A9E7701" w14:textId="77777777" w:rsidR="0041195B" w:rsidRDefault="00071CF9" w:rsidP="00BA1482">
      <w:r>
        <w:t>Thank you again for the opportunity to share our thoughts.  We look forward to the next chapter in our partnership with FHFA.</w:t>
      </w:r>
    </w:p>
    <w:sectPr w:rsidR="004119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67E74" w14:textId="77777777" w:rsidR="007D2038" w:rsidRDefault="007D2038" w:rsidP="009C7F4C">
      <w:pPr>
        <w:spacing w:after="0" w:line="240" w:lineRule="auto"/>
      </w:pPr>
      <w:r>
        <w:separator/>
      </w:r>
    </w:p>
  </w:endnote>
  <w:endnote w:type="continuationSeparator" w:id="0">
    <w:p w14:paraId="6FAD4C50" w14:textId="77777777" w:rsidR="007D2038" w:rsidRDefault="007D2038" w:rsidP="009C7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8C77A" w14:textId="77777777" w:rsidR="007D2038" w:rsidRDefault="007D2038" w:rsidP="009C7F4C">
      <w:pPr>
        <w:spacing w:after="0" w:line="240" w:lineRule="auto"/>
      </w:pPr>
      <w:r>
        <w:separator/>
      </w:r>
    </w:p>
  </w:footnote>
  <w:footnote w:type="continuationSeparator" w:id="0">
    <w:p w14:paraId="3F72929D" w14:textId="77777777" w:rsidR="007D2038" w:rsidRDefault="007D2038" w:rsidP="009C7F4C">
      <w:pPr>
        <w:spacing w:after="0" w:line="240" w:lineRule="auto"/>
      </w:pPr>
      <w:r>
        <w:continuationSeparator/>
      </w:r>
    </w:p>
  </w:footnote>
  <w:footnote w:id="1">
    <w:p w14:paraId="2D6A4ABF" w14:textId="7EFF57A6" w:rsidR="009C7F4C" w:rsidRDefault="009C7F4C">
      <w:pPr>
        <w:pStyle w:val="FootnoteText"/>
      </w:pPr>
      <w:r>
        <w:rPr>
          <w:rStyle w:val="FootnoteReference"/>
        </w:rPr>
        <w:footnoteRef/>
      </w:r>
      <w:r>
        <w:t xml:space="preserve"> The GSE servicing fee model is used extensively in the PLS sector of residential consumer finance as “market” pricing.  Thus, the role of FHFA in regulating the Enterprises also has indirect effect on the PLS market as well, due to the size of the Enterprises in the residential mortgage market.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C34D8"/>
    <w:multiLevelType w:val="hybridMultilevel"/>
    <w:tmpl w:val="54F80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D4E00"/>
    <w:multiLevelType w:val="hybridMultilevel"/>
    <w:tmpl w:val="C07E4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D02531"/>
    <w:multiLevelType w:val="hybridMultilevel"/>
    <w:tmpl w:val="A5C87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9E7"/>
    <w:rsid w:val="000345B6"/>
    <w:rsid w:val="00063FB0"/>
    <w:rsid w:val="00071CF9"/>
    <w:rsid w:val="00072990"/>
    <w:rsid w:val="000E37FC"/>
    <w:rsid w:val="00215F2D"/>
    <w:rsid w:val="003708B9"/>
    <w:rsid w:val="0041195B"/>
    <w:rsid w:val="00426CE7"/>
    <w:rsid w:val="004800EF"/>
    <w:rsid w:val="00485B76"/>
    <w:rsid w:val="004E11FE"/>
    <w:rsid w:val="00576B93"/>
    <w:rsid w:val="006B42CF"/>
    <w:rsid w:val="006E2464"/>
    <w:rsid w:val="0071172B"/>
    <w:rsid w:val="00757176"/>
    <w:rsid w:val="007D2038"/>
    <w:rsid w:val="0083509F"/>
    <w:rsid w:val="0084172F"/>
    <w:rsid w:val="0088509D"/>
    <w:rsid w:val="00972D6B"/>
    <w:rsid w:val="00993D3C"/>
    <w:rsid w:val="009C2121"/>
    <w:rsid w:val="009C7F4C"/>
    <w:rsid w:val="00A5323B"/>
    <w:rsid w:val="00AD3D71"/>
    <w:rsid w:val="00B13C14"/>
    <w:rsid w:val="00B34F5A"/>
    <w:rsid w:val="00B63035"/>
    <w:rsid w:val="00B85637"/>
    <w:rsid w:val="00B977C8"/>
    <w:rsid w:val="00BA1482"/>
    <w:rsid w:val="00BA5447"/>
    <w:rsid w:val="00C14FFA"/>
    <w:rsid w:val="00C738A1"/>
    <w:rsid w:val="00C8229C"/>
    <w:rsid w:val="00CB3092"/>
    <w:rsid w:val="00D4209C"/>
    <w:rsid w:val="00D91247"/>
    <w:rsid w:val="00DB4BDC"/>
    <w:rsid w:val="00DE2288"/>
    <w:rsid w:val="00EA69E7"/>
    <w:rsid w:val="00EB25FF"/>
    <w:rsid w:val="00EF576B"/>
    <w:rsid w:val="00F01678"/>
    <w:rsid w:val="00F251AA"/>
    <w:rsid w:val="00F26E4F"/>
    <w:rsid w:val="00F862E1"/>
    <w:rsid w:val="00FD0A77"/>
    <w:rsid w:val="00FD5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3A5E4"/>
  <w15:docId w15:val="{70F0596B-0266-41CB-A61C-97D4AD3D0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9E7"/>
    <w:pPr>
      <w:ind w:left="720"/>
      <w:contextualSpacing/>
    </w:pPr>
  </w:style>
  <w:style w:type="paragraph" w:styleId="BalloonText">
    <w:name w:val="Balloon Text"/>
    <w:basedOn w:val="Normal"/>
    <w:link w:val="BalloonTextChar"/>
    <w:uiPriority w:val="99"/>
    <w:semiHidden/>
    <w:unhideWhenUsed/>
    <w:rsid w:val="00426CE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26CE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26CE7"/>
    <w:rPr>
      <w:sz w:val="18"/>
      <w:szCs w:val="18"/>
    </w:rPr>
  </w:style>
  <w:style w:type="paragraph" w:styleId="CommentText">
    <w:name w:val="annotation text"/>
    <w:basedOn w:val="Normal"/>
    <w:link w:val="CommentTextChar"/>
    <w:uiPriority w:val="99"/>
    <w:semiHidden/>
    <w:unhideWhenUsed/>
    <w:rsid w:val="00426CE7"/>
    <w:pPr>
      <w:spacing w:line="240" w:lineRule="auto"/>
    </w:pPr>
    <w:rPr>
      <w:sz w:val="24"/>
      <w:szCs w:val="24"/>
    </w:rPr>
  </w:style>
  <w:style w:type="character" w:customStyle="1" w:styleId="CommentTextChar">
    <w:name w:val="Comment Text Char"/>
    <w:basedOn w:val="DefaultParagraphFont"/>
    <w:link w:val="CommentText"/>
    <w:uiPriority w:val="99"/>
    <w:semiHidden/>
    <w:rsid w:val="00426CE7"/>
    <w:rPr>
      <w:sz w:val="24"/>
      <w:szCs w:val="24"/>
    </w:rPr>
  </w:style>
  <w:style w:type="paragraph" w:styleId="CommentSubject">
    <w:name w:val="annotation subject"/>
    <w:basedOn w:val="CommentText"/>
    <w:next w:val="CommentText"/>
    <w:link w:val="CommentSubjectChar"/>
    <w:uiPriority w:val="99"/>
    <w:semiHidden/>
    <w:unhideWhenUsed/>
    <w:rsid w:val="00426CE7"/>
    <w:rPr>
      <w:b/>
      <w:bCs/>
      <w:sz w:val="20"/>
      <w:szCs w:val="20"/>
    </w:rPr>
  </w:style>
  <w:style w:type="character" w:customStyle="1" w:styleId="CommentSubjectChar">
    <w:name w:val="Comment Subject Char"/>
    <w:basedOn w:val="CommentTextChar"/>
    <w:link w:val="CommentSubject"/>
    <w:uiPriority w:val="99"/>
    <w:semiHidden/>
    <w:rsid w:val="00426CE7"/>
    <w:rPr>
      <w:b/>
      <w:bCs/>
      <w:sz w:val="20"/>
      <w:szCs w:val="20"/>
    </w:rPr>
  </w:style>
  <w:style w:type="paragraph" w:styleId="FootnoteText">
    <w:name w:val="footnote text"/>
    <w:basedOn w:val="Normal"/>
    <w:link w:val="FootnoteTextChar"/>
    <w:uiPriority w:val="99"/>
    <w:semiHidden/>
    <w:unhideWhenUsed/>
    <w:rsid w:val="009C7F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7F4C"/>
    <w:rPr>
      <w:sz w:val="20"/>
      <w:szCs w:val="20"/>
    </w:rPr>
  </w:style>
  <w:style w:type="character" w:styleId="FootnoteReference">
    <w:name w:val="footnote reference"/>
    <w:basedOn w:val="DefaultParagraphFont"/>
    <w:uiPriority w:val="99"/>
    <w:semiHidden/>
    <w:unhideWhenUsed/>
    <w:rsid w:val="009C7F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226485-104E-49E0-9CC6-5247DC07C768}">
  <ds:schemaRefs>
    <ds:schemaRef ds:uri="http://schemas.openxmlformats.org/officeDocument/2006/bibliography"/>
  </ds:schemaRefs>
</ds:datastoreItem>
</file>

<file path=customXml/itemProps2.xml><?xml version="1.0" encoding="utf-8"?>
<ds:datastoreItem xmlns:ds="http://schemas.openxmlformats.org/officeDocument/2006/customXml" ds:itemID="{C62D7960-16A8-4F86-B60E-BB52B41BD827}"/>
</file>

<file path=customXml/itemProps3.xml><?xml version="1.0" encoding="utf-8"?>
<ds:datastoreItem xmlns:ds="http://schemas.openxmlformats.org/officeDocument/2006/customXml" ds:itemID="{8F2F47F2-A9B8-4FF1-8D38-E6F9C2399D48}"/>
</file>

<file path=customXml/itemProps4.xml><?xml version="1.0" encoding="utf-8"?>
<ds:datastoreItem xmlns:ds="http://schemas.openxmlformats.org/officeDocument/2006/customXml" ds:itemID="{99BC75BB-B65C-402A-9846-CE071F869272}"/>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Nationstar Mortgage</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Dana Dillard</cp:lastModifiedBy>
  <cp:revision>2</cp:revision>
  <cp:lastPrinted>2017-10-20T19:35:00Z</cp:lastPrinted>
  <dcterms:created xsi:type="dcterms:W3CDTF">2017-10-28T20:33:00Z</dcterms:created>
  <dcterms:modified xsi:type="dcterms:W3CDTF">2017-10-28T20:33:00Z</dcterms:modified>
</cp:coreProperties>
</file>