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070"/>
        <w:gridCol w:w="7020"/>
      </w:tblGrid>
      <w:tr w:rsidR="0066223B" w14:paraId="0693D8FB" w14:textId="77777777">
        <w:tc>
          <w:tcPr>
            <w:tcW w:w="2070" w:type="dxa"/>
          </w:tcPr>
          <w:p w14:paraId="656307F7" w14:textId="77777777" w:rsidR="0066223B" w:rsidRDefault="00AC39DF" w:rsidP="0066223B">
            <w:pPr>
              <w:jc w:val="center"/>
              <w:rPr>
                <w:b/>
                <w:i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ADEE7D4" wp14:editId="44707C5E">
                  <wp:extent cx="1351915" cy="1304290"/>
                  <wp:effectExtent l="0" t="0" r="635" b="0"/>
                  <wp:docPr id="1" name="Picture 2" descr="cid:image001.png@01CF647E.9F48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CF647E.9F48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23358711" w14:textId="77777777" w:rsidR="00907EAE" w:rsidRDefault="00907EAE" w:rsidP="0066223B">
            <w:pPr>
              <w:jc w:val="center"/>
              <w:rPr>
                <w:b/>
                <w:i/>
                <w:sz w:val="32"/>
              </w:rPr>
            </w:pPr>
          </w:p>
          <w:p w14:paraId="578B6613" w14:textId="77777777" w:rsidR="0066223B" w:rsidRDefault="0066223B" w:rsidP="0066223B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Mortgage Bankers Association of Hawaii</w:t>
            </w:r>
          </w:p>
          <w:p w14:paraId="19D7CB02" w14:textId="77777777" w:rsidR="0066223B" w:rsidRDefault="0066223B" w:rsidP="0066223B">
            <w:pPr>
              <w:jc w:val="center"/>
              <w:rPr>
                <w:b/>
                <w:i/>
                <w:sz w:val="3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i/>
                    <w:sz w:val="22"/>
                  </w:rPr>
                  <w:t>P.O. Box 4129</w:t>
                </w:r>
              </w:smartTag>
              <w:r>
                <w:rPr>
                  <w:b/>
                  <w:i/>
                  <w:sz w:val="22"/>
                </w:rPr>
                <w:t xml:space="preserve">, </w:t>
              </w:r>
              <w:smartTag w:uri="urn:schemas-microsoft-com:office:smarttags" w:element="City">
                <w:r>
                  <w:rPr>
                    <w:b/>
                    <w:i/>
                    <w:sz w:val="22"/>
                  </w:rPr>
                  <w:t>Honolulu</w:t>
                </w:r>
              </w:smartTag>
              <w:r>
                <w:rPr>
                  <w:b/>
                  <w:i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i/>
                    <w:sz w:val="22"/>
                  </w:rPr>
                  <w:t>Hawaii</w:t>
                </w:r>
              </w:smartTag>
              <w:r>
                <w:rPr>
                  <w:b/>
                  <w:i/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i/>
                    <w:sz w:val="22"/>
                  </w:rPr>
                  <w:t>96812</w:t>
                </w:r>
              </w:smartTag>
            </w:smartTag>
          </w:p>
        </w:tc>
      </w:tr>
      <w:tr w:rsidR="0066223B" w14:paraId="5AD85D71" w14:textId="77777777">
        <w:tc>
          <w:tcPr>
            <w:tcW w:w="2070" w:type="dxa"/>
          </w:tcPr>
          <w:p w14:paraId="70F7D312" w14:textId="77777777" w:rsidR="0066223B" w:rsidRDefault="0066223B" w:rsidP="0066223B">
            <w:pPr>
              <w:jc w:val="center"/>
              <w:rPr>
                <w:noProof/>
              </w:rPr>
            </w:pPr>
          </w:p>
        </w:tc>
        <w:tc>
          <w:tcPr>
            <w:tcW w:w="7020" w:type="dxa"/>
          </w:tcPr>
          <w:p w14:paraId="6E695B16" w14:textId="77777777" w:rsidR="0066223B" w:rsidRDefault="0066223B" w:rsidP="0066223B">
            <w:pPr>
              <w:jc w:val="center"/>
              <w:rPr>
                <w:b/>
                <w:i/>
                <w:sz w:val="32"/>
              </w:rPr>
            </w:pPr>
          </w:p>
        </w:tc>
      </w:tr>
    </w:tbl>
    <w:p w14:paraId="39859B08" w14:textId="77777777" w:rsidR="0066223B" w:rsidRDefault="0066223B" w:rsidP="0066223B">
      <w:pPr>
        <w:pStyle w:val="Title"/>
        <w:jc w:val="left"/>
      </w:pPr>
    </w:p>
    <w:p w14:paraId="559959B9" w14:textId="0B36EFC1" w:rsidR="0066223B" w:rsidRPr="00B0774D" w:rsidRDefault="00584A0C" w:rsidP="0066223B">
      <w:pPr>
        <w:pStyle w:val="Title"/>
        <w:jc w:val="left"/>
        <w:rPr>
          <w:b w:val="0"/>
          <w:bCs/>
        </w:rPr>
      </w:pPr>
      <w:r>
        <w:rPr>
          <w:b w:val="0"/>
          <w:bCs/>
        </w:rPr>
        <w:t>August 14,</w:t>
      </w:r>
      <w:r w:rsidR="00F44EDC">
        <w:rPr>
          <w:b w:val="0"/>
          <w:bCs/>
        </w:rPr>
        <w:t xml:space="preserve"> 2023</w:t>
      </w:r>
      <w:r w:rsidR="00F63832">
        <w:rPr>
          <w:b w:val="0"/>
          <w:bCs/>
        </w:rPr>
        <w:tab/>
      </w:r>
      <w:r w:rsidR="00F63832">
        <w:rPr>
          <w:b w:val="0"/>
          <w:bCs/>
        </w:rPr>
        <w:tab/>
      </w:r>
      <w:r w:rsidR="00F63832">
        <w:rPr>
          <w:b w:val="0"/>
          <w:bCs/>
        </w:rPr>
        <w:tab/>
      </w:r>
    </w:p>
    <w:p w14:paraId="7713E38C" w14:textId="5A598CE1" w:rsidR="0066223B" w:rsidRDefault="0066223B" w:rsidP="0066223B">
      <w:pPr>
        <w:pStyle w:val="Title"/>
        <w:jc w:val="left"/>
        <w:rPr>
          <w:b w:val="0"/>
          <w:bCs/>
        </w:rPr>
      </w:pPr>
    </w:p>
    <w:p w14:paraId="2ADDB6BA" w14:textId="77777777" w:rsidR="00584A0C" w:rsidRPr="0050663C" w:rsidRDefault="00584A0C" w:rsidP="00584A0C">
      <w:pPr>
        <w:rPr>
          <w:rFonts w:cs="Arial"/>
        </w:rPr>
      </w:pPr>
      <w:r w:rsidRPr="0050663C">
        <w:rPr>
          <w:rFonts w:cs="Arial"/>
        </w:rPr>
        <w:t>The Honorable Sandra Thompson</w:t>
      </w:r>
    </w:p>
    <w:p w14:paraId="16B7B6F8" w14:textId="77777777" w:rsidR="00584A0C" w:rsidRPr="0050663C" w:rsidRDefault="00584A0C" w:rsidP="00584A0C">
      <w:pPr>
        <w:rPr>
          <w:rFonts w:eastAsiaTheme="minorHAnsi" w:cs="Arial"/>
        </w:rPr>
      </w:pPr>
      <w:r w:rsidRPr="0050663C">
        <w:rPr>
          <w:rFonts w:cs="Arial"/>
        </w:rPr>
        <w:t>Director</w:t>
      </w:r>
      <w:r>
        <w:rPr>
          <w:rFonts w:cs="Arial"/>
        </w:rPr>
        <w:t xml:space="preserve">, </w:t>
      </w:r>
      <w:r w:rsidRPr="0050663C">
        <w:rPr>
          <w:rFonts w:eastAsiaTheme="minorHAnsi" w:cs="Arial"/>
        </w:rPr>
        <w:t>Federal Housing Finance Agency</w:t>
      </w:r>
    </w:p>
    <w:p w14:paraId="387E6782" w14:textId="20F300D1" w:rsidR="00584A0C" w:rsidRDefault="00584A0C" w:rsidP="00584A0C">
      <w:pPr>
        <w:pStyle w:val="Title"/>
        <w:jc w:val="left"/>
        <w:rPr>
          <w:b w:val="0"/>
          <w:bCs/>
        </w:rPr>
      </w:pPr>
      <w:r>
        <w:rPr>
          <w:rFonts w:eastAsiaTheme="minorHAnsi" w:cs="Arial"/>
        </w:rPr>
        <w:t>Via website submission</w:t>
      </w:r>
    </w:p>
    <w:p w14:paraId="492358EF" w14:textId="77777777" w:rsidR="00584A0C" w:rsidRDefault="00584A0C" w:rsidP="0066223B">
      <w:pPr>
        <w:pStyle w:val="Title"/>
        <w:jc w:val="left"/>
        <w:rPr>
          <w:b w:val="0"/>
          <w:bCs/>
        </w:rPr>
      </w:pPr>
    </w:p>
    <w:p w14:paraId="74E1CAFC" w14:textId="7DB7AC23" w:rsidR="009C70D8" w:rsidRDefault="0066223B" w:rsidP="00584A0C">
      <w:pPr>
        <w:pStyle w:val="Header"/>
        <w:tabs>
          <w:tab w:val="clear" w:pos="4320"/>
          <w:tab w:val="clear" w:pos="9360"/>
        </w:tabs>
        <w:rPr>
          <w:bCs/>
          <w:u w:val="single"/>
        </w:rPr>
      </w:pPr>
      <w:r>
        <w:rPr>
          <w:bCs/>
        </w:rPr>
        <w:t>Re:</w:t>
      </w:r>
      <w:r w:rsidR="00584A0C">
        <w:rPr>
          <w:bCs/>
        </w:rPr>
        <w:t xml:space="preserve">  FHFA Request for Input dated May 15, 2023 - </w:t>
      </w:r>
      <w:r w:rsidR="00584A0C">
        <w:rPr>
          <w:rFonts w:ascii="Source Sans Pro" w:hAnsi="Source Sans Pro"/>
          <w:color w:val="404040"/>
          <w:sz w:val="21"/>
          <w:szCs w:val="21"/>
          <w:shd w:val="clear" w:color="auto" w:fill="FFFFFF"/>
        </w:rPr>
        <w:t>Enterprises’ Single-Family Mortgage Pricing Framework</w:t>
      </w:r>
      <w:r w:rsidR="00584A0C">
        <w:rPr>
          <w:rFonts w:ascii="Source Sans Pro" w:hAnsi="Source Sans Pro"/>
          <w:color w:val="404040"/>
          <w:sz w:val="21"/>
          <w:szCs w:val="21"/>
          <w:shd w:val="clear" w:color="auto" w:fill="FFFFFF"/>
        </w:rPr>
        <w:t xml:space="preserve"> </w:t>
      </w:r>
    </w:p>
    <w:p w14:paraId="15350B01" w14:textId="36C3CF3B" w:rsidR="00BD75F0" w:rsidRDefault="00BD75F0" w:rsidP="00147300">
      <w:pPr>
        <w:pStyle w:val="BodyTextIndent2"/>
        <w:ind w:firstLine="0"/>
      </w:pPr>
      <w:r w:rsidRPr="00FF3912">
        <w:t>I am</w:t>
      </w:r>
      <w:r>
        <w:t xml:space="preserve"> </w:t>
      </w:r>
      <w:r w:rsidR="00E6322D">
        <w:t>Victor Brock</w:t>
      </w:r>
      <w:r w:rsidR="009D4D6E">
        <w:t xml:space="preserve">, </w:t>
      </w:r>
      <w:r w:rsidRPr="00FF3912">
        <w:t>representing the Mortgage Bankers Association of Hawaii ("MBAH").</w:t>
      </w:r>
      <w:r>
        <w:t xml:space="preserve">  The MBAH is a voluntary organization of </w:t>
      </w:r>
      <w:r w:rsidR="00C0734E">
        <w:t xml:space="preserve">individuals involved in the </w:t>
      </w:r>
      <w:r>
        <w:t xml:space="preserve">real estate </w:t>
      </w:r>
      <w:r w:rsidR="00C0734E">
        <w:t>lending industry</w:t>
      </w:r>
      <w:r>
        <w:t xml:space="preserve"> in Hawaii.  Our membership consists of employees of banks, savings institutions, </w:t>
      </w:r>
      <w:r w:rsidR="00771AD7">
        <w:t xml:space="preserve">credit unions, </w:t>
      </w:r>
      <w:r>
        <w:t xml:space="preserve">mortgage bankers, mortgage brokers, </w:t>
      </w:r>
      <w:r w:rsidR="00C0734E">
        <w:t xml:space="preserve">financial institutions, and companies whose business depends upon the ongoing health of the financial services industry of Hawaii.  </w:t>
      </w:r>
      <w:r>
        <w:t>The members of the MBAH originate</w:t>
      </w:r>
      <w:r w:rsidR="00C0734E">
        <w:t xml:space="preserve"> </w:t>
      </w:r>
      <w:r w:rsidR="00AE7DB7">
        <w:t>and service</w:t>
      </w:r>
      <w:r w:rsidR="0075641A">
        <w:t>,</w:t>
      </w:r>
      <w:r w:rsidR="00AE7DB7">
        <w:t xml:space="preserve"> </w:t>
      </w:r>
      <w:r w:rsidR="00C0734E">
        <w:t>or support the origination</w:t>
      </w:r>
      <w:r w:rsidR="00AE7DB7">
        <w:t xml:space="preserve"> and servicing</w:t>
      </w:r>
      <w:r w:rsidR="0075641A">
        <w:t>,</w:t>
      </w:r>
      <w:r w:rsidR="00C0734E">
        <w:t xml:space="preserve"> of</w:t>
      </w:r>
      <w:r>
        <w:t xml:space="preserve"> the vast majority of residential and commercial real estate mortgage loans in Hawaii.  When, and if, the MBAH </w:t>
      </w:r>
      <w:r w:rsidR="00F44EDC">
        <w:t>opines</w:t>
      </w:r>
      <w:r>
        <w:t xml:space="preserve"> on legislation</w:t>
      </w:r>
      <w:r w:rsidR="00E6322D">
        <w:t xml:space="preserve"> or rules</w:t>
      </w:r>
      <w:r>
        <w:t>, it is related only to mortgage lending</w:t>
      </w:r>
      <w:r w:rsidR="00AE7DB7">
        <w:t xml:space="preserve"> and servicing</w:t>
      </w:r>
      <w:r>
        <w:t>.</w:t>
      </w:r>
    </w:p>
    <w:p w14:paraId="2EF3E222" w14:textId="77777777" w:rsidR="00E6322D" w:rsidRDefault="00E6322D" w:rsidP="00E6322D"/>
    <w:p w14:paraId="11D53B8B" w14:textId="5CB467A3" w:rsidR="00B06D37" w:rsidRDefault="00F44EDC" w:rsidP="00F44EDC">
      <w:pPr>
        <w:rPr>
          <w:rFonts w:cs="Arial"/>
        </w:rPr>
      </w:pPr>
      <w:r>
        <w:rPr>
          <w:rFonts w:cs="Arial"/>
        </w:rPr>
        <w:t xml:space="preserve">We </w:t>
      </w:r>
      <w:r w:rsidR="00584A0C">
        <w:rPr>
          <w:rFonts w:cs="Arial"/>
        </w:rPr>
        <w:t xml:space="preserve">applaud the FHFA’s </w:t>
      </w:r>
      <w:r w:rsidR="00B06D37">
        <w:rPr>
          <w:rFonts w:cs="Arial"/>
        </w:rPr>
        <w:t>announcement</w:t>
      </w:r>
      <w:r w:rsidR="00584A0C">
        <w:rPr>
          <w:rFonts w:cs="Arial"/>
        </w:rPr>
        <w:t xml:space="preserve"> on May 10, 2023 to reverse course and rescind the loan-level price adjustment based on debt-to-income ratios in excess of 40%.  </w:t>
      </w:r>
      <w:r w:rsidR="00B06D37">
        <w:rPr>
          <w:rFonts w:cs="Arial"/>
        </w:rPr>
        <w:t>However</w:t>
      </w:r>
      <w:r w:rsidR="007F2F54">
        <w:rPr>
          <w:rFonts w:cs="Arial"/>
        </w:rPr>
        <w:t>,</w:t>
      </w:r>
      <w:r w:rsidR="00B06D37">
        <w:rPr>
          <w:rFonts w:cs="Arial"/>
        </w:rPr>
        <w:t xml:space="preserve"> we have continued concerns about the structure of exemptions to the loan-level price adjustments </w:t>
      </w:r>
      <w:r w:rsidR="00B06D37" w:rsidRPr="0050663C">
        <w:rPr>
          <w:rFonts w:cs="Arial"/>
        </w:rPr>
        <w:t>(</w:t>
      </w:r>
      <w:r w:rsidR="00B06D37">
        <w:rPr>
          <w:rFonts w:cs="Arial"/>
        </w:rPr>
        <w:t>“</w:t>
      </w:r>
      <w:r w:rsidR="00B06D37" w:rsidRPr="0050663C">
        <w:rPr>
          <w:rFonts w:cs="Arial"/>
        </w:rPr>
        <w:t>LLPAs</w:t>
      </w:r>
      <w:r w:rsidR="00B06D37">
        <w:rPr>
          <w:rFonts w:cs="Arial"/>
        </w:rPr>
        <w:t>”</w:t>
      </w:r>
      <w:r w:rsidR="00B06D37" w:rsidRPr="0050663C">
        <w:rPr>
          <w:rFonts w:cs="Arial"/>
        </w:rPr>
        <w:t xml:space="preserve">) </w:t>
      </w:r>
      <w:r w:rsidR="00B06D37">
        <w:rPr>
          <w:rFonts w:cs="Arial"/>
        </w:rPr>
        <w:t xml:space="preserve">and how they are applied unequally to borrowers in the state of Hawaii versus borrowers in other “high cost” areas in the continental U.S.  </w:t>
      </w:r>
    </w:p>
    <w:p w14:paraId="60BDF323" w14:textId="77777777" w:rsidR="00B06D37" w:rsidRDefault="00B06D37" w:rsidP="00F44EDC">
      <w:pPr>
        <w:rPr>
          <w:rFonts w:cs="Arial"/>
        </w:rPr>
      </w:pPr>
    </w:p>
    <w:p w14:paraId="44562E6F" w14:textId="0F72C50C" w:rsidR="00C85D7B" w:rsidRPr="00E1241B" w:rsidRDefault="00D1776A" w:rsidP="00E1241B">
      <w:pPr>
        <w:spacing w:line="259" w:lineRule="auto"/>
      </w:pPr>
      <w:r w:rsidRPr="00E1241B">
        <w:t>The LLPA fee cap, which essential</w:t>
      </w:r>
      <w:r w:rsidR="00C85D7B" w:rsidRPr="00E1241B">
        <w:t>ly</w:t>
      </w:r>
      <w:r w:rsidRPr="00E1241B">
        <w:t xml:space="preserve"> waives th</w:t>
      </w:r>
      <w:r w:rsidR="000E1CD2" w:rsidRPr="00E1241B">
        <w:t>ese</w:t>
      </w:r>
      <w:r w:rsidRPr="00E1241B">
        <w:t xml:space="preserve"> LLPA</w:t>
      </w:r>
      <w:r w:rsidR="000E1CD2" w:rsidRPr="00E1241B">
        <w:t>’s</w:t>
      </w:r>
      <w:r w:rsidR="00771AD7" w:rsidRPr="00E1241B">
        <w:t>,</w:t>
      </w:r>
      <w:r w:rsidRPr="00E1241B">
        <w:t xml:space="preserve"> is allowed for a first-time homebuyer (“FTHB”) whose income is less than 100% of the Area Median Income </w:t>
      </w:r>
      <w:r w:rsidR="00C97870" w:rsidRPr="00E1241B">
        <w:t xml:space="preserve">(“AMI”) </w:t>
      </w:r>
      <w:r w:rsidRPr="00E1241B">
        <w:t>in Hawaii.  In other “high cost areas</w:t>
      </w:r>
      <w:r w:rsidR="00C97870" w:rsidRPr="00E1241B">
        <w:t>”</w:t>
      </w:r>
      <w:r w:rsidRPr="00E1241B">
        <w:t>, this waiver applies to a FTHB whose income is less than 120%</w:t>
      </w:r>
      <w:r w:rsidR="00C97870" w:rsidRPr="00E1241B">
        <w:t xml:space="preserve"> of AMI</w:t>
      </w:r>
      <w:r w:rsidR="0086029C" w:rsidRPr="00E1241B">
        <w:t xml:space="preserve">.  Due to statutory language as part of </w:t>
      </w:r>
      <w:r w:rsidR="007D05D2" w:rsidRPr="00E1241B">
        <w:t>Housing and Economic Recovery Act of 2008 (HERA)</w:t>
      </w:r>
      <w:r w:rsidR="0078661F" w:rsidRPr="00E1241B">
        <w:rPr>
          <w:vertAlign w:val="superscript"/>
        </w:rPr>
        <w:t>1</w:t>
      </w:r>
      <w:r w:rsidR="0086029C" w:rsidRPr="00E1241B">
        <w:t xml:space="preserve">, Hawaii is granted a higher conforming loan limit but cannot also be considered a “high cost area”.  </w:t>
      </w:r>
      <w:r w:rsidR="007D05D2" w:rsidRPr="00E1241B">
        <w:t>Therefore, areas on the mainland with similar high housing costs are given a higher income exemption from th</w:t>
      </w:r>
      <w:r w:rsidR="009B5F25" w:rsidRPr="00E1241B">
        <w:t>e</w:t>
      </w:r>
      <w:r w:rsidR="007D05D2" w:rsidRPr="00E1241B">
        <w:t xml:space="preserve"> LLPA</w:t>
      </w:r>
      <w:r w:rsidR="009B5F25" w:rsidRPr="00E1241B">
        <w:t>’s</w:t>
      </w:r>
      <w:r w:rsidR="007D05D2" w:rsidRPr="00E1241B">
        <w:t xml:space="preserve">.  </w:t>
      </w:r>
      <w:r w:rsidR="00C85D7B" w:rsidRPr="00E1241B">
        <w:br/>
      </w:r>
      <w:r w:rsidR="00C85D7B" w:rsidRPr="00E1241B">
        <w:br/>
      </w:r>
      <w:r w:rsidR="007D05D2" w:rsidRPr="00E1241B">
        <w:t>To illustrate the effect, we compare Maui county to Contra Costa County, CA</w:t>
      </w:r>
      <w:r w:rsidR="00D63A37" w:rsidRPr="00E1241B">
        <w:t>, which have a very similar median sales price</w:t>
      </w:r>
      <w:r w:rsidR="00B33D2D" w:rsidRPr="00E1241B">
        <w:t>s and the same FHFA “conforming loan limit”</w:t>
      </w:r>
      <w:r w:rsidR="00D63A37" w:rsidRPr="00E1241B">
        <w:t xml:space="preserve"> but </w:t>
      </w:r>
      <w:r w:rsidR="00B33D2D" w:rsidRPr="00E1241B">
        <w:t xml:space="preserve">have </w:t>
      </w:r>
      <w:r w:rsidR="00D63A37" w:rsidRPr="00E1241B">
        <w:t>a vastly different threshold</w:t>
      </w:r>
      <w:r w:rsidR="00B745AE" w:rsidRPr="00E1241B">
        <w:t xml:space="preserve"> for waiver of these LLPA</w:t>
      </w:r>
      <w:r w:rsidR="000E1CD2" w:rsidRPr="00E1241B">
        <w:t>’s</w:t>
      </w:r>
      <w:r w:rsidR="007D05D2" w:rsidRPr="00E1241B">
        <w:t xml:space="preserve">.  </w:t>
      </w:r>
      <w:r w:rsidR="00B745AE" w:rsidRPr="00E1241B">
        <w:t xml:space="preserve">A </w:t>
      </w:r>
      <w:r w:rsidR="005171C4" w:rsidRPr="00E1241B">
        <w:t>FTHB</w:t>
      </w:r>
      <w:r w:rsidR="00B745AE" w:rsidRPr="00E1241B">
        <w:t xml:space="preserve"> in Contra Costa County would be exempt from all LLPA</w:t>
      </w:r>
      <w:r w:rsidR="000E1CD2" w:rsidRPr="00E1241B">
        <w:t>’</w:t>
      </w:r>
      <w:r w:rsidR="00B745AE" w:rsidRPr="00E1241B">
        <w:t xml:space="preserve">s with income of $181,319 whereas any FTHB </w:t>
      </w:r>
      <w:r w:rsidR="00B745AE" w:rsidRPr="00E1241B">
        <w:lastRenderedPageBreak/>
        <w:t xml:space="preserve">in Maui County whose income is above $101,100 would be assessed these fees.  </w:t>
      </w:r>
      <w:r w:rsidR="00C85D7B" w:rsidRPr="00E1241B">
        <w:br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65"/>
        <w:gridCol w:w="1440"/>
        <w:gridCol w:w="1170"/>
        <w:gridCol w:w="1260"/>
        <w:gridCol w:w="1255"/>
      </w:tblGrid>
      <w:tr w:rsidR="00C85D7B" w14:paraId="14EEF786" w14:textId="77777777" w:rsidTr="00B745AE">
        <w:trPr>
          <w:trHeight w:val="548"/>
        </w:trPr>
        <w:tc>
          <w:tcPr>
            <w:tcW w:w="2065" w:type="dxa"/>
            <w:tcBorders>
              <w:top w:val="nil"/>
              <w:left w:val="nil"/>
            </w:tcBorders>
          </w:tcPr>
          <w:p w14:paraId="3D201C81" w14:textId="77777777" w:rsidR="00C85D7B" w:rsidRPr="00C85D7B" w:rsidRDefault="00C85D7B" w:rsidP="00C85D7B">
            <w:pPr>
              <w:spacing w:after="160" w:line="259" w:lineRule="auto"/>
            </w:pPr>
          </w:p>
        </w:tc>
        <w:tc>
          <w:tcPr>
            <w:tcW w:w="1440" w:type="dxa"/>
          </w:tcPr>
          <w:p w14:paraId="13F2499F" w14:textId="311EBC86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Median Sales Price</w:t>
            </w:r>
            <w:r w:rsidR="0078661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50FF1A8C" w14:textId="077C53B8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 100%</w:t>
            </w:r>
          </w:p>
        </w:tc>
        <w:tc>
          <w:tcPr>
            <w:tcW w:w="1260" w:type="dxa"/>
          </w:tcPr>
          <w:p w14:paraId="65AA5921" w14:textId="049A39E7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 120%</w:t>
            </w:r>
          </w:p>
        </w:tc>
        <w:tc>
          <w:tcPr>
            <w:tcW w:w="1255" w:type="dxa"/>
          </w:tcPr>
          <w:p w14:paraId="532A32E2" w14:textId="3B5129B1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FHTB LLPA waiver</w:t>
            </w:r>
          </w:p>
        </w:tc>
      </w:tr>
      <w:tr w:rsidR="00C85D7B" w14:paraId="34481544" w14:textId="77777777" w:rsidTr="00B745AE">
        <w:trPr>
          <w:trHeight w:val="521"/>
        </w:trPr>
        <w:tc>
          <w:tcPr>
            <w:tcW w:w="2065" w:type="dxa"/>
          </w:tcPr>
          <w:p w14:paraId="2E9A86FA" w14:textId="70196DC0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 Costa Co., CA</w:t>
            </w:r>
          </w:p>
        </w:tc>
        <w:tc>
          <w:tcPr>
            <w:tcW w:w="1440" w:type="dxa"/>
          </w:tcPr>
          <w:p w14:paraId="7939009B" w14:textId="77342F32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$871,375 </w:t>
            </w:r>
          </w:p>
        </w:tc>
        <w:tc>
          <w:tcPr>
            <w:tcW w:w="1170" w:type="dxa"/>
          </w:tcPr>
          <w:p w14:paraId="1AD927B5" w14:textId="2A5FE6BE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$151,100</w:t>
            </w:r>
          </w:p>
        </w:tc>
        <w:tc>
          <w:tcPr>
            <w:tcW w:w="1260" w:type="dxa"/>
          </w:tcPr>
          <w:p w14:paraId="17D505BA" w14:textId="476DB058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$181,320</w:t>
            </w:r>
          </w:p>
        </w:tc>
        <w:tc>
          <w:tcPr>
            <w:tcW w:w="1255" w:type="dxa"/>
          </w:tcPr>
          <w:p w14:paraId="6249622C" w14:textId="63FD4827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$181,320</w:t>
            </w:r>
          </w:p>
        </w:tc>
      </w:tr>
      <w:tr w:rsidR="00C85D7B" w14:paraId="2D4D3350" w14:textId="77777777" w:rsidTr="00B745AE">
        <w:tc>
          <w:tcPr>
            <w:tcW w:w="2065" w:type="dxa"/>
          </w:tcPr>
          <w:p w14:paraId="4C649F07" w14:textId="61A936F1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Maui County, HI</w:t>
            </w:r>
          </w:p>
        </w:tc>
        <w:tc>
          <w:tcPr>
            <w:tcW w:w="1440" w:type="dxa"/>
          </w:tcPr>
          <w:p w14:paraId="4B35BAC4" w14:textId="28038707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$898,025</w:t>
            </w:r>
          </w:p>
        </w:tc>
        <w:tc>
          <w:tcPr>
            <w:tcW w:w="1170" w:type="dxa"/>
          </w:tcPr>
          <w:p w14:paraId="674AC845" w14:textId="3C23E0A3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$101,100</w:t>
            </w:r>
          </w:p>
        </w:tc>
        <w:tc>
          <w:tcPr>
            <w:tcW w:w="1260" w:type="dxa"/>
          </w:tcPr>
          <w:p w14:paraId="3AF1DB74" w14:textId="77777777" w:rsidR="00C85D7B" w:rsidRPr="00C85D7B" w:rsidRDefault="00C85D7B" w:rsidP="00C85D7B">
            <w:pPr>
              <w:spacing w:line="259" w:lineRule="auto"/>
            </w:pPr>
          </w:p>
        </w:tc>
        <w:tc>
          <w:tcPr>
            <w:tcW w:w="1255" w:type="dxa"/>
          </w:tcPr>
          <w:p w14:paraId="6B7CC98E" w14:textId="093C28FE" w:rsidR="00C85D7B" w:rsidRPr="00C85D7B" w:rsidRDefault="00C85D7B" w:rsidP="00C85D7B">
            <w:p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$101,100</w:t>
            </w:r>
          </w:p>
        </w:tc>
      </w:tr>
    </w:tbl>
    <w:p w14:paraId="7E5C30B0" w14:textId="08FB06BE" w:rsidR="007D05D2" w:rsidRPr="00C85D7B" w:rsidRDefault="007D05D2" w:rsidP="00C85D7B">
      <w:pPr>
        <w:spacing w:after="160" w:line="259" w:lineRule="auto"/>
        <w:ind w:left="1080"/>
      </w:pPr>
    </w:p>
    <w:p w14:paraId="39A7969A" w14:textId="7EBD2CD5" w:rsidR="00F44EDC" w:rsidRPr="00F44EDC" w:rsidRDefault="00C855D3" w:rsidP="00F44EDC">
      <w:r>
        <w:t xml:space="preserve">This disparate treatment based on the way the LLPA exemption rule was written is unfair to prospective homebuyers in Hawaii and has nothing to do with the </w:t>
      </w:r>
      <w:r w:rsidR="00E50DB6" w:rsidRPr="00F44EDC">
        <w:t>GSEs need to manage their risk appropriately</w:t>
      </w:r>
      <w:r>
        <w:t>.  We believe this to be an oversight.  This rule needs to be reconsidered and rewritten to allow the 120% multiplier also for states that have higher permanent conforming loan limits based on HERA.  We</w:t>
      </w:r>
      <w:r w:rsidR="00EB14F6">
        <w:t xml:space="preserve"> ask the FHFA to revi</w:t>
      </w:r>
      <w:r>
        <w:t>ew</w:t>
      </w:r>
      <w:r w:rsidR="00EB14F6">
        <w:t xml:space="preserve"> the LLPA cap threshold of 100% of AMI for first-time buyers in Hawaii and instead </w:t>
      </w:r>
      <w:r>
        <w:t xml:space="preserve">to </w:t>
      </w:r>
      <w:r w:rsidR="00EB14F6">
        <w:t>allow the 120% of AMI cap applicable to other “high cost areas” on the mainland</w:t>
      </w:r>
      <w:r w:rsidR="00F44EDC" w:rsidRPr="00F44EDC">
        <w:t xml:space="preserve">. </w:t>
      </w:r>
      <w:r w:rsidR="00E50DB6">
        <w:t xml:space="preserve"> </w:t>
      </w:r>
    </w:p>
    <w:p w14:paraId="6D496E2E" w14:textId="77777777" w:rsidR="00F44EDC" w:rsidRPr="00F44EDC" w:rsidRDefault="00F44EDC" w:rsidP="00F44EDC"/>
    <w:p w14:paraId="55516306" w14:textId="1FB2C7A1" w:rsidR="009D4D6E" w:rsidRPr="00F44EDC" w:rsidRDefault="009D4D6E" w:rsidP="00063247">
      <w:pPr>
        <w:spacing w:before="240"/>
      </w:pPr>
      <w:r w:rsidRPr="00F44EDC">
        <w:t xml:space="preserve">Thank you for the opportunity to present </w:t>
      </w:r>
      <w:r w:rsidR="00984289">
        <w:t>our perspective</w:t>
      </w:r>
      <w:r w:rsidRPr="00F44EDC">
        <w:t>.</w:t>
      </w:r>
    </w:p>
    <w:p w14:paraId="2E50B945" w14:textId="77777777" w:rsidR="00CF1AD6" w:rsidRPr="00F44EDC" w:rsidRDefault="00CF1AD6" w:rsidP="00CF1AD6"/>
    <w:p w14:paraId="0252CA90" w14:textId="77777777" w:rsidR="004E4B71" w:rsidRPr="00F44EDC" w:rsidRDefault="004E4B71" w:rsidP="004E4B71">
      <w:r w:rsidRPr="00F44EDC">
        <w:t xml:space="preserve">Respectfully, </w:t>
      </w:r>
    </w:p>
    <w:p w14:paraId="69E0489B" w14:textId="77777777" w:rsidR="00E6322D" w:rsidRPr="00F44EDC" w:rsidRDefault="00E6322D" w:rsidP="00CF1AD6"/>
    <w:p w14:paraId="44CD1CC8" w14:textId="5A53402A" w:rsidR="00CF1AD6" w:rsidRPr="00F44EDC" w:rsidRDefault="00E6322D" w:rsidP="00CF1AD6">
      <w:r w:rsidRPr="00F44EDC">
        <w:t>V</w:t>
      </w:r>
      <w:r w:rsidR="00073E40">
        <w:t>ictor</w:t>
      </w:r>
      <w:r w:rsidRPr="00F44EDC">
        <w:t xml:space="preserve"> B</w:t>
      </w:r>
      <w:r w:rsidR="00073E40">
        <w:t>rock</w:t>
      </w:r>
    </w:p>
    <w:p w14:paraId="7A96B582" w14:textId="0DA39A9A" w:rsidR="00EC2AE8" w:rsidRDefault="00EC2AE8" w:rsidP="00CF1AD6">
      <w:r>
        <w:t>Legislative Committee</w:t>
      </w:r>
    </w:p>
    <w:p w14:paraId="0BD5F9DA" w14:textId="3D1F734A" w:rsidR="00CF1AD6" w:rsidRDefault="00CF1AD6" w:rsidP="00CF1AD6">
      <w:r w:rsidRPr="00F44EDC">
        <w:t>Mortgage Bankers Association of Hawaii</w:t>
      </w:r>
    </w:p>
    <w:p w14:paraId="349ECD34" w14:textId="728267A4" w:rsidR="004E4B71" w:rsidRDefault="004E4B71" w:rsidP="00CF1AD6">
      <w:r>
        <w:t>Phone:  808-447-3478</w:t>
      </w:r>
    </w:p>
    <w:p w14:paraId="4FF94A5C" w14:textId="30FC0CDA" w:rsidR="004E4B71" w:rsidRDefault="004E4B71" w:rsidP="00CF1AD6">
      <w:r>
        <w:t xml:space="preserve">Email:  </w:t>
      </w:r>
      <w:hyperlink r:id="rId10" w:history="1">
        <w:r w:rsidR="003104C6" w:rsidRPr="00A16895">
          <w:rPr>
            <w:rStyle w:val="Hyperlink"/>
          </w:rPr>
          <w:t>victorb@hsfcu.com</w:t>
        </w:r>
      </w:hyperlink>
    </w:p>
    <w:p w14:paraId="341ED0B4" w14:textId="5085D366" w:rsidR="003104C6" w:rsidRDefault="003104C6" w:rsidP="00CF1AD6"/>
    <w:p w14:paraId="390BBF7B" w14:textId="12BD99D8" w:rsidR="003104C6" w:rsidRDefault="003104C6" w:rsidP="00CF1AD6"/>
    <w:p w14:paraId="0EC3A3E0" w14:textId="027288E4" w:rsidR="003104C6" w:rsidRDefault="003104C6" w:rsidP="00CF1AD6"/>
    <w:p w14:paraId="7EFA555C" w14:textId="64A9B604" w:rsidR="003104C6" w:rsidRDefault="003104C6" w:rsidP="00CF1AD6"/>
    <w:p w14:paraId="5DB89124" w14:textId="0CA4FC2E" w:rsidR="003104C6" w:rsidRDefault="003104C6" w:rsidP="00CF1AD6"/>
    <w:p w14:paraId="306B2BFB" w14:textId="1A8309A9" w:rsidR="003104C6" w:rsidRDefault="003104C6" w:rsidP="00CF1AD6"/>
    <w:p w14:paraId="30166B31" w14:textId="671B05A0" w:rsidR="003104C6" w:rsidRDefault="003104C6" w:rsidP="00CF1AD6"/>
    <w:p w14:paraId="2F3D1D75" w14:textId="77777777" w:rsidR="006F0AF5" w:rsidRDefault="006F0AF5" w:rsidP="00CF1AD6"/>
    <w:p w14:paraId="714FF1ED" w14:textId="2301064A" w:rsidR="003104C6" w:rsidRDefault="003104C6" w:rsidP="00CF1AD6"/>
    <w:p w14:paraId="577E6BDE" w14:textId="6BA58FD9" w:rsidR="005A107C" w:rsidRDefault="003104C6" w:rsidP="005A107C">
      <w:pPr>
        <w:pStyle w:val="FootnoteText"/>
      </w:pPr>
      <w:r>
        <w:rPr>
          <w:rStyle w:val="FootnoteReference"/>
        </w:rPr>
        <w:footnoteRef/>
      </w:r>
      <w:r w:rsidR="005A107C">
        <w:t xml:space="preserve">Calculation of 2023 Conforming Loan Limit Values under HERA Addendum </w:t>
      </w:r>
      <w:hyperlink r:id="rId11" w:history="1">
        <w:r w:rsidR="005A107C" w:rsidRPr="00A16895">
          <w:rPr>
            <w:rStyle w:val="Hyperlink"/>
          </w:rPr>
          <w:t>https://www.fhfa.gov/DataTools/Downloads/Documents/Conforming-Loan-Limit/FHFA-CLL-Addendum-CY2023.pdf</w:t>
        </w:r>
      </w:hyperlink>
    </w:p>
    <w:p w14:paraId="6B977FBE" w14:textId="37F2091F" w:rsidR="005A107C" w:rsidRDefault="005A107C" w:rsidP="005A107C">
      <w:pPr>
        <w:pStyle w:val="FootnoteText"/>
      </w:pPr>
      <w:r>
        <w:rPr>
          <w:vertAlign w:val="superscript"/>
        </w:rPr>
        <w:t>2</w:t>
      </w:r>
      <w:r>
        <w:t>National Association of Realtors 3</w:t>
      </w:r>
      <w:r w:rsidRPr="008F739A">
        <w:rPr>
          <w:vertAlign w:val="superscript"/>
        </w:rPr>
        <w:t>rd</w:t>
      </w:r>
      <w:r>
        <w:t xml:space="preserve"> Quarter 2022 </w:t>
      </w:r>
      <w:hyperlink r:id="rId12" w:history="1">
        <w:r w:rsidRPr="00A16895">
          <w:rPr>
            <w:rStyle w:val="Hyperlink"/>
          </w:rPr>
          <w:t>https://www.nar.realtor/research-and-statistics/housing-statistics/county-median-home-prices-and-monthly-mortgage-payment</w:t>
        </w:r>
      </w:hyperlink>
    </w:p>
    <w:p w14:paraId="32752D68" w14:textId="6AB4DAF0" w:rsidR="003104C6" w:rsidRDefault="005A107C" w:rsidP="003104C6">
      <w:pPr>
        <w:pStyle w:val="FootnoteText"/>
      </w:pPr>
      <w:r w:rsidRPr="005A107C">
        <w:rPr>
          <w:vertAlign w:val="superscript"/>
        </w:rPr>
        <w:t>3</w:t>
      </w:r>
      <w:r w:rsidR="003104C6">
        <w:t>Source</w:t>
      </w:r>
      <w:r>
        <w:t>:</w:t>
      </w:r>
      <w:r w:rsidR="003104C6">
        <w:t xml:space="preserve"> Honolulu Board of Realtors</w:t>
      </w:r>
    </w:p>
    <w:p w14:paraId="5BF37E0F" w14:textId="27F7DBB8" w:rsidR="003104C6" w:rsidRDefault="005A107C" w:rsidP="003104C6">
      <w:pPr>
        <w:pStyle w:val="FootnoteText"/>
      </w:pPr>
      <w:r>
        <w:rPr>
          <w:vertAlign w:val="superscript"/>
        </w:rPr>
        <w:t>4</w:t>
      </w:r>
      <w:r w:rsidR="003104C6">
        <w:t xml:space="preserve"> </w:t>
      </w:r>
      <w:hyperlink r:id="rId13" w:history="1">
        <w:r w:rsidR="003104C6" w:rsidRPr="00A22ABD">
          <w:rPr>
            <w:rStyle w:val="Hyperlink"/>
          </w:rPr>
          <w:t>https://www.mba.org/docs/default-source/residential-policy-letters/mba-letter-regarding-new-llpa-changes_feb-3-2023.pdf?sfvrsn=b8c9970_1</w:t>
        </w:r>
      </w:hyperlink>
      <w:r w:rsidR="003104C6">
        <w:t xml:space="preserve"> </w:t>
      </w:r>
    </w:p>
    <w:p w14:paraId="2737EDD3" w14:textId="77777777" w:rsidR="003104C6" w:rsidRDefault="003104C6" w:rsidP="003104C6">
      <w:pPr>
        <w:pStyle w:val="FootnoteText"/>
      </w:pPr>
    </w:p>
    <w:p w14:paraId="795AFBA7" w14:textId="77777777" w:rsidR="003104C6" w:rsidRPr="00F44EDC" w:rsidRDefault="003104C6" w:rsidP="00CF1AD6"/>
    <w:sectPr w:rsidR="003104C6" w:rsidRPr="00F44EDC">
      <w:footerReference w:type="default" r:id="rId14"/>
      <w:pgSz w:w="12240" w:h="15840" w:code="1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FC0F" w14:textId="77777777" w:rsidR="00135E62" w:rsidRDefault="00135E62">
      <w:r>
        <w:separator/>
      </w:r>
    </w:p>
  </w:endnote>
  <w:endnote w:type="continuationSeparator" w:id="0">
    <w:p w14:paraId="07652015" w14:textId="77777777" w:rsidR="00135E62" w:rsidRDefault="001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3636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B0D5D9" w14:textId="42B516FA" w:rsidR="00C9430A" w:rsidRDefault="00C943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943D1C" w14:textId="77777777" w:rsidR="00C9430A" w:rsidRDefault="00C9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C430" w14:textId="77777777" w:rsidR="00135E62" w:rsidRDefault="00135E62">
      <w:r>
        <w:separator/>
      </w:r>
    </w:p>
  </w:footnote>
  <w:footnote w:type="continuationSeparator" w:id="0">
    <w:p w14:paraId="11CB63CB" w14:textId="77777777" w:rsidR="00135E62" w:rsidRDefault="0013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519"/>
    <w:multiLevelType w:val="hybridMultilevel"/>
    <w:tmpl w:val="71682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54A92"/>
    <w:multiLevelType w:val="hybridMultilevel"/>
    <w:tmpl w:val="FCF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5582"/>
    <w:multiLevelType w:val="hybridMultilevel"/>
    <w:tmpl w:val="84D8F5B2"/>
    <w:lvl w:ilvl="0" w:tplc="AE64A6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00688"/>
    <w:multiLevelType w:val="hybridMultilevel"/>
    <w:tmpl w:val="6B96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71684">
    <w:abstractNumId w:val="0"/>
  </w:num>
  <w:num w:numId="2" w16cid:durableId="1325011199">
    <w:abstractNumId w:val="2"/>
  </w:num>
  <w:num w:numId="3" w16cid:durableId="506403263">
    <w:abstractNumId w:val="1"/>
  </w:num>
  <w:num w:numId="4" w16cid:durableId="73007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03"/>
    <w:rsid w:val="000337FA"/>
    <w:rsid w:val="00045547"/>
    <w:rsid w:val="00063247"/>
    <w:rsid w:val="00073BFA"/>
    <w:rsid w:val="00073E40"/>
    <w:rsid w:val="000B67DA"/>
    <w:rsid w:val="000C1C9C"/>
    <w:rsid w:val="000E1CD2"/>
    <w:rsid w:val="000F1CFA"/>
    <w:rsid w:val="001113DE"/>
    <w:rsid w:val="00135AD6"/>
    <w:rsid w:val="00135E62"/>
    <w:rsid w:val="0013750C"/>
    <w:rsid w:val="00144703"/>
    <w:rsid w:val="00147300"/>
    <w:rsid w:val="0017055B"/>
    <w:rsid w:val="0017161D"/>
    <w:rsid w:val="00182401"/>
    <w:rsid w:val="00194687"/>
    <w:rsid w:val="001A02BE"/>
    <w:rsid w:val="001A16F4"/>
    <w:rsid w:val="001A4F7B"/>
    <w:rsid w:val="001A501E"/>
    <w:rsid w:val="001B018D"/>
    <w:rsid w:val="001B47CE"/>
    <w:rsid w:val="001C12DB"/>
    <w:rsid w:val="001C2226"/>
    <w:rsid w:val="001C763A"/>
    <w:rsid w:val="001D2268"/>
    <w:rsid w:val="001E038C"/>
    <w:rsid w:val="001E25A7"/>
    <w:rsid w:val="00217070"/>
    <w:rsid w:val="0022379E"/>
    <w:rsid w:val="00237341"/>
    <w:rsid w:val="00246795"/>
    <w:rsid w:val="00250DEE"/>
    <w:rsid w:val="002554C9"/>
    <w:rsid w:val="00262ABD"/>
    <w:rsid w:val="002925D5"/>
    <w:rsid w:val="002A01D2"/>
    <w:rsid w:val="002A1EFB"/>
    <w:rsid w:val="002D08F3"/>
    <w:rsid w:val="002F1A0C"/>
    <w:rsid w:val="002F201C"/>
    <w:rsid w:val="002F585F"/>
    <w:rsid w:val="0030275C"/>
    <w:rsid w:val="003104C6"/>
    <w:rsid w:val="0031248B"/>
    <w:rsid w:val="00317CBA"/>
    <w:rsid w:val="00323125"/>
    <w:rsid w:val="0033173D"/>
    <w:rsid w:val="00337112"/>
    <w:rsid w:val="0035184E"/>
    <w:rsid w:val="00361012"/>
    <w:rsid w:val="003852FD"/>
    <w:rsid w:val="00387AC2"/>
    <w:rsid w:val="00392F09"/>
    <w:rsid w:val="003B07E3"/>
    <w:rsid w:val="003D13E6"/>
    <w:rsid w:val="00400AA9"/>
    <w:rsid w:val="00433065"/>
    <w:rsid w:val="00445765"/>
    <w:rsid w:val="00460F42"/>
    <w:rsid w:val="00462EC3"/>
    <w:rsid w:val="00467660"/>
    <w:rsid w:val="00475C90"/>
    <w:rsid w:val="00483811"/>
    <w:rsid w:val="004848FB"/>
    <w:rsid w:val="004E4B71"/>
    <w:rsid w:val="005171C4"/>
    <w:rsid w:val="00532C26"/>
    <w:rsid w:val="005357AF"/>
    <w:rsid w:val="00536167"/>
    <w:rsid w:val="005365BA"/>
    <w:rsid w:val="0054039C"/>
    <w:rsid w:val="005759DA"/>
    <w:rsid w:val="00584A0C"/>
    <w:rsid w:val="00595BD6"/>
    <w:rsid w:val="005A107C"/>
    <w:rsid w:val="005B0751"/>
    <w:rsid w:val="005B1149"/>
    <w:rsid w:val="005B3CE0"/>
    <w:rsid w:val="005B7175"/>
    <w:rsid w:val="005C0D95"/>
    <w:rsid w:val="005C1B27"/>
    <w:rsid w:val="005C7D31"/>
    <w:rsid w:val="005C7D45"/>
    <w:rsid w:val="005D4BB0"/>
    <w:rsid w:val="005E3181"/>
    <w:rsid w:val="005F5143"/>
    <w:rsid w:val="00604DC8"/>
    <w:rsid w:val="006114E7"/>
    <w:rsid w:val="006218C3"/>
    <w:rsid w:val="00642D71"/>
    <w:rsid w:val="0064755E"/>
    <w:rsid w:val="0066223B"/>
    <w:rsid w:val="006653CE"/>
    <w:rsid w:val="006759B2"/>
    <w:rsid w:val="006763EB"/>
    <w:rsid w:val="00681808"/>
    <w:rsid w:val="006A28DE"/>
    <w:rsid w:val="006C5460"/>
    <w:rsid w:val="006D6C3E"/>
    <w:rsid w:val="006E1A70"/>
    <w:rsid w:val="006F0AF5"/>
    <w:rsid w:val="006F2310"/>
    <w:rsid w:val="00701CE5"/>
    <w:rsid w:val="00707EE9"/>
    <w:rsid w:val="00711973"/>
    <w:rsid w:val="00714715"/>
    <w:rsid w:val="00720D65"/>
    <w:rsid w:val="0072696A"/>
    <w:rsid w:val="00755E93"/>
    <w:rsid w:val="0075641A"/>
    <w:rsid w:val="00767C54"/>
    <w:rsid w:val="00771AD7"/>
    <w:rsid w:val="007726B5"/>
    <w:rsid w:val="0077504F"/>
    <w:rsid w:val="007760CE"/>
    <w:rsid w:val="00784B98"/>
    <w:rsid w:val="0078661F"/>
    <w:rsid w:val="007A56F1"/>
    <w:rsid w:val="007A7391"/>
    <w:rsid w:val="007B7200"/>
    <w:rsid w:val="007C4E16"/>
    <w:rsid w:val="007D05D2"/>
    <w:rsid w:val="007D3500"/>
    <w:rsid w:val="007D4C54"/>
    <w:rsid w:val="007D6B58"/>
    <w:rsid w:val="007F2F54"/>
    <w:rsid w:val="00810869"/>
    <w:rsid w:val="0082054F"/>
    <w:rsid w:val="00824BF5"/>
    <w:rsid w:val="008276B7"/>
    <w:rsid w:val="008312D4"/>
    <w:rsid w:val="00852322"/>
    <w:rsid w:val="0086029C"/>
    <w:rsid w:val="00862A32"/>
    <w:rsid w:val="00893235"/>
    <w:rsid w:val="008A06D9"/>
    <w:rsid w:val="008A0B4F"/>
    <w:rsid w:val="008A6BC9"/>
    <w:rsid w:val="008B1BE1"/>
    <w:rsid w:val="008B658C"/>
    <w:rsid w:val="008C4FA4"/>
    <w:rsid w:val="008E7735"/>
    <w:rsid w:val="008F13C1"/>
    <w:rsid w:val="008F739A"/>
    <w:rsid w:val="00907EAE"/>
    <w:rsid w:val="0091051F"/>
    <w:rsid w:val="00920BD3"/>
    <w:rsid w:val="00923943"/>
    <w:rsid w:val="00944222"/>
    <w:rsid w:val="00944CCE"/>
    <w:rsid w:val="00953BCE"/>
    <w:rsid w:val="009609EB"/>
    <w:rsid w:val="009627CE"/>
    <w:rsid w:val="00972C28"/>
    <w:rsid w:val="00984004"/>
    <w:rsid w:val="00984289"/>
    <w:rsid w:val="00990F87"/>
    <w:rsid w:val="009B11CD"/>
    <w:rsid w:val="009B5F25"/>
    <w:rsid w:val="009C2FF7"/>
    <w:rsid w:val="009C70D8"/>
    <w:rsid w:val="009D4D6E"/>
    <w:rsid w:val="009E1D98"/>
    <w:rsid w:val="009E1FB3"/>
    <w:rsid w:val="009E4D42"/>
    <w:rsid w:val="009E6233"/>
    <w:rsid w:val="00A10838"/>
    <w:rsid w:val="00A45C9F"/>
    <w:rsid w:val="00A474CC"/>
    <w:rsid w:val="00A5084F"/>
    <w:rsid w:val="00A64C7E"/>
    <w:rsid w:val="00A65138"/>
    <w:rsid w:val="00A80B63"/>
    <w:rsid w:val="00A97D5C"/>
    <w:rsid w:val="00AA098A"/>
    <w:rsid w:val="00AB1C39"/>
    <w:rsid w:val="00AC1A8D"/>
    <w:rsid w:val="00AC39DF"/>
    <w:rsid w:val="00AC7B75"/>
    <w:rsid w:val="00AD16E9"/>
    <w:rsid w:val="00AD1A4C"/>
    <w:rsid w:val="00AE4609"/>
    <w:rsid w:val="00AE7DB7"/>
    <w:rsid w:val="00B06D37"/>
    <w:rsid w:val="00B0774D"/>
    <w:rsid w:val="00B21261"/>
    <w:rsid w:val="00B22081"/>
    <w:rsid w:val="00B22E40"/>
    <w:rsid w:val="00B33D2D"/>
    <w:rsid w:val="00B36086"/>
    <w:rsid w:val="00B44630"/>
    <w:rsid w:val="00B570E8"/>
    <w:rsid w:val="00B6700A"/>
    <w:rsid w:val="00B716A0"/>
    <w:rsid w:val="00B73AAA"/>
    <w:rsid w:val="00B745AE"/>
    <w:rsid w:val="00B74F06"/>
    <w:rsid w:val="00B84D19"/>
    <w:rsid w:val="00B9789B"/>
    <w:rsid w:val="00BA44B1"/>
    <w:rsid w:val="00BA76ED"/>
    <w:rsid w:val="00BB0750"/>
    <w:rsid w:val="00BB7C23"/>
    <w:rsid w:val="00BC095D"/>
    <w:rsid w:val="00BC2AA7"/>
    <w:rsid w:val="00BC7E1F"/>
    <w:rsid w:val="00BD019E"/>
    <w:rsid w:val="00BD75F0"/>
    <w:rsid w:val="00BD7CD0"/>
    <w:rsid w:val="00BE6EC0"/>
    <w:rsid w:val="00BE7198"/>
    <w:rsid w:val="00C04FAA"/>
    <w:rsid w:val="00C0734E"/>
    <w:rsid w:val="00C52FE6"/>
    <w:rsid w:val="00C70F45"/>
    <w:rsid w:val="00C73B50"/>
    <w:rsid w:val="00C855D3"/>
    <w:rsid w:val="00C85D7B"/>
    <w:rsid w:val="00C9430A"/>
    <w:rsid w:val="00C94889"/>
    <w:rsid w:val="00C97870"/>
    <w:rsid w:val="00CA0552"/>
    <w:rsid w:val="00CA0A4E"/>
    <w:rsid w:val="00CC1CED"/>
    <w:rsid w:val="00CC523F"/>
    <w:rsid w:val="00CE27D6"/>
    <w:rsid w:val="00CE6198"/>
    <w:rsid w:val="00CE6C11"/>
    <w:rsid w:val="00CF1AD6"/>
    <w:rsid w:val="00D03D26"/>
    <w:rsid w:val="00D1776A"/>
    <w:rsid w:val="00D26714"/>
    <w:rsid w:val="00D50203"/>
    <w:rsid w:val="00D63A37"/>
    <w:rsid w:val="00D80E89"/>
    <w:rsid w:val="00DD10A7"/>
    <w:rsid w:val="00DD5E4E"/>
    <w:rsid w:val="00E10A03"/>
    <w:rsid w:val="00E1241B"/>
    <w:rsid w:val="00E23413"/>
    <w:rsid w:val="00E403F4"/>
    <w:rsid w:val="00E450DD"/>
    <w:rsid w:val="00E50DB6"/>
    <w:rsid w:val="00E61228"/>
    <w:rsid w:val="00E6322D"/>
    <w:rsid w:val="00E660F3"/>
    <w:rsid w:val="00E8467C"/>
    <w:rsid w:val="00EB14F6"/>
    <w:rsid w:val="00EC2AE8"/>
    <w:rsid w:val="00F11838"/>
    <w:rsid w:val="00F15EF7"/>
    <w:rsid w:val="00F24471"/>
    <w:rsid w:val="00F25334"/>
    <w:rsid w:val="00F25C9D"/>
    <w:rsid w:val="00F44EDC"/>
    <w:rsid w:val="00F5056C"/>
    <w:rsid w:val="00F54FDF"/>
    <w:rsid w:val="00F63692"/>
    <w:rsid w:val="00F63832"/>
    <w:rsid w:val="00F9294C"/>
    <w:rsid w:val="00F943E1"/>
    <w:rsid w:val="00FA14D8"/>
    <w:rsid w:val="00FA5505"/>
    <w:rsid w:val="00FB1581"/>
    <w:rsid w:val="00FB1A61"/>
    <w:rsid w:val="00FB2A38"/>
    <w:rsid w:val="00FB396E"/>
    <w:rsid w:val="00FB5180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816ED02"/>
  <w15:docId w15:val="{F64001FE-888F-4557-9B78-DE1ECCF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9360"/>
      </w:tabs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Indent2">
    <w:name w:val="Body Text Indent 2"/>
    <w:basedOn w:val="Normal"/>
    <w:pPr>
      <w:spacing w:before="240"/>
      <w:ind w:firstLine="720"/>
    </w:pPr>
  </w:style>
  <w:style w:type="paragraph" w:styleId="BodyTextIndent3">
    <w:name w:val="Body Text Indent 3"/>
    <w:basedOn w:val="Normal"/>
    <w:pPr>
      <w:ind w:left="720"/>
    </w:pPr>
    <w:rPr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632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45547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paragraph" w:styleId="NoSpacing">
    <w:name w:val="No Spacing"/>
    <w:uiPriority w:val="1"/>
    <w:qFormat/>
    <w:rsid w:val="00AC39D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B4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7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C7B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7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7B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7B75"/>
    <w:rPr>
      <w:b/>
      <w:bCs/>
    </w:rPr>
  </w:style>
  <w:style w:type="character" w:styleId="Hyperlink">
    <w:name w:val="Hyperlink"/>
    <w:uiPriority w:val="99"/>
    <w:rsid w:val="00F44EDC"/>
    <w:rPr>
      <w:color w:val="0000FF"/>
      <w:u w:val="single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F44EDC"/>
    <w:rPr>
      <w:rFonts w:asciiTheme="minorHAnsi" w:eastAsiaTheme="minorHAnsi" w:hAnsiTheme="minorHAnsi" w:cstheme="minorBidi"/>
      <w:sz w:val="20"/>
      <w:szCs w:val="20"/>
      <w14:ligatures w14:val="standardContextual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F44EDC"/>
    <w:rPr>
      <w:rFonts w:asciiTheme="minorHAnsi" w:eastAsiaTheme="minorHAnsi" w:hAnsiTheme="minorHAnsi" w:cstheme="minorBidi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F44EDC"/>
    <w:rPr>
      <w:vertAlign w:val="superscript"/>
    </w:rPr>
  </w:style>
  <w:style w:type="character" w:styleId="Strong">
    <w:name w:val="Strong"/>
    <w:basedOn w:val="DefaultParagraphFont"/>
    <w:uiPriority w:val="22"/>
    <w:qFormat/>
    <w:rsid w:val="00F44EDC"/>
    <w:rPr>
      <w:b/>
      <w:bCs/>
    </w:rPr>
  </w:style>
  <w:style w:type="table" w:styleId="TableGrid">
    <w:name w:val="Table Grid"/>
    <w:basedOn w:val="TableNormal"/>
    <w:rsid w:val="00F4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C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9430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9430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ba.org/docs/default-source/residential-policy-letters/mba-letter-regarding-new-llpa-changes_feb-3-2023.pdf?sfvrsn=b8c9970_1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r.realtor/research-and-statistics/housing-statistics/county-median-home-prices-and-monthly-mortgage-paymen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hfa.gov/DataTools/Downloads/Documents/Conforming-Loan-Limit/FHFA-CLL-Addendum-CY202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ctorb@hsfcu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cid:image001.png@01CF647E.9F4834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AE64F-0B0B-4E2B-9F11-12B428247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50E1C-0C45-4B2B-AA6B-2537FAAD623D}"/>
</file>

<file path=customXml/itemProps3.xml><?xml version="1.0" encoding="utf-8"?>
<ds:datastoreItem xmlns:ds="http://schemas.openxmlformats.org/officeDocument/2006/customXml" ds:itemID="{556D49F5-C732-4140-9781-4E76ECA861A3}"/>
</file>

<file path=customXml/itemProps4.xml><?xml version="1.0" encoding="utf-8"?>
<ds:datastoreItem xmlns:ds="http://schemas.openxmlformats.org/officeDocument/2006/customXml" ds:itemID="{E93BFF06-0BE2-497F-B7CA-A2D5F5FD9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is some question as  to how government agencies will be able to "prove"</vt:lpstr>
    </vt:vector>
  </TitlesOfParts>
  <Company>IKF</Company>
  <LinksUpToDate>false</LinksUpToDate>
  <CharactersWithSpaces>4386</CharactersWithSpaces>
  <SharedDoc>false</SharedDoc>
  <HLinks>
    <vt:vector size="6" baseType="variant">
      <vt:variant>
        <vt:i4>6881370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cid:image001.png@01CF647E.9F483480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is some question as  to how government agencies will be able to "prove"</dc:title>
  <dc:creator>rbt</dc:creator>
  <cp:lastModifiedBy>Victor T. Brock</cp:lastModifiedBy>
  <cp:revision>7</cp:revision>
  <cp:lastPrinted>2023-03-06T19:15:00Z</cp:lastPrinted>
  <dcterms:created xsi:type="dcterms:W3CDTF">2023-08-11T20:34:00Z</dcterms:created>
  <dcterms:modified xsi:type="dcterms:W3CDTF">2023-08-15T12:20:00Z</dcterms:modified>
</cp:coreProperties>
</file>