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3FE0" w14:textId="77777777" w:rsidR="004748BC" w:rsidRPr="004748BC" w:rsidRDefault="004748BC" w:rsidP="004748BC">
      <w:pPr>
        <w:widowControl w:val="0"/>
        <w:autoSpaceDE w:val="0"/>
        <w:autoSpaceDN w:val="0"/>
        <w:spacing w:after="0" w:line="240" w:lineRule="auto"/>
        <w:rPr>
          <w:rFonts w:ascii="Garamond" w:eastAsia="Garamond" w:hAnsi="Garamond" w:cs="Garamond"/>
          <w:sz w:val="23"/>
          <w:szCs w:val="23"/>
          <w:lang w:bidi="en-US"/>
        </w:rPr>
      </w:pPr>
    </w:p>
    <w:p w14:paraId="21E550C4" w14:textId="77777777" w:rsidR="004748BC" w:rsidRPr="004748BC" w:rsidRDefault="004748BC" w:rsidP="004748BC">
      <w:pPr>
        <w:widowControl w:val="0"/>
        <w:autoSpaceDE w:val="0"/>
        <w:autoSpaceDN w:val="0"/>
        <w:spacing w:after="0" w:line="240" w:lineRule="auto"/>
        <w:rPr>
          <w:rFonts w:ascii="Garamond" w:eastAsia="Garamond" w:hAnsi="Garamond" w:cs="Garamond"/>
          <w:sz w:val="23"/>
          <w:szCs w:val="23"/>
          <w:lang w:bidi="en-US"/>
        </w:rPr>
      </w:pPr>
    </w:p>
    <w:p w14:paraId="75582141" w14:textId="77777777" w:rsidR="004748BC" w:rsidRPr="004748BC" w:rsidRDefault="004748BC" w:rsidP="004748BC">
      <w:pPr>
        <w:widowControl w:val="0"/>
        <w:autoSpaceDE w:val="0"/>
        <w:autoSpaceDN w:val="0"/>
        <w:spacing w:after="0" w:line="240" w:lineRule="auto"/>
        <w:jc w:val="center"/>
        <w:rPr>
          <w:rFonts w:ascii="Garamond" w:eastAsia="Garamond" w:hAnsi="Garamond" w:cs="Garamond"/>
          <w:lang w:bidi="en-US"/>
        </w:rPr>
      </w:pPr>
    </w:p>
    <w:p w14:paraId="5100A157" w14:textId="15520E9A" w:rsidR="004748BC" w:rsidRPr="008710E7" w:rsidRDefault="00B77E6D" w:rsidP="004748BC">
      <w:pPr>
        <w:widowControl w:val="0"/>
        <w:autoSpaceDE w:val="0"/>
        <w:autoSpaceDN w:val="0"/>
        <w:spacing w:after="0" w:line="240" w:lineRule="auto"/>
        <w:jc w:val="center"/>
        <w:rPr>
          <w:rFonts w:ascii="Garamond" w:eastAsia="Garamond" w:hAnsi="Garamond" w:cs="Garamond"/>
          <w:lang w:bidi="en-US"/>
        </w:rPr>
      </w:pPr>
      <w:r>
        <w:rPr>
          <w:rFonts w:ascii="Garamond" w:eastAsia="Garamond" w:hAnsi="Garamond" w:cs="Garamond"/>
          <w:lang w:bidi="en-US"/>
        </w:rPr>
        <w:t>July 31, 2023</w:t>
      </w:r>
    </w:p>
    <w:p w14:paraId="751C5849" w14:textId="77777777" w:rsidR="00B77E6D" w:rsidRDefault="00B77E6D" w:rsidP="00B77E6D">
      <w:pPr>
        <w:widowControl w:val="0"/>
        <w:autoSpaceDE w:val="0"/>
        <w:autoSpaceDN w:val="0"/>
        <w:spacing w:after="0" w:line="240" w:lineRule="auto"/>
        <w:jc w:val="both"/>
        <w:rPr>
          <w:rFonts w:ascii="Garamond" w:eastAsia="Garamond" w:hAnsi="Garamond" w:cs="Garamond"/>
          <w:lang w:bidi="en-US"/>
        </w:rPr>
      </w:pPr>
    </w:p>
    <w:p w14:paraId="548F4C49" w14:textId="77777777" w:rsidR="00B77E6D" w:rsidRDefault="00B77E6D" w:rsidP="00B77E6D">
      <w:pPr>
        <w:widowControl w:val="0"/>
        <w:autoSpaceDE w:val="0"/>
        <w:autoSpaceDN w:val="0"/>
        <w:spacing w:after="0" w:line="240" w:lineRule="auto"/>
        <w:jc w:val="both"/>
        <w:rPr>
          <w:rFonts w:ascii="Garamond" w:eastAsia="Garamond" w:hAnsi="Garamond" w:cs="Garamond"/>
          <w:lang w:bidi="en-US"/>
        </w:rPr>
      </w:pPr>
    </w:p>
    <w:p w14:paraId="56A35878" w14:textId="63A9688A" w:rsidR="00B77E6D" w:rsidRPr="00B77E6D" w:rsidRDefault="00B77E6D" w:rsidP="00DB7305">
      <w:pPr>
        <w:widowControl w:val="0"/>
        <w:autoSpaceDE w:val="0"/>
        <w:autoSpaceDN w:val="0"/>
        <w:spacing w:after="0" w:line="240" w:lineRule="auto"/>
        <w:jc w:val="both"/>
        <w:rPr>
          <w:rFonts w:ascii="Garamond" w:eastAsia="Garamond" w:hAnsi="Garamond" w:cs="Garamond"/>
          <w:lang w:bidi="en-US"/>
        </w:rPr>
      </w:pPr>
      <w:r w:rsidRPr="00B77E6D">
        <w:rPr>
          <w:rFonts w:ascii="Garamond" w:eastAsia="Garamond" w:hAnsi="Garamond" w:cs="Garamond"/>
          <w:lang w:bidi="en-US"/>
        </w:rPr>
        <w:t>Federal Housing Finance Agency</w:t>
      </w:r>
    </w:p>
    <w:p w14:paraId="5385CBC9" w14:textId="77777777" w:rsidR="00B77E6D" w:rsidRPr="00B77E6D" w:rsidRDefault="00B77E6D" w:rsidP="00DB7305">
      <w:pPr>
        <w:widowControl w:val="0"/>
        <w:autoSpaceDE w:val="0"/>
        <w:autoSpaceDN w:val="0"/>
        <w:spacing w:after="0" w:line="240" w:lineRule="auto"/>
        <w:jc w:val="both"/>
        <w:rPr>
          <w:rFonts w:ascii="Garamond" w:eastAsia="Garamond" w:hAnsi="Garamond" w:cs="Garamond"/>
          <w:lang w:bidi="en-US"/>
        </w:rPr>
      </w:pPr>
      <w:r w:rsidRPr="00B77E6D">
        <w:rPr>
          <w:rFonts w:ascii="Garamond" w:eastAsia="Garamond" w:hAnsi="Garamond" w:cs="Garamond"/>
          <w:lang w:bidi="en-US"/>
        </w:rPr>
        <w:t>Office of Multifamily Analytics and Policy</w:t>
      </w:r>
    </w:p>
    <w:p w14:paraId="4EE7AFD7" w14:textId="77777777" w:rsidR="00B77E6D" w:rsidRPr="00B77E6D" w:rsidRDefault="00B77E6D" w:rsidP="00DB7305">
      <w:pPr>
        <w:widowControl w:val="0"/>
        <w:autoSpaceDE w:val="0"/>
        <w:autoSpaceDN w:val="0"/>
        <w:spacing w:after="0" w:line="240" w:lineRule="auto"/>
        <w:jc w:val="both"/>
        <w:rPr>
          <w:rFonts w:ascii="Garamond" w:eastAsia="Garamond" w:hAnsi="Garamond" w:cs="Garamond"/>
          <w:lang w:bidi="en-US"/>
        </w:rPr>
      </w:pPr>
      <w:r w:rsidRPr="00B77E6D">
        <w:rPr>
          <w:rFonts w:ascii="Garamond" w:eastAsia="Garamond" w:hAnsi="Garamond" w:cs="Garamond"/>
          <w:lang w:bidi="en-US"/>
        </w:rPr>
        <w:t xml:space="preserve">400 7th Street SW, 9th </w:t>
      </w:r>
      <w:proofErr w:type="gramStart"/>
      <w:r w:rsidRPr="00B77E6D">
        <w:rPr>
          <w:rFonts w:ascii="Garamond" w:eastAsia="Garamond" w:hAnsi="Garamond" w:cs="Garamond"/>
          <w:lang w:bidi="en-US"/>
        </w:rPr>
        <w:t>Floor</w:t>
      </w:r>
      <w:proofErr w:type="gramEnd"/>
    </w:p>
    <w:p w14:paraId="2951B26F" w14:textId="77777777" w:rsidR="00B77E6D" w:rsidRDefault="00B77E6D" w:rsidP="00DB7305">
      <w:pPr>
        <w:widowControl w:val="0"/>
        <w:autoSpaceDE w:val="0"/>
        <w:autoSpaceDN w:val="0"/>
        <w:spacing w:after="0" w:line="240" w:lineRule="auto"/>
        <w:jc w:val="both"/>
        <w:rPr>
          <w:rFonts w:ascii="Garamond" w:eastAsia="Garamond" w:hAnsi="Garamond" w:cs="Garamond"/>
          <w:lang w:bidi="en-US"/>
        </w:rPr>
      </w:pPr>
      <w:r w:rsidRPr="00B77E6D">
        <w:rPr>
          <w:rFonts w:ascii="Garamond" w:eastAsia="Garamond" w:hAnsi="Garamond" w:cs="Garamond"/>
          <w:lang w:bidi="en-US"/>
        </w:rPr>
        <w:t>Washington, D.C. 20219.</w:t>
      </w:r>
    </w:p>
    <w:p w14:paraId="5F289FC8" w14:textId="77777777" w:rsid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37F74F0A" w14:textId="77777777" w:rsidR="00A26350" w:rsidRDefault="00B77E6D" w:rsidP="00E46CD0">
      <w:pPr>
        <w:widowControl w:val="0"/>
        <w:autoSpaceDE w:val="0"/>
        <w:autoSpaceDN w:val="0"/>
        <w:spacing w:after="0" w:line="240" w:lineRule="auto"/>
        <w:ind w:firstLine="720"/>
        <w:jc w:val="both"/>
        <w:rPr>
          <w:rFonts w:ascii="Garamond" w:eastAsia="Garamond" w:hAnsi="Garamond" w:cs="Garamond"/>
          <w:b/>
          <w:bCs/>
          <w:lang w:bidi="en-US"/>
        </w:rPr>
      </w:pPr>
      <w:r w:rsidRPr="00B77E6D">
        <w:rPr>
          <w:rFonts w:ascii="Garamond" w:eastAsia="Garamond" w:hAnsi="Garamond" w:cs="Garamond"/>
          <w:b/>
          <w:bCs/>
          <w:lang w:bidi="en-US"/>
        </w:rPr>
        <w:t>RE:</w:t>
      </w:r>
      <w:r>
        <w:rPr>
          <w:rFonts w:ascii="Garamond" w:eastAsia="Garamond" w:hAnsi="Garamond" w:cs="Garamond"/>
          <w:lang w:bidi="en-US"/>
        </w:rPr>
        <w:t xml:space="preserve"> </w:t>
      </w:r>
      <w:r w:rsidRPr="00B77E6D">
        <w:rPr>
          <w:rFonts w:ascii="Garamond" w:eastAsia="Garamond" w:hAnsi="Garamond" w:cs="Garamond"/>
          <w:b/>
          <w:bCs/>
          <w:lang w:bidi="en-US"/>
        </w:rPr>
        <w:t xml:space="preserve">MHI RFI Comment Letter --- </w:t>
      </w:r>
    </w:p>
    <w:p w14:paraId="15AF2C3D" w14:textId="7CC1F595" w:rsidR="00B77E6D" w:rsidRPr="00B77E6D" w:rsidRDefault="00B77E6D" w:rsidP="00E46CD0">
      <w:pPr>
        <w:widowControl w:val="0"/>
        <w:autoSpaceDE w:val="0"/>
        <w:autoSpaceDN w:val="0"/>
        <w:spacing w:after="0" w:line="240" w:lineRule="auto"/>
        <w:ind w:firstLine="720"/>
        <w:jc w:val="both"/>
        <w:rPr>
          <w:rFonts w:ascii="Garamond" w:eastAsia="Garamond" w:hAnsi="Garamond" w:cs="Garamond"/>
          <w:b/>
          <w:bCs/>
          <w:lang w:bidi="en-US"/>
        </w:rPr>
      </w:pPr>
      <w:r w:rsidRPr="00B77E6D">
        <w:rPr>
          <w:rFonts w:ascii="Garamond" w:eastAsia="Garamond" w:hAnsi="Garamond" w:cs="Garamond"/>
          <w:b/>
          <w:bCs/>
          <w:lang w:bidi="en-US"/>
        </w:rPr>
        <w:t>Tenant Protections for Enterprise Backed Multifamily Properties</w:t>
      </w:r>
    </w:p>
    <w:p w14:paraId="2B97A9FF" w14:textId="7C40E82A"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3E37124F" w14:textId="644AA5D7" w:rsid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r>
        <w:rPr>
          <w:rFonts w:ascii="Garamond" w:eastAsia="Garamond" w:hAnsi="Garamond" w:cs="Garamond"/>
          <w:lang w:bidi="en-US"/>
        </w:rPr>
        <w:t xml:space="preserve">To Whom It May Concern: </w:t>
      </w:r>
    </w:p>
    <w:p w14:paraId="23293111" w14:textId="77777777"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61C62D33" w14:textId="4CB05396"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r w:rsidRPr="00B77E6D">
        <w:rPr>
          <w:rFonts w:ascii="Garamond" w:eastAsia="Garamond" w:hAnsi="Garamond" w:cs="Garamond"/>
          <w:lang w:bidi="en-US"/>
        </w:rPr>
        <w:t xml:space="preserve">The Manufactured Housing Institute (MHI) is pleased to submit these comments in response to the Request for Input (RFI) regarding “Tenant Protections for Enterprise Backed Multi-Family Properties” </w:t>
      </w:r>
      <w:r>
        <w:rPr>
          <w:rFonts w:ascii="Garamond" w:eastAsia="Garamond" w:hAnsi="Garamond" w:cs="Garamond"/>
          <w:lang w:bidi="en-US"/>
        </w:rPr>
        <w:t xml:space="preserve">issued by the Federal Housing Finance Agency (“FHFA”). </w:t>
      </w:r>
    </w:p>
    <w:p w14:paraId="0AC0E8D4" w14:textId="77777777"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25B0C4B0" w14:textId="5C15D300" w:rsid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r w:rsidRPr="00B77E6D">
        <w:rPr>
          <w:rFonts w:ascii="Garamond" w:eastAsia="Garamond" w:hAnsi="Garamond" w:cs="Garamond"/>
          <w:lang w:bidi="en-US"/>
        </w:rPr>
        <w:t>MHI is the only national trade association that represents every segment of the factory-built housing industry.</w:t>
      </w:r>
      <w:r w:rsidR="00407F8B">
        <w:rPr>
          <w:rFonts w:ascii="Garamond" w:eastAsia="Garamond" w:hAnsi="Garamond" w:cs="Garamond"/>
          <w:lang w:bidi="en-US"/>
        </w:rPr>
        <w:t xml:space="preserve"> </w:t>
      </w:r>
      <w:r w:rsidRPr="00B77E6D">
        <w:rPr>
          <w:rFonts w:ascii="Garamond" w:eastAsia="Garamond" w:hAnsi="Garamond" w:cs="Garamond"/>
          <w:lang w:bidi="en-US"/>
        </w:rPr>
        <w:t>Our members include builders, suppliers, retail sellers, lenders, installers, community owners, community managers, and others who serve our industry, as well as 48 affiliated state organizations. In 2022, our industry produced nearly 113,000 homes, accounting for approximately 11 percent of new single-family home starts. These homes are produced by 35 U.S. corporations in 146 homebuilding facilities located across the country. Today, MHI members represent over 85 percent of all manufactured homes produced</w:t>
      </w:r>
      <w:r w:rsidR="00885426">
        <w:rPr>
          <w:rFonts w:ascii="Garamond" w:eastAsia="Garamond" w:hAnsi="Garamond" w:cs="Garamond"/>
          <w:lang w:bidi="en-US"/>
        </w:rPr>
        <w:t>,</w:t>
      </w:r>
      <w:r w:rsidRPr="00B77E6D">
        <w:rPr>
          <w:rFonts w:ascii="Garamond" w:eastAsia="Garamond" w:hAnsi="Garamond" w:cs="Garamond"/>
          <w:lang w:bidi="en-US"/>
        </w:rPr>
        <w:t xml:space="preserve"> and we are pleased to submit the following comments on behalf of this important industry.</w:t>
      </w:r>
    </w:p>
    <w:p w14:paraId="0897A11A" w14:textId="77777777"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09766C35" w14:textId="7532B5C9"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r w:rsidRPr="00B77E6D">
        <w:rPr>
          <w:rFonts w:ascii="Garamond" w:eastAsia="Garamond" w:hAnsi="Garamond" w:cs="Garamond"/>
          <w:lang w:bidi="en-US"/>
        </w:rPr>
        <w:t>There are more than 43,000 land-lease communities in the country with almost 4.3 million homesites. Today, 51 percent of new manufactured homes are placed in land-lease communities. Land-lease communities are critically important to the availability of affordable housing in America. Residents of professionally managed land-lease manufactured housing communities value their community’s extensive offering of amenities and the ongoing investments made by community owners</w:t>
      </w:r>
      <w:r w:rsidR="008B4B64">
        <w:rPr>
          <w:rFonts w:ascii="Garamond" w:eastAsia="Garamond" w:hAnsi="Garamond" w:cs="Garamond"/>
          <w:lang w:bidi="en-US"/>
        </w:rPr>
        <w:t xml:space="preserve"> and </w:t>
      </w:r>
      <w:r w:rsidRPr="00B77E6D">
        <w:rPr>
          <w:rFonts w:ascii="Garamond" w:eastAsia="Garamond" w:hAnsi="Garamond" w:cs="Garamond"/>
          <w:lang w:bidi="en-US"/>
        </w:rPr>
        <w:t>operators. Across land-lease communities today, we find that owners consistently improve and routinely make investments in their communities each year</w:t>
      </w:r>
      <w:r w:rsidR="008B4B64">
        <w:rPr>
          <w:rFonts w:ascii="Garamond" w:eastAsia="Garamond" w:hAnsi="Garamond" w:cs="Garamond"/>
          <w:lang w:bidi="en-US"/>
        </w:rPr>
        <w:t>—</w:t>
      </w:r>
      <w:r w:rsidRPr="00B77E6D">
        <w:rPr>
          <w:rFonts w:ascii="Garamond" w:eastAsia="Garamond" w:hAnsi="Garamond" w:cs="Garamond"/>
          <w:lang w:bidi="en-US"/>
        </w:rPr>
        <w:t xml:space="preserve">enhancing the near-term and long-term value of the community. Further, lease rates are competitive within their markets and increases are in line with or lower than other housing alternatives. </w:t>
      </w:r>
    </w:p>
    <w:p w14:paraId="1F21DFAF" w14:textId="77777777"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718EF96A" w14:textId="12FAC522"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r w:rsidRPr="00B77E6D">
        <w:rPr>
          <w:rFonts w:ascii="Garamond" w:eastAsia="Garamond" w:hAnsi="Garamond" w:cs="Garamond"/>
          <w:lang w:bidi="en-US"/>
        </w:rPr>
        <w:t>Communities offer quality, value, experience</w:t>
      </w:r>
      <w:r w:rsidR="008B4B64">
        <w:rPr>
          <w:rFonts w:ascii="Garamond" w:eastAsia="Garamond" w:hAnsi="Garamond" w:cs="Garamond"/>
          <w:lang w:bidi="en-US"/>
        </w:rPr>
        <w:t>s</w:t>
      </w:r>
      <w:r w:rsidRPr="00B77E6D">
        <w:rPr>
          <w:rFonts w:ascii="Garamond" w:eastAsia="Garamond" w:hAnsi="Garamond" w:cs="Garamond"/>
          <w:lang w:bidi="en-US"/>
        </w:rPr>
        <w:t xml:space="preserve">, and </w:t>
      </w:r>
      <w:r w:rsidR="008B4B64">
        <w:rPr>
          <w:rFonts w:ascii="Garamond" w:eastAsia="Garamond" w:hAnsi="Garamond" w:cs="Garamond"/>
          <w:lang w:bidi="en-US"/>
        </w:rPr>
        <w:t xml:space="preserve">other </w:t>
      </w:r>
      <w:r w:rsidRPr="00B77E6D">
        <w:rPr>
          <w:rFonts w:ascii="Garamond" w:eastAsia="Garamond" w:hAnsi="Garamond" w:cs="Garamond"/>
          <w:lang w:bidi="en-US"/>
        </w:rPr>
        <w:t>housing benefits</w:t>
      </w:r>
      <w:r w:rsidR="008B4B64">
        <w:rPr>
          <w:rFonts w:ascii="Garamond" w:eastAsia="Garamond" w:hAnsi="Garamond" w:cs="Garamond"/>
          <w:lang w:bidi="en-US"/>
        </w:rPr>
        <w:t xml:space="preserve"> that</w:t>
      </w:r>
      <w:r w:rsidRPr="00B77E6D">
        <w:rPr>
          <w:rFonts w:ascii="Garamond" w:eastAsia="Garamond" w:hAnsi="Garamond" w:cs="Garamond"/>
          <w:lang w:bidi="en-US"/>
        </w:rPr>
        <w:t xml:space="preserve"> ha</w:t>
      </w:r>
      <w:r w:rsidR="008B4B64">
        <w:rPr>
          <w:rFonts w:ascii="Garamond" w:eastAsia="Garamond" w:hAnsi="Garamond" w:cs="Garamond"/>
          <w:lang w:bidi="en-US"/>
        </w:rPr>
        <w:t>ve</w:t>
      </w:r>
      <w:r w:rsidRPr="00B77E6D">
        <w:rPr>
          <w:rFonts w:ascii="Garamond" w:eastAsia="Garamond" w:hAnsi="Garamond" w:cs="Garamond"/>
          <w:lang w:bidi="en-US"/>
        </w:rPr>
        <w:t xml:space="preserve"> resulted in satisfied residents who choose to remain in these communities long-term. Demand for living in land-lease manufactured housing communities continues to rise because of the financial and lifestyle benefits of owning a manufactured home versus the limitations </w:t>
      </w:r>
      <w:r w:rsidR="008B4B64">
        <w:rPr>
          <w:rFonts w:ascii="Garamond" w:eastAsia="Garamond" w:hAnsi="Garamond" w:cs="Garamond"/>
          <w:lang w:bidi="en-US"/>
        </w:rPr>
        <w:t>of</w:t>
      </w:r>
      <w:r w:rsidRPr="00B77E6D">
        <w:rPr>
          <w:rFonts w:ascii="Garamond" w:eastAsia="Garamond" w:hAnsi="Garamond" w:cs="Garamond"/>
          <w:lang w:bidi="en-US"/>
        </w:rPr>
        <w:t xml:space="preserve"> renting an apartment or buying a condominium or other site-built home. These communities provide an effective way for residents to become homeowners without the substantial barrier to entry posed by the down payment necessary for the purchase of land. </w:t>
      </w:r>
    </w:p>
    <w:p w14:paraId="1503443B" w14:textId="77777777"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395D547D" w14:textId="1889ABA5" w:rsid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r w:rsidRPr="00B77E6D">
        <w:rPr>
          <w:rFonts w:ascii="Garamond" w:eastAsia="Garamond" w:hAnsi="Garamond" w:cs="Garamond"/>
          <w:lang w:bidi="en-US"/>
        </w:rPr>
        <w:t xml:space="preserve">In the aftermath of the pandemic, where families are seeking their own outdoor space and neighborhood amenities, the popularity of land-lease manufactured housing communities is </w:t>
      </w:r>
      <w:r w:rsidR="00E46CD0" w:rsidRPr="00B77E6D">
        <w:rPr>
          <w:rFonts w:ascii="Garamond" w:eastAsia="Garamond" w:hAnsi="Garamond" w:cs="Garamond"/>
          <w:lang w:bidi="en-US"/>
        </w:rPr>
        <w:t>growing,</w:t>
      </w:r>
      <w:r w:rsidRPr="00B77E6D">
        <w:rPr>
          <w:rFonts w:ascii="Garamond" w:eastAsia="Garamond" w:hAnsi="Garamond" w:cs="Garamond"/>
          <w:lang w:bidi="en-US"/>
        </w:rPr>
        <w:t xml:space="preserve"> and occupancy rates are high. </w:t>
      </w:r>
      <w:proofErr w:type="gramStart"/>
      <w:r w:rsidRPr="00B77E6D">
        <w:rPr>
          <w:rFonts w:ascii="Garamond" w:eastAsia="Garamond" w:hAnsi="Garamond" w:cs="Garamond"/>
          <w:lang w:bidi="en-US"/>
        </w:rPr>
        <w:t>The vast majority of</w:t>
      </w:r>
      <w:proofErr w:type="gramEnd"/>
      <w:r w:rsidRPr="00B77E6D">
        <w:rPr>
          <w:rFonts w:ascii="Garamond" w:eastAsia="Garamond" w:hAnsi="Garamond" w:cs="Garamond"/>
          <w:lang w:bidi="en-US"/>
        </w:rPr>
        <w:t xml:space="preserve"> manufactured housing community owners and operators provide quality affordable housing opportunities</w:t>
      </w:r>
      <w:r w:rsidR="00326331">
        <w:rPr>
          <w:rFonts w:ascii="Garamond" w:eastAsia="Garamond" w:hAnsi="Garamond" w:cs="Garamond"/>
          <w:lang w:bidi="en-US"/>
        </w:rPr>
        <w:t xml:space="preserve"> </w:t>
      </w:r>
      <w:r w:rsidR="00E46CD0">
        <w:rPr>
          <w:rFonts w:ascii="Garamond" w:eastAsia="Garamond" w:hAnsi="Garamond" w:cs="Garamond"/>
          <w:lang w:bidi="en-US"/>
        </w:rPr>
        <w:t>a</w:t>
      </w:r>
      <w:r w:rsidR="00326331">
        <w:rPr>
          <w:rFonts w:ascii="Garamond" w:eastAsia="Garamond" w:hAnsi="Garamond" w:cs="Garamond"/>
          <w:lang w:bidi="en-US"/>
        </w:rPr>
        <w:t>long with their</w:t>
      </w:r>
      <w:r w:rsidRPr="00B77E6D">
        <w:rPr>
          <w:rFonts w:ascii="Garamond" w:eastAsia="Garamond" w:hAnsi="Garamond" w:cs="Garamond"/>
          <w:lang w:bidi="en-US"/>
        </w:rPr>
        <w:t xml:space="preserve"> commitment to serv</w:t>
      </w:r>
      <w:r w:rsidR="00326331">
        <w:rPr>
          <w:rFonts w:ascii="Garamond" w:eastAsia="Garamond" w:hAnsi="Garamond" w:cs="Garamond"/>
          <w:lang w:bidi="en-US"/>
        </w:rPr>
        <w:t>e</w:t>
      </w:r>
      <w:r w:rsidRPr="00B77E6D">
        <w:rPr>
          <w:rFonts w:ascii="Garamond" w:eastAsia="Garamond" w:hAnsi="Garamond" w:cs="Garamond"/>
          <w:lang w:bidi="en-US"/>
        </w:rPr>
        <w:t xml:space="preserve"> residents and </w:t>
      </w:r>
      <w:r w:rsidR="00326331">
        <w:rPr>
          <w:rFonts w:ascii="Garamond" w:eastAsia="Garamond" w:hAnsi="Garamond" w:cs="Garamond"/>
          <w:lang w:bidi="en-US"/>
        </w:rPr>
        <w:t>focus</w:t>
      </w:r>
      <w:r w:rsidRPr="00B77E6D">
        <w:rPr>
          <w:rFonts w:ascii="Garamond" w:eastAsia="Garamond" w:hAnsi="Garamond" w:cs="Garamond"/>
          <w:lang w:bidi="en-US"/>
        </w:rPr>
        <w:t xml:space="preserve"> </w:t>
      </w:r>
      <w:r w:rsidR="00326331">
        <w:rPr>
          <w:rFonts w:ascii="Garamond" w:eastAsia="Garamond" w:hAnsi="Garamond" w:cs="Garamond"/>
          <w:lang w:bidi="en-US"/>
        </w:rPr>
        <w:t xml:space="preserve">on </w:t>
      </w:r>
      <w:r w:rsidRPr="00B77E6D">
        <w:rPr>
          <w:rFonts w:ascii="Garamond" w:eastAsia="Garamond" w:hAnsi="Garamond" w:cs="Garamond"/>
          <w:lang w:bidi="en-US"/>
        </w:rPr>
        <w:t>community building. In addition, many have started philanthropy programs to support residents with educational scholarships, home improvement grants, and other community enrichment causes (</w:t>
      </w:r>
      <w:r w:rsidR="00DC1CFD">
        <w:rPr>
          <w:rFonts w:ascii="Garamond" w:eastAsia="Garamond" w:hAnsi="Garamond" w:cs="Garamond"/>
          <w:lang w:bidi="en-US"/>
        </w:rPr>
        <w:t xml:space="preserve">like </w:t>
      </w:r>
      <w:r w:rsidRPr="00B77E6D">
        <w:rPr>
          <w:rFonts w:ascii="Garamond" w:eastAsia="Garamond" w:hAnsi="Garamond" w:cs="Garamond"/>
          <w:lang w:bidi="en-US"/>
        </w:rPr>
        <w:t xml:space="preserve">funding for residents who </w:t>
      </w:r>
      <w:r w:rsidR="00DC1CFD">
        <w:rPr>
          <w:rFonts w:ascii="Garamond" w:eastAsia="Garamond" w:hAnsi="Garamond" w:cs="Garamond"/>
          <w:lang w:bidi="en-US"/>
        </w:rPr>
        <w:t>help</w:t>
      </w:r>
      <w:r w:rsidRPr="00B77E6D">
        <w:rPr>
          <w:rFonts w:ascii="Garamond" w:eastAsia="Garamond" w:hAnsi="Garamond" w:cs="Garamond"/>
          <w:lang w:bidi="en-US"/>
        </w:rPr>
        <w:t xml:space="preserve"> others with transportation, home maintenance, </w:t>
      </w:r>
      <w:r w:rsidR="00DC1CFD">
        <w:rPr>
          <w:rFonts w:ascii="Garamond" w:eastAsia="Garamond" w:hAnsi="Garamond" w:cs="Garamond"/>
          <w:lang w:bidi="en-US"/>
        </w:rPr>
        <w:t>or</w:t>
      </w:r>
      <w:r w:rsidRPr="00B77E6D">
        <w:rPr>
          <w:rFonts w:ascii="Garamond" w:eastAsia="Garamond" w:hAnsi="Garamond" w:cs="Garamond"/>
          <w:lang w:bidi="en-US"/>
        </w:rPr>
        <w:t xml:space="preserve"> grocery deliveries).</w:t>
      </w:r>
    </w:p>
    <w:p w14:paraId="6D4F0E1C" w14:textId="7B5B3D07" w:rsidR="00B77E6D" w:rsidRPr="00B77E6D" w:rsidRDefault="00B77E6D" w:rsidP="002C5134">
      <w:pPr>
        <w:widowControl w:val="0"/>
        <w:autoSpaceDE w:val="0"/>
        <w:autoSpaceDN w:val="0"/>
        <w:spacing w:after="0" w:line="240" w:lineRule="auto"/>
        <w:jc w:val="both"/>
        <w:rPr>
          <w:rFonts w:ascii="Garamond" w:eastAsia="Garamond" w:hAnsi="Garamond" w:cs="Garamond"/>
          <w:lang w:bidi="en-US"/>
        </w:rPr>
      </w:pPr>
    </w:p>
    <w:p w14:paraId="722AC194" w14:textId="36C47ACD" w:rsidR="00476F6E" w:rsidRDefault="00A26350" w:rsidP="00B77E6D">
      <w:pPr>
        <w:widowControl w:val="0"/>
        <w:autoSpaceDE w:val="0"/>
        <w:autoSpaceDN w:val="0"/>
        <w:spacing w:after="0" w:line="240" w:lineRule="auto"/>
        <w:ind w:firstLine="720"/>
        <w:jc w:val="both"/>
        <w:rPr>
          <w:rFonts w:ascii="Garamond" w:eastAsia="Garamond" w:hAnsi="Garamond" w:cs="Garamond"/>
          <w:lang w:bidi="en-US"/>
        </w:rPr>
      </w:pPr>
      <w:r>
        <w:rPr>
          <w:rFonts w:ascii="Garamond" w:eastAsia="Garamond" w:hAnsi="Garamond" w:cs="Garamond"/>
          <w:lang w:bidi="en-US"/>
        </w:rPr>
        <w:lastRenderedPageBreak/>
        <w:t>The subject of this Request for Input</w:t>
      </w:r>
      <w:r w:rsidR="00B77E6D">
        <w:rPr>
          <w:rFonts w:ascii="Garamond" w:eastAsia="Garamond" w:hAnsi="Garamond" w:cs="Garamond"/>
          <w:lang w:bidi="en-US"/>
        </w:rPr>
        <w:t xml:space="preserve"> </w:t>
      </w:r>
      <w:r>
        <w:rPr>
          <w:rFonts w:ascii="Garamond" w:eastAsia="Garamond" w:hAnsi="Garamond" w:cs="Garamond"/>
          <w:lang w:bidi="en-US"/>
        </w:rPr>
        <w:t>(</w:t>
      </w:r>
      <w:r w:rsidR="00B77E6D">
        <w:rPr>
          <w:rFonts w:ascii="Garamond" w:eastAsia="Garamond" w:hAnsi="Garamond" w:cs="Garamond"/>
          <w:lang w:bidi="en-US"/>
        </w:rPr>
        <w:t>RF</w:t>
      </w:r>
      <w:r w:rsidR="007B0370">
        <w:rPr>
          <w:rFonts w:ascii="Garamond" w:eastAsia="Garamond" w:hAnsi="Garamond" w:cs="Garamond"/>
          <w:lang w:bidi="en-US"/>
        </w:rPr>
        <w:t>I</w:t>
      </w:r>
      <w:r>
        <w:rPr>
          <w:rFonts w:ascii="Garamond" w:eastAsia="Garamond" w:hAnsi="Garamond" w:cs="Garamond"/>
          <w:lang w:bidi="en-US"/>
        </w:rPr>
        <w:t>) is “Tenant Protections for Enterprise-Backed Multifamily Properties.” E</w:t>
      </w:r>
      <w:r w:rsidR="00B77E6D" w:rsidRPr="00B77E6D">
        <w:rPr>
          <w:rFonts w:ascii="Garamond" w:eastAsia="Garamond" w:hAnsi="Garamond" w:cs="Garamond"/>
          <w:lang w:bidi="en-US"/>
        </w:rPr>
        <w:t xml:space="preserve">nterprise manufactured home community loans are not multifamily properties, and the 25 questions posed in this RFI do not ask about such loans or properties. </w:t>
      </w:r>
      <w:r w:rsidR="002C5134">
        <w:rPr>
          <w:rFonts w:ascii="Garamond" w:eastAsia="Garamond" w:hAnsi="Garamond" w:cs="Garamond"/>
          <w:lang w:bidi="en-US"/>
        </w:rPr>
        <w:t xml:space="preserve">But </w:t>
      </w:r>
      <w:r w:rsidR="00B77E6D" w:rsidRPr="00B77E6D">
        <w:rPr>
          <w:rFonts w:ascii="Garamond" w:eastAsia="Garamond" w:hAnsi="Garamond" w:cs="Garamond"/>
          <w:lang w:bidi="en-US"/>
        </w:rPr>
        <w:t>this RFI does include a section describing the eight tenant site lease protections that apply to pad leases for the land underneath individual manufactured homes when an Enterprise makes a loan to a manufactured home community.</w:t>
      </w:r>
    </w:p>
    <w:p w14:paraId="7C1A3061" w14:textId="77777777" w:rsidR="00476F6E" w:rsidRDefault="00476F6E" w:rsidP="00B77E6D">
      <w:pPr>
        <w:widowControl w:val="0"/>
        <w:autoSpaceDE w:val="0"/>
        <w:autoSpaceDN w:val="0"/>
        <w:spacing w:after="0" w:line="240" w:lineRule="auto"/>
        <w:ind w:firstLine="720"/>
        <w:jc w:val="both"/>
        <w:rPr>
          <w:rFonts w:ascii="Garamond" w:eastAsia="Garamond" w:hAnsi="Garamond" w:cs="Garamond"/>
          <w:lang w:bidi="en-US"/>
        </w:rPr>
      </w:pPr>
    </w:p>
    <w:p w14:paraId="4AF5A95A" w14:textId="1A96B977" w:rsidR="00476F6E" w:rsidRPr="00DB7305" w:rsidRDefault="00476F6E" w:rsidP="00476F6E">
      <w:pPr>
        <w:widowControl w:val="0"/>
        <w:autoSpaceDE w:val="0"/>
        <w:autoSpaceDN w:val="0"/>
        <w:spacing w:after="0" w:line="240" w:lineRule="auto"/>
        <w:ind w:firstLine="720"/>
        <w:jc w:val="both"/>
        <w:rPr>
          <w:rFonts w:ascii="Garamond" w:eastAsia="Garamond" w:hAnsi="Garamond" w:cs="Garamond"/>
          <w:lang w:bidi="en-US"/>
        </w:rPr>
      </w:pPr>
      <w:r w:rsidRPr="00DB7305">
        <w:rPr>
          <w:rFonts w:ascii="Garamond" w:hAnsi="Garamond"/>
        </w:rPr>
        <w:t xml:space="preserve">Some housing advocates </w:t>
      </w:r>
      <w:r w:rsidR="00F51135">
        <w:rPr>
          <w:rFonts w:ascii="Garamond" w:hAnsi="Garamond"/>
        </w:rPr>
        <w:t>seek</w:t>
      </w:r>
      <w:r w:rsidRPr="00DB7305">
        <w:rPr>
          <w:rFonts w:ascii="Garamond" w:hAnsi="Garamond"/>
        </w:rPr>
        <w:t xml:space="preserve"> to increase or expand these pad lease protections for homeowners in manufactured home communities. We are also aware that some Members of Congress are exploring heightened pad lease requirements through legislation.</w:t>
      </w:r>
    </w:p>
    <w:p w14:paraId="19647890" w14:textId="3455644D" w:rsidR="00A26350" w:rsidRDefault="00DF7B24" w:rsidP="00DB7305">
      <w:pPr>
        <w:widowControl w:val="0"/>
        <w:autoSpaceDE w:val="0"/>
        <w:autoSpaceDN w:val="0"/>
        <w:spacing w:after="0" w:line="240" w:lineRule="auto"/>
        <w:ind w:firstLine="720"/>
        <w:jc w:val="both"/>
      </w:pPr>
      <w:r>
        <w:rPr>
          <w:rFonts w:eastAsia="Garamond" w:cs="Garamond"/>
          <w:lang w:bidi="en-US"/>
        </w:rPr>
        <w:t xml:space="preserve"> </w:t>
      </w:r>
    </w:p>
    <w:p w14:paraId="4A0AB88C" w14:textId="299C43BE" w:rsidR="00B77E6D" w:rsidRDefault="00476F6E" w:rsidP="00B77E6D">
      <w:pPr>
        <w:widowControl w:val="0"/>
        <w:autoSpaceDE w:val="0"/>
        <w:autoSpaceDN w:val="0"/>
        <w:spacing w:after="0" w:line="240" w:lineRule="auto"/>
        <w:ind w:firstLine="720"/>
        <w:jc w:val="both"/>
        <w:rPr>
          <w:rFonts w:ascii="Garamond" w:eastAsia="Garamond" w:hAnsi="Garamond" w:cs="Garamond"/>
          <w:lang w:bidi="en-US"/>
        </w:rPr>
      </w:pPr>
      <w:r>
        <w:rPr>
          <w:rFonts w:ascii="Garamond" w:eastAsia="Garamond" w:hAnsi="Garamond" w:cs="Garamond"/>
          <w:lang w:bidi="en-US"/>
        </w:rPr>
        <w:t xml:space="preserve">The main purpose of this comment letter is to make </w:t>
      </w:r>
      <w:r w:rsidR="00B77E6D" w:rsidRPr="00B77E6D">
        <w:rPr>
          <w:rFonts w:ascii="Garamond" w:eastAsia="Garamond" w:hAnsi="Garamond" w:cs="Garamond"/>
          <w:lang w:bidi="en-US"/>
        </w:rPr>
        <w:t xml:space="preserve">two essential points regarding </w:t>
      </w:r>
      <w:r>
        <w:rPr>
          <w:rFonts w:ascii="Garamond" w:eastAsia="Garamond" w:hAnsi="Garamond" w:cs="Garamond"/>
          <w:lang w:bidi="en-US"/>
        </w:rPr>
        <w:t xml:space="preserve">any efforts to increase or expand Enterprise manufactured home community loan pad lease protections: </w:t>
      </w:r>
    </w:p>
    <w:p w14:paraId="2E162E49" w14:textId="77777777"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1856B432" w14:textId="4F8FB6C2" w:rsidR="00B77E6D" w:rsidRDefault="00B77E6D" w:rsidP="00B77E6D">
      <w:pPr>
        <w:widowControl w:val="0"/>
        <w:autoSpaceDE w:val="0"/>
        <w:autoSpaceDN w:val="0"/>
        <w:spacing w:after="0" w:line="240" w:lineRule="auto"/>
        <w:ind w:left="720" w:right="720"/>
        <w:jc w:val="both"/>
        <w:rPr>
          <w:rFonts w:ascii="Garamond" w:eastAsia="Garamond" w:hAnsi="Garamond" w:cs="Garamond"/>
          <w:lang w:bidi="en-US"/>
        </w:rPr>
      </w:pPr>
      <w:r w:rsidRPr="00B77E6D">
        <w:rPr>
          <w:rFonts w:ascii="Garamond" w:eastAsia="Garamond" w:hAnsi="Garamond" w:cs="Garamond"/>
          <w:lang w:bidi="en-US"/>
        </w:rPr>
        <w:t>(1)</w:t>
      </w:r>
      <w:r w:rsidRPr="00B77E6D">
        <w:rPr>
          <w:rFonts w:ascii="Garamond" w:eastAsia="Garamond" w:hAnsi="Garamond" w:cs="Garamond"/>
          <w:lang w:bidi="en-US"/>
        </w:rPr>
        <w:tab/>
        <w:t xml:space="preserve">These balanced tenant pad lease protections cover all the essential consumer protections that are needed to ensure that a manufactured homeowner can protect their home investment, including situations when </w:t>
      </w:r>
      <w:r w:rsidR="00407F8B">
        <w:rPr>
          <w:rFonts w:ascii="Garamond" w:eastAsia="Garamond" w:hAnsi="Garamond" w:cs="Garamond"/>
          <w:lang w:bidi="en-US"/>
        </w:rPr>
        <w:t>homeowners</w:t>
      </w:r>
      <w:r w:rsidRPr="00B77E6D">
        <w:rPr>
          <w:rFonts w:ascii="Garamond" w:eastAsia="Garamond" w:hAnsi="Garamond" w:cs="Garamond"/>
          <w:lang w:bidi="en-US"/>
        </w:rPr>
        <w:t xml:space="preserve"> are financially unable to make pad lease payments, and </w:t>
      </w:r>
    </w:p>
    <w:p w14:paraId="589D2350" w14:textId="77777777" w:rsidR="00B77E6D" w:rsidRPr="00B77E6D" w:rsidRDefault="00B77E6D" w:rsidP="00B77E6D">
      <w:pPr>
        <w:widowControl w:val="0"/>
        <w:autoSpaceDE w:val="0"/>
        <w:autoSpaceDN w:val="0"/>
        <w:spacing w:after="0" w:line="240" w:lineRule="auto"/>
        <w:ind w:left="720" w:right="720"/>
        <w:jc w:val="both"/>
        <w:rPr>
          <w:rFonts w:ascii="Garamond" w:eastAsia="Garamond" w:hAnsi="Garamond" w:cs="Garamond"/>
          <w:lang w:bidi="en-US"/>
        </w:rPr>
      </w:pPr>
    </w:p>
    <w:p w14:paraId="58782E56" w14:textId="57631FF8" w:rsidR="00B77E6D" w:rsidRPr="00B77E6D" w:rsidRDefault="00B77E6D" w:rsidP="00DB7305">
      <w:pPr>
        <w:widowControl w:val="0"/>
        <w:autoSpaceDE w:val="0"/>
        <w:autoSpaceDN w:val="0"/>
        <w:spacing w:after="0" w:line="240" w:lineRule="auto"/>
        <w:ind w:left="720" w:right="720"/>
        <w:jc w:val="both"/>
        <w:rPr>
          <w:rFonts w:ascii="Garamond" w:eastAsia="Garamond" w:hAnsi="Garamond" w:cs="Garamond"/>
          <w:lang w:bidi="en-US"/>
        </w:rPr>
      </w:pPr>
      <w:r w:rsidRPr="00B77E6D">
        <w:rPr>
          <w:rFonts w:ascii="Garamond" w:eastAsia="Garamond" w:hAnsi="Garamond" w:cs="Garamond"/>
          <w:lang w:bidi="en-US"/>
        </w:rPr>
        <w:t>(2)</w:t>
      </w:r>
      <w:r w:rsidRPr="00B77E6D">
        <w:rPr>
          <w:rFonts w:ascii="Garamond" w:eastAsia="Garamond" w:hAnsi="Garamond" w:cs="Garamond"/>
          <w:lang w:bidi="en-US"/>
        </w:rPr>
        <w:tab/>
        <w:t>Any expansion or heightening of tenant pad lease protections would run a serious risk that manufactured home community owners would no longer seek Enterprise financing for communities</w:t>
      </w:r>
      <w:r w:rsidR="00BE0D4B">
        <w:rPr>
          <w:rFonts w:ascii="Garamond" w:eastAsia="Garamond" w:hAnsi="Garamond" w:cs="Garamond"/>
          <w:lang w:bidi="en-US"/>
        </w:rPr>
        <w:t>—</w:t>
      </w:r>
      <w:r w:rsidRPr="00B77E6D">
        <w:rPr>
          <w:rFonts w:ascii="Garamond" w:eastAsia="Garamond" w:hAnsi="Garamond" w:cs="Garamond"/>
          <w:lang w:bidi="en-US"/>
        </w:rPr>
        <w:t>which would</w:t>
      </w:r>
      <w:r w:rsidR="00797D6E">
        <w:rPr>
          <w:rFonts w:ascii="Garamond" w:eastAsia="Garamond" w:hAnsi="Garamond" w:cs="Garamond"/>
          <w:lang w:bidi="en-US"/>
        </w:rPr>
        <w:t xml:space="preserve"> then </w:t>
      </w:r>
      <w:r w:rsidRPr="00B77E6D">
        <w:rPr>
          <w:rFonts w:ascii="Garamond" w:eastAsia="Garamond" w:hAnsi="Garamond" w:cs="Garamond"/>
          <w:lang w:bidi="en-US"/>
        </w:rPr>
        <w:t xml:space="preserve">undermine </w:t>
      </w:r>
      <w:r w:rsidR="007B0370">
        <w:rPr>
          <w:rFonts w:ascii="Garamond" w:eastAsia="Garamond" w:hAnsi="Garamond" w:cs="Garamond"/>
          <w:lang w:bidi="en-US"/>
        </w:rPr>
        <w:t xml:space="preserve">the </w:t>
      </w:r>
      <w:r w:rsidRPr="00B77E6D">
        <w:rPr>
          <w:rFonts w:ascii="Garamond" w:eastAsia="Garamond" w:hAnsi="Garamond" w:cs="Garamond"/>
          <w:lang w:bidi="en-US"/>
        </w:rPr>
        <w:t>preservation of older communities that need financing to repair aging infrastructure</w:t>
      </w:r>
      <w:r w:rsidR="007B0370">
        <w:rPr>
          <w:rFonts w:ascii="Garamond" w:eastAsia="Garamond" w:hAnsi="Garamond" w:cs="Garamond"/>
          <w:lang w:bidi="en-US"/>
        </w:rPr>
        <w:t xml:space="preserve"> </w:t>
      </w:r>
      <w:r w:rsidRPr="00B77E6D">
        <w:rPr>
          <w:rFonts w:ascii="Garamond" w:eastAsia="Garamond" w:hAnsi="Garamond" w:cs="Garamond"/>
          <w:lang w:bidi="en-US"/>
        </w:rPr>
        <w:t xml:space="preserve">to preserve the </w:t>
      </w:r>
      <w:r w:rsidR="007B0370">
        <w:rPr>
          <w:rFonts w:ascii="Garamond" w:eastAsia="Garamond" w:hAnsi="Garamond" w:cs="Garamond"/>
          <w:lang w:bidi="en-US"/>
        </w:rPr>
        <w:t xml:space="preserve">sale </w:t>
      </w:r>
      <w:r w:rsidRPr="00B77E6D">
        <w:rPr>
          <w:rFonts w:ascii="Garamond" w:eastAsia="Garamond" w:hAnsi="Garamond" w:cs="Garamond"/>
          <w:lang w:bidi="en-US"/>
        </w:rPr>
        <w:t xml:space="preserve">value of </w:t>
      </w:r>
      <w:r>
        <w:rPr>
          <w:rFonts w:ascii="Garamond" w:eastAsia="Garamond" w:hAnsi="Garamond" w:cs="Garamond"/>
          <w:lang w:bidi="en-US"/>
        </w:rPr>
        <w:t xml:space="preserve">the manufactured </w:t>
      </w:r>
      <w:r w:rsidRPr="00B77E6D">
        <w:rPr>
          <w:rFonts w:ascii="Garamond" w:eastAsia="Garamond" w:hAnsi="Garamond" w:cs="Garamond"/>
          <w:lang w:bidi="en-US"/>
        </w:rPr>
        <w:t xml:space="preserve">homes in </w:t>
      </w:r>
      <w:r w:rsidR="00BE0D4B">
        <w:rPr>
          <w:rFonts w:ascii="Garamond" w:eastAsia="Garamond" w:hAnsi="Garamond" w:cs="Garamond"/>
          <w:lang w:bidi="en-US"/>
        </w:rPr>
        <w:t>these</w:t>
      </w:r>
      <w:r w:rsidRPr="00B77E6D">
        <w:rPr>
          <w:rFonts w:ascii="Garamond" w:eastAsia="Garamond" w:hAnsi="Garamond" w:cs="Garamond"/>
          <w:lang w:bidi="en-US"/>
        </w:rPr>
        <w:t xml:space="preserve"> communities.</w:t>
      </w:r>
    </w:p>
    <w:p w14:paraId="564EBDAF" w14:textId="77777777" w:rsidR="00B77E6D" w:rsidRPr="00B77E6D" w:rsidRDefault="00B77E6D" w:rsidP="00DB7305">
      <w:pPr>
        <w:widowControl w:val="0"/>
        <w:autoSpaceDE w:val="0"/>
        <w:autoSpaceDN w:val="0"/>
        <w:spacing w:after="0" w:line="240" w:lineRule="auto"/>
        <w:jc w:val="both"/>
        <w:rPr>
          <w:rFonts w:ascii="Garamond" w:eastAsia="Garamond" w:hAnsi="Garamond" w:cs="Garamond"/>
          <w:lang w:bidi="en-US"/>
        </w:rPr>
      </w:pPr>
    </w:p>
    <w:p w14:paraId="0C22C760" w14:textId="7B4A20D3" w:rsidR="00B77E6D" w:rsidRDefault="00476F6E" w:rsidP="00B77E6D">
      <w:pPr>
        <w:widowControl w:val="0"/>
        <w:autoSpaceDE w:val="0"/>
        <w:autoSpaceDN w:val="0"/>
        <w:spacing w:after="0" w:line="240" w:lineRule="auto"/>
        <w:ind w:firstLine="720"/>
        <w:jc w:val="both"/>
        <w:rPr>
          <w:rFonts w:ascii="Garamond" w:eastAsia="Garamond" w:hAnsi="Garamond" w:cs="Garamond"/>
          <w:lang w:bidi="en-US"/>
        </w:rPr>
      </w:pPr>
      <w:r>
        <w:rPr>
          <w:rFonts w:ascii="Garamond" w:eastAsia="Garamond" w:hAnsi="Garamond" w:cs="Garamond"/>
          <w:lang w:bidi="en-US"/>
        </w:rPr>
        <w:t>M</w:t>
      </w:r>
      <w:r w:rsidR="00DF7B24">
        <w:rPr>
          <w:rFonts w:ascii="Garamond" w:eastAsia="Garamond" w:hAnsi="Garamond" w:cs="Garamond"/>
          <w:lang w:bidi="en-US"/>
        </w:rPr>
        <w:t xml:space="preserve">anufactured housing communities across the country </w:t>
      </w:r>
      <w:r>
        <w:rPr>
          <w:rFonts w:ascii="Garamond" w:eastAsia="Garamond" w:hAnsi="Garamond" w:cs="Garamond"/>
          <w:lang w:bidi="en-US"/>
        </w:rPr>
        <w:t xml:space="preserve">routinely </w:t>
      </w:r>
      <w:r w:rsidR="00DF7B24">
        <w:rPr>
          <w:rFonts w:ascii="Garamond" w:eastAsia="Garamond" w:hAnsi="Garamond" w:cs="Garamond"/>
          <w:lang w:bidi="en-US"/>
        </w:rPr>
        <w:t>provid</w:t>
      </w:r>
      <w:r>
        <w:rPr>
          <w:rFonts w:ascii="Garamond" w:eastAsia="Garamond" w:hAnsi="Garamond" w:cs="Garamond"/>
          <w:lang w:bidi="en-US"/>
        </w:rPr>
        <w:t>e</w:t>
      </w:r>
      <w:r w:rsidR="00DF7B24">
        <w:rPr>
          <w:rFonts w:ascii="Garamond" w:eastAsia="Garamond" w:hAnsi="Garamond" w:cs="Garamond"/>
          <w:lang w:bidi="en-US"/>
        </w:rPr>
        <w:t xml:space="preserve"> </w:t>
      </w:r>
      <w:r>
        <w:rPr>
          <w:rFonts w:ascii="Garamond" w:eastAsia="Garamond" w:hAnsi="Garamond" w:cs="Garamond"/>
          <w:lang w:bidi="en-US"/>
        </w:rPr>
        <w:t xml:space="preserve">land lease </w:t>
      </w:r>
      <w:r w:rsidR="00DF7B24">
        <w:rPr>
          <w:rFonts w:ascii="Garamond" w:eastAsia="Garamond" w:hAnsi="Garamond" w:cs="Garamond"/>
          <w:lang w:bidi="en-US"/>
        </w:rPr>
        <w:t xml:space="preserve">protections for </w:t>
      </w:r>
      <w:r>
        <w:rPr>
          <w:rFonts w:ascii="Garamond" w:eastAsia="Garamond" w:hAnsi="Garamond" w:cs="Garamond"/>
          <w:lang w:bidi="en-US"/>
        </w:rPr>
        <w:t>their</w:t>
      </w:r>
      <w:r w:rsidR="00DF7B24">
        <w:rPr>
          <w:rFonts w:ascii="Garamond" w:eastAsia="Garamond" w:hAnsi="Garamond" w:cs="Garamond"/>
          <w:lang w:bidi="en-US"/>
        </w:rPr>
        <w:t xml:space="preserve"> residents.</w:t>
      </w:r>
      <w:r>
        <w:rPr>
          <w:rFonts w:ascii="Garamond" w:eastAsia="Garamond" w:hAnsi="Garamond" w:cs="Garamond"/>
          <w:lang w:bidi="en-US"/>
        </w:rPr>
        <w:t xml:space="preserve"> Moreover, MHI has always supported balanced pad lease protections that help manufactured </w:t>
      </w:r>
      <w:r w:rsidR="00E46CD0">
        <w:rPr>
          <w:rFonts w:ascii="Garamond" w:eastAsia="Garamond" w:hAnsi="Garamond" w:cs="Garamond"/>
          <w:lang w:bidi="en-US"/>
        </w:rPr>
        <w:t>homeowners</w:t>
      </w:r>
      <w:r>
        <w:rPr>
          <w:rFonts w:ascii="Garamond" w:eastAsia="Garamond" w:hAnsi="Garamond" w:cs="Garamond"/>
          <w:lang w:bidi="en-US"/>
        </w:rPr>
        <w:t xml:space="preserve"> in communities achieve their goal of sustainable, affordable, and safe affordable homeownership and </w:t>
      </w:r>
      <w:r w:rsidR="00407F8B">
        <w:rPr>
          <w:rFonts w:ascii="Garamond" w:eastAsia="Garamond" w:hAnsi="Garamond" w:cs="Garamond"/>
          <w:lang w:bidi="en-US"/>
        </w:rPr>
        <w:t>that</w:t>
      </w:r>
      <w:r>
        <w:rPr>
          <w:rFonts w:ascii="Garamond" w:eastAsia="Garamond" w:hAnsi="Garamond" w:cs="Garamond"/>
          <w:lang w:bidi="en-US"/>
        </w:rPr>
        <w:t xml:space="preserve"> protect their home investment. In fact, MHI constructively worked with FHFA in its development of the strong pad lease protections that are required for Enterprise community loans, which are</w:t>
      </w:r>
      <w:r w:rsidR="00B77E6D" w:rsidRPr="00B77E6D">
        <w:rPr>
          <w:rFonts w:ascii="Garamond" w:eastAsia="Garamond" w:hAnsi="Garamond" w:cs="Garamond"/>
          <w:lang w:bidi="en-US"/>
        </w:rPr>
        <w:t>:</w:t>
      </w:r>
    </w:p>
    <w:p w14:paraId="2E847448" w14:textId="77777777"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2D4772BC" w14:textId="77777777" w:rsidR="00B77E6D" w:rsidRDefault="00B77E6D" w:rsidP="00B77E6D">
      <w:pPr>
        <w:widowControl w:val="0"/>
        <w:autoSpaceDE w:val="0"/>
        <w:autoSpaceDN w:val="0"/>
        <w:spacing w:after="0" w:line="240" w:lineRule="auto"/>
        <w:ind w:left="720" w:right="720" w:firstLine="720"/>
        <w:jc w:val="both"/>
        <w:rPr>
          <w:rFonts w:ascii="Garamond" w:eastAsia="Garamond" w:hAnsi="Garamond" w:cs="Garamond"/>
          <w:lang w:bidi="en-US"/>
        </w:rPr>
      </w:pPr>
      <w:r w:rsidRPr="00B77E6D">
        <w:rPr>
          <w:rFonts w:ascii="Garamond" w:eastAsia="Garamond" w:hAnsi="Garamond" w:cs="Garamond"/>
          <w:lang w:bidi="en-US"/>
        </w:rPr>
        <w:t>•</w:t>
      </w:r>
      <w:r w:rsidRPr="00B77E6D">
        <w:rPr>
          <w:rFonts w:ascii="Garamond" w:eastAsia="Garamond" w:hAnsi="Garamond" w:cs="Garamond"/>
          <w:lang w:bidi="en-US"/>
        </w:rPr>
        <w:tab/>
        <w:t>A one-year renewable term for the site lease.</w:t>
      </w:r>
    </w:p>
    <w:p w14:paraId="5AF98CFF" w14:textId="77777777" w:rsidR="00B77E6D" w:rsidRPr="00B77E6D" w:rsidRDefault="00B77E6D" w:rsidP="00B77E6D">
      <w:pPr>
        <w:widowControl w:val="0"/>
        <w:autoSpaceDE w:val="0"/>
        <w:autoSpaceDN w:val="0"/>
        <w:spacing w:after="0" w:line="240" w:lineRule="auto"/>
        <w:ind w:left="720" w:right="720" w:firstLine="720"/>
        <w:jc w:val="both"/>
        <w:rPr>
          <w:rFonts w:ascii="Garamond" w:eastAsia="Garamond" w:hAnsi="Garamond" w:cs="Garamond"/>
          <w:lang w:bidi="en-US"/>
        </w:rPr>
      </w:pPr>
    </w:p>
    <w:p w14:paraId="29096D5E" w14:textId="77777777" w:rsidR="00B77E6D" w:rsidRDefault="00B77E6D" w:rsidP="00B77E6D">
      <w:pPr>
        <w:widowControl w:val="0"/>
        <w:autoSpaceDE w:val="0"/>
        <w:autoSpaceDN w:val="0"/>
        <w:spacing w:after="0" w:line="240" w:lineRule="auto"/>
        <w:ind w:left="720" w:right="720" w:firstLine="720"/>
        <w:jc w:val="both"/>
        <w:rPr>
          <w:rFonts w:ascii="Garamond" w:eastAsia="Garamond" w:hAnsi="Garamond" w:cs="Garamond"/>
          <w:lang w:bidi="en-US"/>
        </w:rPr>
      </w:pPr>
      <w:r w:rsidRPr="00B77E6D">
        <w:rPr>
          <w:rFonts w:ascii="Garamond" w:eastAsia="Garamond" w:hAnsi="Garamond" w:cs="Garamond"/>
          <w:lang w:bidi="en-US"/>
        </w:rPr>
        <w:t>•</w:t>
      </w:r>
      <w:r w:rsidRPr="00B77E6D">
        <w:rPr>
          <w:rFonts w:ascii="Garamond" w:eastAsia="Garamond" w:hAnsi="Garamond" w:cs="Garamond"/>
          <w:lang w:bidi="en-US"/>
        </w:rPr>
        <w:tab/>
        <w:t>30-day written notice of rent increases.</w:t>
      </w:r>
    </w:p>
    <w:p w14:paraId="33BDA34C" w14:textId="77777777" w:rsidR="00B77E6D" w:rsidRPr="00B77E6D" w:rsidRDefault="00B77E6D" w:rsidP="00B77E6D">
      <w:pPr>
        <w:widowControl w:val="0"/>
        <w:autoSpaceDE w:val="0"/>
        <w:autoSpaceDN w:val="0"/>
        <w:spacing w:after="0" w:line="240" w:lineRule="auto"/>
        <w:ind w:left="720" w:right="720" w:firstLine="720"/>
        <w:jc w:val="both"/>
        <w:rPr>
          <w:rFonts w:ascii="Garamond" w:eastAsia="Garamond" w:hAnsi="Garamond" w:cs="Garamond"/>
          <w:lang w:bidi="en-US"/>
        </w:rPr>
      </w:pPr>
    </w:p>
    <w:p w14:paraId="69B5652B" w14:textId="201FD3BA" w:rsidR="00B77E6D" w:rsidRDefault="00B77E6D" w:rsidP="00B77E6D">
      <w:pPr>
        <w:widowControl w:val="0"/>
        <w:autoSpaceDE w:val="0"/>
        <w:autoSpaceDN w:val="0"/>
        <w:spacing w:after="0" w:line="240" w:lineRule="auto"/>
        <w:ind w:left="2160" w:right="720" w:hanging="720"/>
        <w:jc w:val="both"/>
        <w:rPr>
          <w:rFonts w:ascii="Garamond" w:eastAsia="Garamond" w:hAnsi="Garamond" w:cs="Garamond"/>
          <w:lang w:bidi="en-US"/>
        </w:rPr>
      </w:pPr>
      <w:r w:rsidRPr="00B77E6D">
        <w:rPr>
          <w:rFonts w:ascii="Garamond" w:eastAsia="Garamond" w:hAnsi="Garamond" w:cs="Garamond"/>
          <w:lang w:bidi="en-US"/>
        </w:rPr>
        <w:t>•</w:t>
      </w:r>
      <w:r w:rsidRPr="00B77E6D">
        <w:rPr>
          <w:rFonts w:ascii="Garamond" w:eastAsia="Garamond" w:hAnsi="Garamond" w:cs="Garamond"/>
          <w:lang w:bidi="en-US"/>
        </w:rPr>
        <w:tab/>
        <w:t xml:space="preserve">The right to sell the manufactured home without </w:t>
      </w:r>
      <w:r w:rsidR="00407F8B">
        <w:rPr>
          <w:rFonts w:ascii="Garamond" w:eastAsia="Garamond" w:hAnsi="Garamond" w:cs="Garamond"/>
          <w:lang w:bidi="en-US"/>
        </w:rPr>
        <w:t>moving</w:t>
      </w:r>
      <w:r w:rsidRPr="00B77E6D">
        <w:rPr>
          <w:rFonts w:ascii="Garamond" w:eastAsia="Garamond" w:hAnsi="Garamond" w:cs="Garamond"/>
          <w:lang w:bidi="en-US"/>
        </w:rPr>
        <w:t xml:space="preserve"> </w:t>
      </w:r>
      <w:r w:rsidR="00407F8B">
        <w:rPr>
          <w:rFonts w:ascii="Garamond" w:eastAsia="Garamond" w:hAnsi="Garamond" w:cs="Garamond"/>
          <w:lang w:bidi="en-US"/>
        </w:rPr>
        <w:t xml:space="preserve">it </w:t>
      </w:r>
      <w:r w:rsidRPr="00B77E6D">
        <w:rPr>
          <w:rFonts w:ascii="Garamond" w:eastAsia="Garamond" w:hAnsi="Garamond" w:cs="Garamond"/>
          <w:lang w:bidi="en-US"/>
        </w:rPr>
        <w:t>out of the community.</w:t>
      </w:r>
    </w:p>
    <w:p w14:paraId="4983F978" w14:textId="77777777" w:rsidR="00B77E6D" w:rsidRPr="00B77E6D" w:rsidRDefault="00B77E6D" w:rsidP="00B77E6D">
      <w:pPr>
        <w:widowControl w:val="0"/>
        <w:autoSpaceDE w:val="0"/>
        <w:autoSpaceDN w:val="0"/>
        <w:spacing w:after="0" w:line="240" w:lineRule="auto"/>
        <w:ind w:left="720" w:right="720" w:firstLine="720"/>
        <w:jc w:val="both"/>
        <w:rPr>
          <w:rFonts w:ascii="Garamond" w:eastAsia="Garamond" w:hAnsi="Garamond" w:cs="Garamond"/>
          <w:lang w:bidi="en-US"/>
        </w:rPr>
      </w:pPr>
    </w:p>
    <w:p w14:paraId="6EF72166" w14:textId="77777777" w:rsidR="00B77E6D" w:rsidRDefault="00B77E6D" w:rsidP="00B77E6D">
      <w:pPr>
        <w:widowControl w:val="0"/>
        <w:autoSpaceDE w:val="0"/>
        <w:autoSpaceDN w:val="0"/>
        <w:spacing w:after="0" w:line="240" w:lineRule="auto"/>
        <w:ind w:left="2160" w:right="720" w:hanging="720"/>
        <w:jc w:val="both"/>
        <w:rPr>
          <w:rFonts w:ascii="Garamond" w:eastAsia="Garamond" w:hAnsi="Garamond" w:cs="Garamond"/>
          <w:lang w:bidi="en-US"/>
        </w:rPr>
      </w:pPr>
      <w:r w:rsidRPr="00B77E6D">
        <w:rPr>
          <w:rFonts w:ascii="Garamond" w:eastAsia="Garamond" w:hAnsi="Garamond" w:cs="Garamond"/>
          <w:lang w:bidi="en-US"/>
        </w:rPr>
        <w:t>•</w:t>
      </w:r>
      <w:r w:rsidRPr="00B77E6D">
        <w:rPr>
          <w:rFonts w:ascii="Garamond" w:eastAsia="Garamond" w:hAnsi="Garamond" w:cs="Garamond"/>
          <w:lang w:bidi="en-US"/>
        </w:rPr>
        <w:tab/>
        <w:t>The right to sublease the manufactured home or assign the site lease to a buyer, subject to reasonable qualification restrictions.</w:t>
      </w:r>
    </w:p>
    <w:p w14:paraId="755CED46" w14:textId="77777777" w:rsidR="00B77E6D" w:rsidRPr="00B77E6D" w:rsidRDefault="00B77E6D" w:rsidP="00B77E6D">
      <w:pPr>
        <w:widowControl w:val="0"/>
        <w:autoSpaceDE w:val="0"/>
        <w:autoSpaceDN w:val="0"/>
        <w:spacing w:after="0" w:line="240" w:lineRule="auto"/>
        <w:ind w:left="2160" w:right="720" w:hanging="720"/>
        <w:jc w:val="both"/>
        <w:rPr>
          <w:rFonts w:ascii="Garamond" w:eastAsia="Garamond" w:hAnsi="Garamond" w:cs="Garamond"/>
          <w:lang w:bidi="en-US"/>
        </w:rPr>
      </w:pPr>
    </w:p>
    <w:p w14:paraId="19C92CC9" w14:textId="27E79882" w:rsidR="00B77E6D" w:rsidRDefault="00B77E6D" w:rsidP="00B77E6D">
      <w:pPr>
        <w:widowControl w:val="0"/>
        <w:autoSpaceDE w:val="0"/>
        <w:autoSpaceDN w:val="0"/>
        <w:spacing w:after="0" w:line="240" w:lineRule="auto"/>
        <w:ind w:left="2160" w:right="720" w:hanging="720"/>
        <w:jc w:val="both"/>
        <w:rPr>
          <w:rFonts w:ascii="Garamond" w:eastAsia="Garamond" w:hAnsi="Garamond" w:cs="Garamond"/>
          <w:lang w:bidi="en-US"/>
        </w:rPr>
      </w:pPr>
      <w:r w:rsidRPr="00B77E6D">
        <w:rPr>
          <w:rFonts w:ascii="Garamond" w:eastAsia="Garamond" w:hAnsi="Garamond" w:cs="Garamond"/>
          <w:lang w:bidi="en-US"/>
        </w:rPr>
        <w:t>•</w:t>
      </w:r>
      <w:r w:rsidRPr="00B77E6D">
        <w:rPr>
          <w:rFonts w:ascii="Garamond" w:eastAsia="Garamond" w:hAnsi="Garamond" w:cs="Garamond"/>
          <w:lang w:bidi="en-US"/>
        </w:rPr>
        <w:tab/>
      </w:r>
      <w:r w:rsidR="007D0503">
        <w:rPr>
          <w:rFonts w:ascii="Garamond" w:eastAsia="Garamond" w:hAnsi="Garamond" w:cs="Garamond"/>
          <w:lang w:bidi="en-US"/>
        </w:rPr>
        <w:t>The r</w:t>
      </w:r>
      <w:r w:rsidRPr="00B77E6D">
        <w:rPr>
          <w:rFonts w:ascii="Garamond" w:eastAsia="Garamond" w:hAnsi="Garamond" w:cs="Garamond"/>
          <w:lang w:bidi="en-US"/>
        </w:rPr>
        <w:t>ight to receive at least 60 days’ notice of planned sale or closure of the community.</w:t>
      </w:r>
    </w:p>
    <w:p w14:paraId="7F480357" w14:textId="77777777" w:rsidR="00B77E6D" w:rsidRPr="00B77E6D" w:rsidRDefault="00B77E6D" w:rsidP="00B77E6D">
      <w:pPr>
        <w:widowControl w:val="0"/>
        <w:autoSpaceDE w:val="0"/>
        <w:autoSpaceDN w:val="0"/>
        <w:spacing w:after="0" w:line="240" w:lineRule="auto"/>
        <w:ind w:left="720" w:right="720" w:firstLine="720"/>
        <w:jc w:val="both"/>
        <w:rPr>
          <w:rFonts w:ascii="Garamond" w:eastAsia="Garamond" w:hAnsi="Garamond" w:cs="Garamond"/>
          <w:lang w:bidi="en-US"/>
        </w:rPr>
      </w:pPr>
    </w:p>
    <w:p w14:paraId="55C7CFB1" w14:textId="77777777" w:rsidR="00B77E6D" w:rsidRPr="00B77E6D" w:rsidRDefault="00B77E6D" w:rsidP="00B77E6D">
      <w:pPr>
        <w:widowControl w:val="0"/>
        <w:autoSpaceDE w:val="0"/>
        <w:autoSpaceDN w:val="0"/>
        <w:spacing w:after="0" w:line="240" w:lineRule="auto"/>
        <w:ind w:left="720" w:right="720" w:firstLine="720"/>
        <w:jc w:val="both"/>
        <w:rPr>
          <w:rFonts w:ascii="Garamond" w:eastAsia="Garamond" w:hAnsi="Garamond" w:cs="Garamond"/>
          <w:lang w:bidi="en-US"/>
        </w:rPr>
      </w:pPr>
      <w:r w:rsidRPr="00B77E6D">
        <w:rPr>
          <w:rFonts w:ascii="Garamond" w:eastAsia="Garamond" w:hAnsi="Garamond" w:cs="Garamond"/>
          <w:lang w:bidi="en-US"/>
        </w:rPr>
        <w:t>•</w:t>
      </w:r>
      <w:r w:rsidRPr="00B77E6D">
        <w:rPr>
          <w:rFonts w:ascii="Garamond" w:eastAsia="Garamond" w:hAnsi="Garamond" w:cs="Garamond"/>
          <w:lang w:bidi="en-US"/>
        </w:rPr>
        <w:tab/>
        <w:t>The right to post “For Sale” signs.</w:t>
      </w:r>
    </w:p>
    <w:p w14:paraId="6D77ADBD" w14:textId="77777777"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77D97F66" w14:textId="000A4896" w:rsidR="00B77E6D" w:rsidRPr="00B77E6D" w:rsidRDefault="00B77E6D" w:rsidP="00407F8B">
      <w:pPr>
        <w:widowControl w:val="0"/>
        <w:autoSpaceDE w:val="0"/>
        <w:autoSpaceDN w:val="0"/>
        <w:spacing w:after="0" w:line="240" w:lineRule="auto"/>
        <w:ind w:firstLine="720"/>
        <w:jc w:val="both"/>
        <w:rPr>
          <w:rFonts w:ascii="Garamond" w:eastAsia="Garamond" w:hAnsi="Garamond" w:cs="Garamond"/>
          <w:lang w:bidi="en-US"/>
        </w:rPr>
      </w:pPr>
      <w:r w:rsidRPr="00B77E6D">
        <w:rPr>
          <w:rFonts w:ascii="Garamond" w:eastAsia="Garamond" w:hAnsi="Garamond" w:cs="Garamond"/>
          <w:lang w:bidi="en-US"/>
        </w:rPr>
        <w:t xml:space="preserve">There is </w:t>
      </w:r>
      <w:r w:rsidR="007D0503">
        <w:rPr>
          <w:rFonts w:ascii="Garamond" w:eastAsia="Garamond" w:hAnsi="Garamond" w:cs="Garamond"/>
          <w:lang w:bidi="en-US"/>
        </w:rPr>
        <w:t>simply</w:t>
      </w:r>
      <w:r w:rsidR="007D0503" w:rsidRPr="00B77E6D">
        <w:rPr>
          <w:rFonts w:ascii="Garamond" w:eastAsia="Garamond" w:hAnsi="Garamond" w:cs="Garamond"/>
          <w:lang w:bidi="en-US"/>
        </w:rPr>
        <w:t xml:space="preserve"> </w:t>
      </w:r>
      <w:r w:rsidRPr="00B77E6D">
        <w:rPr>
          <w:rFonts w:ascii="Garamond" w:eastAsia="Garamond" w:hAnsi="Garamond" w:cs="Garamond"/>
          <w:lang w:bidi="en-US"/>
        </w:rPr>
        <w:t xml:space="preserve">no evidence these pad lease protections have not adequately protected tenants in communities financed by Enterprise loans. Moreover, despite a few outlier stories about new community owners imposing big rent increases </w:t>
      </w:r>
      <w:r w:rsidR="007D0503">
        <w:rPr>
          <w:rFonts w:ascii="Garamond" w:eastAsia="Garamond" w:hAnsi="Garamond" w:cs="Garamond"/>
          <w:lang w:bidi="en-US"/>
        </w:rPr>
        <w:t>after</w:t>
      </w:r>
      <w:r w:rsidRPr="00B77E6D">
        <w:rPr>
          <w:rFonts w:ascii="Garamond" w:eastAsia="Garamond" w:hAnsi="Garamond" w:cs="Garamond"/>
          <w:lang w:bidi="en-US"/>
        </w:rPr>
        <w:t xml:space="preserve"> taking over a community, the evidence </w:t>
      </w:r>
      <w:r w:rsidR="007D0503">
        <w:rPr>
          <w:rFonts w:ascii="Garamond" w:eastAsia="Garamond" w:hAnsi="Garamond" w:cs="Garamond"/>
          <w:lang w:bidi="en-US"/>
        </w:rPr>
        <w:t>shows</w:t>
      </w:r>
      <w:r w:rsidRPr="00B77E6D">
        <w:rPr>
          <w:rFonts w:ascii="Garamond" w:eastAsia="Garamond" w:hAnsi="Garamond" w:cs="Garamond"/>
          <w:lang w:bidi="en-US"/>
        </w:rPr>
        <w:t xml:space="preserve"> that annual rent increases in manufactured home communities lag nationwide percentage rent increases in rental housing units. Additionally, many state laws governing manufactured home communities already contain numerous protections for residents of manufactured home communities that either augment or</w:t>
      </w:r>
      <w:r>
        <w:rPr>
          <w:rFonts w:ascii="Garamond" w:eastAsia="Garamond" w:hAnsi="Garamond" w:cs="Garamond"/>
          <w:lang w:bidi="en-US"/>
        </w:rPr>
        <w:t xml:space="preserve">, in </w:t>
      </w:r>
      <w:r w:rsidRPr="00B77E6D">
        <w:rPr>
          <w:rFonts w:ascii="Garamond" w:eastAsia="Garamond" w:hAnsi="Garamond" w:cs="Garamond"/>
          <w:lang w:bidi="en-US"/>
        </w:rPr>
        <w:t>some cases</w:t>
      </w:r>
      <w:r>
        <w:rPr>
          <w:rFonts w:ascii="Garamond" w:eastAsia="Garamond" w:hAnsi="Garamond" w:cs="Garamond"/>
          <w:lang w:bidi="en-US"/>
        </w:rPr>
        <w:t>,</w:t>
      </w:r>
      <w:r w:rsidRPr="00B77E6D">
        <w:rPr>
          <w:rFonts w:ascii="Garamond" w:eastAsia="Garamond" w:hAnsi="Garamond" w:cs="Garamond"/>
          <w:lang w:bidi="en-US"/>
        </w:rPr>
        <w:t xml:space="preserve"> exceed Enterprise lease protections.</w:t>
      </w:r>
    </w:p>
    <w:p w14:paraId="6DF95327" w14:textId="7BB9F72A"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r w:rsidRPr="00B77E6D">
        <w:rPr>
          <w:rFonts w:ascii="Garamond" w:eastAsia="Garamond" w:hAnsi="Garamond" w:cs="Garamond"/>
          <w:lang w:bidi="en-US"/>
        </w:rPr>
        <w:lastRenderedPageBreak/>
        <w:t xml:space="preserve">Finally, the evidence is strong, based on consumer surveys, that consumers are very happy with their own community. Nationwide customer surveys show that 90 percent of homeowners living in land-lease communities are satisfied with their homes, and 87 percent would likely recommend a manufactured home to others. The great majority of communities are very well run and </w:t>
      </w:r>
      <w:r w:rsidR="00407F8B">
        <w:rPr>
          <w:rFonts w:ascii="Garamond" w:eastAsia="Garamond" w:hAnsi="Garamond" w:cs="Garamond"/>
          <w:lang w:bidi="en-US"/>
        </w:rPr>
        <w:t>full of occupants</w:t>
      </w:r>
      <w:r w:rsidR="00AA0221">
        <w:rPr>
          <w:rFonts w:ascii="Garamond" w:eastAsia="Garamond" w:hAnsi="Garamond" w:cs="Garamond"/>
          <w:lang w:bidi="en-US"/>
        </w:rPr>
        <w:t>,</w:t>
      </w:r>
      <w:r w:rsidRPr="00B77E6D">
        <w:rPr>
          <w:rFonts w:ascii="Garamond" w:eastAsia="Garamond" w:hAnsi="Garamond" w:cs="Garamond"/>
          <w:lang w:bidi="en-US"/>
        </w:rPr>
        <w:t xml:space="preserve"> further evidencing the demand for living in a quality community </w:t>
      </w:r>
      <w:r w:rsidR="00407F8B">
        <w:rPr>
          <w:rFonts w:ascii="Garamond" w:eastAsia="Garamond" w:hAnsi="Garamond" w:cs="Garamond"/>
          <w:lang w:bidi="en-US"/>
        </w:rPr>
        <w:t>that offers</w:t>
      </w:r>
      <w:r w:rsidRPr="00B77E6D">
        <w:rPr>
          <w:rFonts w:ascii="Garamond" w:eastAsia="Garamond" w:hAnsi="Garamond" w:cs="Garamond"/>
          <w:lang w:bidi="en-US"/>
        </w:rPr>
        <w:t xml:space="preserve"> real value.</w:t>
      </w:r>
    </w:p>
    <w:p w14:paraId="10F7FCFA" w14:textId="77777777"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5DE79E51" w14:textId="284BF0BC"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r w:rsidRPr="00B77E6D">
        <w:rPr>
          <w:rFonts w:ascii="Garamond" w:eastAsia="Garamond" w:hAnsi="Garamond" w:cs="Garamond"/>
          <w:lang w:bidi="en-US"/>
        </w:rPr>
        <w:t xml:space="preserve">It is critical to keep in mind that these strong Enterprise tenant protections are balanced, also </w:t>
      </w:r>
      <w:proofErr w:type="gramStart"/>
      <w:r w:rsidRPr="00B77E6D">
        <w:rPr>
          <w:rFonts w:ascii="Garamond" w:eastAsia="Garamond" w:hAnsi="Garamond" w:cs="Garamond"/>
          <w:lang w:bidi="en-US"/>
        </w:rPr>
        <w:t>taking into account</w:t>
      </w:r>
      <w:proofErr w:type="gramEnd"/>
      <w:r w:rsidRPr="00B77E6D">
        <w:rPr>
          <w:rFonts w:ascii="Garamond" w:eastAsia="Garamond" w:hAnsi="Garamond" w:cs="Garamond"/>
          <w:lang w:bidi="en-US"/>
        </w:rPr>
        <w:t xml:space="preserve"> the need for community owners to make a profit and to create incentives for investments in such communities. As with any landlord</w:t>
      </w:r>
      <w:r w:rsidR="00BC4FB9">
        <w:rPr>
          <w:rFonts w:ascii="Garamond" w:eastAsia="Garamond" w:hAnsi="Garamond" w:cs="Garamond"/>
          <w:lang w:bidi="en-US"/>
        </w:rPr>
        <w:t>-</w:t>
      </w:r>
      <w:r w:rsidRPr="00B77E6D">
        <w:rPr>
          <w:rFonts w:ascii="Garamond" w:eastAsia="Garamond" w:hAnsi="Garamond" w:cs="Garamond"/>
          <w:lang w:bidi="en-US"/>
        </w:rPr>
        <w:t>tenant relationship, the landlord must have rights to protect their financial interest if the tenant can no longer meet their financial obligations.</w:t>
      </w:r>
      <w:r>
        <w:rPr>
          <w:rFonts w:ascii="Garamond" w:eastAsia="Garamond" w:hAnsi="Garamond" w:cs="Garamond"/>
          <w:lang w:bidi="en-US"/>
        </w:rPr>
        <w:t xml:space="preserve"> </w:t>
      </w:r>
      <w:r w:rsidRPr="00B77E6D">
        <w:rPr>
          <w:rFonts w:ascii="Garamond" w:eastAsia="Garamond" w:hAnsi="Garamond" w:cs="Garamond"/>
          <w:lang w:bidi="en-US"/>
        </w:rPr>
        <w:t>This is particularly critical</w:t>
      </w:r>
      <w:r w:rsidR="005E4BDB">
        <w:rPr>
          <w:rFonts w:ascii="Garamond" w:eastAsia="Garamond" w:hAnsi="Garamond" w:cs="Garamond"/>
          <w:lang w:bidi="en-US"/>
        </w:rPr>
        <w:t xml:space="preserve"> because</w:t>
      </w:r>
      <w:r w:rsidRPr="00B77E6D">
        <w:rPr>
          <w:rFonts w:ascii="Garamond" w:eastAsia="Garamond" w:hAnsi="Garamond" w:cs="Garamond"/>
          <w:lang w:bidi="en-US"/>
        </w:rPr>
        <w:t xml:space="preserve"> many manufactured home communities are aging and in need of substantial infrastructure repairs to streets, water, </w:t>
      </w:r>
      <w:proofErr w:type="gramStart"/>
      <w:r w:rsidRPr="00B77E6D">
        <w:rPr>
          <w:rFonts w:ascii="Garamond" w:eastAsia="Garamond" w:hAnsi="Garamond" w:cs="Garamond"/>
          <w:lang w:bidi="en-US"/>
        </w:rPr>
        <w:t>sewer</w:t>
      </w:r>
      <w:proofErr w:type="gramEnd"/>
      <w:r w:rsidRPr="00B77E6D">
        <w:rPr>
          <w:rFonts w:ascii="Garamond" w:eastAsia="Garamond" w:hAnsi="Garamond" w:cs="Garamond"/>
          <w:lang w:bidi="en-US"/>
        </w:rPr>
        <w:t>, and other utilities. In some cases, longstanding Mom and Pop owners of older communities lack the financial resources to keep pace with needed infrastructure repairs.  New owners with the financial capability of buying the communities and completing infrastructure repair are needed</w:t>
      </w:r>
      <w:r w:rsidR="005E4BDB">
        <w:rPr>
          <w:rFonts w:ascii="Garamond" w:eastAsia="Garamond" w:hAnsi="Garamond" w:cs="Garamond"/>
          <w:lang w:bidi="en-US"/>
        </w:rPr>
        <w:t>—</w:t>
      </w:r>
      <w:r w:rsidRPr="00B77E6D">
        <w:rPr>
          <w:rFonts w:ascii="Garamond" w:eastAsia="Garamond" w:hAnsi="Garamond" w:cs="Garamond"/>
          <w:lang w:bidi="en-US"/>
        </w:rPr>
        <w:t xml:space="preserve">and Enterprise community loans have played a critical role in financing </w:t>
      </w:r>
      <w:r w:rsidR="005E4BDB">
        <w:rPr>
          <w:rFonts w:ascii="Garamond" w:eastAsia="Garamond" w:hAnsi="Garamond" w:cs="Garamond"/>
          <w:lang w:bidi="en-US"/>
        </w:rPr>
        <w:t>these</w:t>
      </w:r>
      <w:r w:rsidRPr="00B77E6D">
        <w:rPr>
          <w:rFonts w:ascii="Garamond" w:eastAsia="Garamond" w:hAnsi="Garamond" w:cs="Garamond"/>
          <w:lang w:bidi="en-US"/>
        </w:rPr>
        <w:t xml:space="preserve"> purchases and investments. This protects existing homeowners by safeguarding their safety</w:t>
      </w:r>
      <w:r w:rsidR="005E4BDB">
        <w:rPr>
          <w:rFonts w:ascii="Garamond" w:eastAsia="Garamond" w:hAnsi="Garamond" w:cs="Garamond"/>
          <w:lang w:bidi="en-US"/>
        </w:rPr>
        <w:t xml:space="preserve">, </w:t>
      </w:r>
      <w:r w:rsidRPr="00B77E6D">
        <w:rPr>
          <w:rFonts w:ascii="Garamond" w:eastAsia="Garamond" w:hAnsi="Garamond" w:cs="Garamond"/>
          <w:lang w:bidi="en-US"/>
        </w:rPr>
        <w:t>well-being</w:t>
      </w:r>
      <w:r w:rsidR="005E4BDB">
        <w:rPr>
          <w:rFonts w:ascii="Garamond" w:eastAsia="Garamond" w:hAnsi="Garamond" w:cs="Garamond"/>
          <w:lang w:bidi="en-US"/>
        </w:rPr>
        <w:t>, and financial investment</w:t>
      </w:r>
      <w:r w:rsidR="005B62AE">
        <w:rPr>
          <w:rFonts w:ascii="Garamond" w:eastAsia="Garamond" w:hAnsi="Garamond" w:cs="Garamond"/>
          <w:lang w:bidi="en-US"/>
        </w:rPr>
        <w:t xml:space="preserve"> while also keeping </w:t>
      </w:r>
      <w:r w:rsidRPr="00B77E6D">
        <w:rPr>
          <w:rFonts w:ascii="Garamond" w:eastAsia="Garamond" w:hAnsi="Garamond" w:cs="Garamond"/>
          <w:lang w:bidi="en-US"/>
        </w:rPr>
        <w:t xml:space="preserve">communities vibrant and </w:t>
      </w:r>
      <w:r w:rsidR="005B62AE">
        <w:rPr>
          <w:rFonts w:ascii="Garamond" w:eastAsia="Garamond" w:hAnsi="Garamond" w:cs="Garamond"/>
          <w:lang w:bidi="en-US"/>
        </w:rPr>
        <w:t xml:space="preserve">a </w:t>
      </w:r>
      <w:r w:rsidRPr="00B77E6D">
        <w:rPr>
          <w:rFonts w:ascii="Garamond" w:eastAsia="Garamond" w:hAnsi="Garamond" w:cs="Garamond"/>
          <w:lang w:bidi="en-US"/>
        </w:rPr>
        <w:t>good place to live.</w:t>
      </w:r>
    </w:p>
    <w:p w14:paraId="19B16690" w14:textId="77777777"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45B873AF" w14:textId="6DC7C034"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r w:rsidRPr="00B77E6D">
        <w:rPr>
          <w:rFonts w:ascii="Garamond" w:eastAsia="Garamond" w:hAnsi="Garamond" w:cs="Garamond"/>
          <w:lang w:bidi="en-US"/>
        </w:rPr>
        <w:t xml:space="preserve">However, upsetting the careful balancing of the current pad lease protections, </w:t>
      </w:r>
      <w:r w:rsidR="005B62AE">
        <w:rPr>
          <w:rFonts w:ascii="Garamond" w:eastAsia="Garamond" w:hAnsi="Garamond" w:cs="Garamond"/>
          <w:lang w:bidi="en-US"/>
        </w:rPr>
        <w:t>with</w:t>
      </w:r>
      <w:r w:rsidRPr="00B77E6D">
        <w:rPr>
          <w:rFonts w:ascii="Garamond" w:eastAsia="Garamond" w:hAnsi="Garamond" w:cs="Garamond"/>
          <w:lang w:bidi="en-US"/>
        </w:rPr>
        <w:t xml:space="preserve"> stricter requirements, could easily deter community owners from playing this critical role. If pad lease terms are not balanced, community owners will simply decide not to use Enterprise community loans. And the withdrawal of </w:t>
      </w:r>
      <w:r w:rsidR="005B62AE">
        <w:rPr>
          <w:rFonts w:ascii="Garamond" w:eastAsia="Garamond" w:hAnsi="Garamond" w:cs="Garamond"/>
          <w:lang w:bidi="en-US"/>
        </w:rPr>
        <w:t>this</w:t>
      </w:r>
      <w:r w:rsidRPr="00B77E6D">
        <w:rPr>
          <w:rFonts w:ascii="Garamond" w:eastAsia="Garamond" w:hAnsi="Garamond" w:cs="Garamond"/>
          <w:lang w:bidi="en-US"/>
        </w:rPr>
        <w:t xml:space="preserve"> financing will mean that many communities will no longer be modernized and updated. Any proposed requirements for pad lease terms should avoid unnecessary operational and property management interruption and ensure continued affordable housing opportunities for residents.  </w:t>
      </w:r>
    </w:p>
    <w:p w14:paraId="503AE474" w14:textId="77777777"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50C49B81" w14:textId="4E93A91A" w:rsidR="000C1CED" w:rsidRDefault="00DF7B24" w:rsidP="005B62AE">
      <w:pPr>
        <w:ind w:firstLine="720"/>
        <w:contextualSpacing/>
        <w:jc w:val="both"/>
        <w:rPr>
          <w:rFonts w:ascii="Garamond" w:eastAsia="Garamond" w:hAnsi="Garamond" w:cs="Garamond"/>
          <w:spacing w:val="-2"/>
          <w:lang w:bidi="en-US"/>
        </w:rPr>
      </w:pPr>
      <w:r>
        <w:rPr>
          <w:rFonts w:ascii="Garamond" w:eastAsia="Garamond" w:hAnsi="Garamond" w:cs="Garamond"/>
          <w:lang w:bidi="en-US"/>
        </w:rPr>
        <w:t xml:space="preserve">MHI shares in FHFA’s commitment to solving the affordable housing crisis in the country. </w:t>
      </w:r>
      <w:r w:rsidR="00B77E6D" w:rsidRPr="00B77E6D">
        <w:rPr>
          <w:rFonts w:ascii="Garamond" w:eastAsia="Garamond" w:hAnsi="Garamond" w:cs="Garamond"/>
          <w:lang w:bidi="en-US"/>
        </w:rPr>
        <w:t xml:space="preserve">MHI appreciates that FHFA does not appear to be considering heightening manufactured home community tenant pad lease protections as part of this review of multi-family loan tenant protections. And we urge caution and evidenced-based policymaking </w:t>
      </w:r>
      <w:r w:rsidR="005B62AE">
        <w:rPr>
          <w:rFonts w:ascii="Garamond" w:eastAsia="Garamond" w:hAnsi="Garamond" w:cs="Garamond"/>
          <w:lang w:bidi="en-US"/>
        </w:rPr>
        <w:t>for</w:t>
      </w:r>
      <w:r w:rsidR="00B77E6D" w:rsidRPr="00B77E6D">
        <w:rPr>
          <w:rFonts w:ascii="Garamond" w:eastAsia="Garamond" w:hAnsi="Garamond" w:cs="Garamond"/>
          <w:lang w:bidi="en-US"/>
        </w:rPr>
        <w:t xml:space="preserve"> any future review of existing manufactured home tenant lease pad protections.</w:t>
      </w:r>
      <w:r w:rsidR="00B77E6D" w:rsidRPr="00B77E6D">
        <w:rPr>
          <w:rFonts w:ascii="Garamond" w:eastAsia="Garamond" w:hAnsi="Garamond" w:cs="Garamond"/>
          <w:spacing w:val="-2"/>
          <w:lang w:bidi="en-US"/>
        </w:rPr>
        <w:t xml:space="preserve"> As </w:t>
      </w:r>
      <w:r w:rsidR="00B77E6D">
        <w:rPr>
          <w:rFonts w:ascii="Garamond" w:eastAsia="Garamond" w:hAnsi="Garamond" w:cs="Garamond"/>
          <w:spacing w:val="-2"/>
          <w:lang w:bidi="en-US"/>
        </w:rPr>
        <w:t>the FHFA</w:t>
      </w:r>
      <w:r w:rsidR="00B77E6D" w:rsidRPr="00B77E6D">
        <w:rPr>
          <w:rFonts w:ascii="Garamond" w:eastAsia="Garamond" w:hAnsi="Garamond" w:cs="Garamond"/>
          <w:spacing w:val="-2"/>
          <w:lang w:bidi="en-US"/>
        </w:rPr>
        <w:t xml:space="preserve"> finalizes </w:t>
      </w:r>
      <w:r w:rsidR="00B77E6D">
        <w:rPr>
          <w:rFonts w:ascii="Garamond" w:eastAsia="Garamond" w:hAnsi="Garamond" w:cs="Garamond"/>
          <w:spacing w:val="-2"/>
          <w:lang w:bidi="en-US"/>
        </w:rPr>
        <w:t xml:space="preserve">any </w:t>
      </w:r>
      <w:r w:rsidR="00B77E6D" w:rsidRPr="00B77E6D">
        <w:rPr>
          <w:rFonts w:ascii="Garamond" w:eastAsia="Garamond" w:hAnsi="Garamond" w:cs="Garamond"/>
          <w:spacing w:val="-2"/>
          <w:lang w:bidi="en-US"/>
        </w:rPr>
        <w:t>proposed rule</w:t>
      </w:r>
      <w:r w:rsidR="00B77E6D">
        <w:rPr>
          <w:rFonts w:ascii="Garamond" w:eastAsia="Garamond" w:hAnsi="Garamond" w:cs="Garamond"/>
          <w:spacing w:val="-2"/>
          <w:lang w:bidi="en-US"/>
        </w:rPr>
        <w:t xml:space="preserve"> regarding pad lease protections</w:t>
      </w:r>
      <w:r w:rsidR="00B77E6D" w:rsidRPr="00B77E6D">
        <w:rPr>
          <w:rFonts w:ascii="Garamond" w:eastAsia="Garamond" w:hAnsi="Garamond" w:cs="Garamond"/>
          <w:spacing w:val="-2"/>
          <w:lang w:bidi="en-US"/>
        </w:rPr>
        <w:t xml:space="preserve">, MHI respectfully requests consideration of our recommendations to increase affordable manufactured housing opportunities. </w:t>
      </w:r>
    </w:p>
    <w:p w14:paraId="2E275A98" w14:textId="77777777" w:rsidR="005B62AE" w:rsidRPr="005B62AE" w:rsidRDefault="005B62AE" w:rsidP="005B62AE">
      <w:pPr>
        <w:ind w:firstLine="720"/>
        <w:contextualSpacing/>
        <w:jc w:val="both"/>
        <w:rPr>
          <w:rFonts w:ascii="Garamond" w:eastAsia="Garamond" w:hAnsi="Garamond" w:cs="Garamond"/>
          <w:spacing w:val="-2"/>
          <w:lang w:bidi="en-US"/>
        </w:rPr>
      </w:pPr>
    </w:p>
    <w:p w14:paraId="0B1F747D" w14:textId="72A7E9F0" w:rsidR="000C1CED" w:rsidRPr="000C1CED" w:rsidRDefault="000C1CED" w:rsidP="000C1CED">
      <w:pPr>
        <w:widowControl w:val="0"/>
        <w:autoSpaceDE w:val="0"/>
        <w:autoSpaceDN w:val="0"/>
        <w:spacing w:after="0" w:line="240" w:lineRule="auto"/>
        <w:ind w:firstLine="720"/>
        <w:contextualSpacing/>
        <w:jc w:val="both"/>
        <w:rPr>
          <w:rFonts w:ascii="Garamond" w:eastAsia="Garamond" w:hAnsi="Garamond" w:cs="Garamond"/>
        </w:rPr>
      </w:pPr>
      <w:r w:rsidRPr="00B77E6D">
        <w:rPr>
          <w:rFonts w:ascii="Garamond" w:eastAsia="Garamond" w:hAnsi="Garamond" w:cs="Garamond"/>
          <w:lang w:bidi="en-US"/>
        </w:rPr>
        <w:t>MHI appreciates the opportunity to submit comments on this subject.</w:t>
      </w:r>
    </w:p>
    <w:p w14:paraId="7C7A1CBA" w14:textId="77777777" w:rsidR="00B77E6D" w:rsidRPr="00B77E6D" w:rsidRDefault="00B77E6D" w:rsidP="00B77E6D">
      <w:pPr>
        <w:widowControl w:val="0"/>
        <w:autoSpaceDE w:val="0"/>
        <w:autoSpaceDN w:val="0"/>
        <w:spacing w:after="0" w:line="240" w:lineRule="auto"/>
        <w:ind w:firstLine="720"/>
        <w:jc w:val="both"/>
        <w:rPr>
          <w:rFonts w:ascii="Garamond" w:eastAsia="Garamond" w:hAnsi="Garamond" w:cs="Garamond"/>
          <w:spacing w:val="-2"/>
          <w:lang w:bidi="en-US"/>
        </w:rPr>
      </w:pPr>
    </w:p>
    <w:p w14:paraId="73AD08EC" w14:textId="77777777" w:rsidR="00B77E6D" w:rsidRPr="00B77E6D" w:rsidRDefault="00B77E6D" w:rsidP="00B77E6D">
      <w:pPr>
        <w:widowControl w:val="0"/>
        <w:autoSpaceDE w:val="0"/>
        <w:autoSpaceDN w:val="0"/>
        <w:spacing w:after="0" w:line="240" w:lineRule="auto"/>
        <w:rPr>
          <w:rFonts w:ascii="Garamond" w:eastAsia="Garamond" w:hAnsi="Garamond" w:cs="Garamond"/>
          <w:lang w:bidi="en-US"/>
        </w:rPr>
      </w:pPr>
      <w:r w:rsidRPr="00B77E6D">
        <w:rPr>
          <w:rFonts w:ascii="Garamond" w:eastAsia="Garamond" w:hAnsi="Garamond" w:cs="Garamond"/>
          <w:noProof/>
          <w:lang w:bidi="en-US"/>
        </w:rPr>
        <w:drawing>
          <wp:anchor distT="0" distB="0" distL="0" distR="0" simplePos="0" relativeHeight="251659264" behindDoc="0" locked="0" layoutInCell="1" allowOverlap="1" wp14:anchorId="1A887C70" wp14:editId="011AA2FE">
            <wp:simplePos x="0" y="0"/>
            <wp:positionH relativeFrom="page">
              <wp:posOffset>838200</wp:posOffset>
            </wp:positionH>
            <wp:positionV relativeFrom="paragraph">
              <wp:posOffset>252095</wp:posOffset>
            </wp:positionV>
            <wp:extent cx="1876425" cy="320040"/>
            <wp:effectExtent l="0" t="0" r="9525" b="3810"/>
            <wp:wrapTopAndBottom/>
            <wp:docPr id="3" name="image2.png"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10;&#10;Description automatically generated with low confidence"/>
                    <pic:cNvPicPr/>
                  </pic:nvPicPr>
                  <pic:blipFill>
                    <a:blip r:embed="rId8" cstate="print"/>
                    <a:stretch>
                      <a:fillRect/>
                    </a:stretch>
                  </pic:blipFill>
                  <pic:spPr>
                    <a:xfrm>
                      <a:off x="0" y="0"/>
                      <a:ext cx="1876425" cy="320040"/>
                    </a:xfrm>
                    <a:prstGeom prst="rect">
                      <a:avLst/>
                    </a:prstGeom>
                  </pic:spPr>
                </pic:pic>
              </a:graphicData>
            </a:graphic>
            <wp14:sizeRelH relativeFrom="margin">
              <wp14:pctWidth>0</wp14:pctWidth>
            </wp14:sizeRelH>
            <wp14:sizeRelV relativeFrom="margin">
              <wp14:pctHeight>0</wp14:pctHeight>
            </wp14:sizeRelV>
          </wp:anchor>
        </w:drawing>
      </w:r>
      <w:r w:rsidRPr="00B77E6D">
        <w:rPr>
          <w:rFonts w:ascii="Garamond" w:eastAsia="Garamond" w:hAnsi="Garamond" w:cs="Garamond"/>
          <w:spacing w:val="-2"/>
          <w:lang w:bidi="en-US"/>
        </w:rPr>
        <w:t>Sincerely,</w:t>
      </w:r>
    </w:p>
    <w:p w14:paraId="503C4197" w14:textId="77777777" w:rsidR="00B77E6D" w:rsidRPr="00B77E6D" w:rsidRDefault="00B77E6D" w:rsidP="00B77E6D">
      <w:pPr>
        <w:widowControl w:val="0"/>
        <w:autoSpaceDE w:val="0"/>
        <w:autoSpaceDN w:val="0"/>
        <w:spacing w:after="0" w:line="240" w:lineRule="auto"/>
        <w:rPr>
          <w:rFonts w:ascii="Garamond" w:eastAsia="Garamond" w:hAnsi="Garamond" w:cs="Garamond"/>
          <w:lang w:bidi="en-US"/>
        </w:rPr>
      </w:pPr>
    </w:p>
    <w:p w14:paraId="32AD2170" w14:textId="77777777" w:rsidR="00B77E6D" w:rsidRPr="00B77E6D" w:rsidRDefault="00B77E6D" w:rsidP="00B77E6D">
      <w:pPr>
        <w:widowControl w:val="0"/>
        <w:autoSpaceDE w:val="0"/>
        <w:autoSpaceDN w:val="0"/>
        <w:spacing w:after="0" w:line="240" w:lineRule="auto"/>
        <w:rPr>
          <w:rFonts w:ascii="Garamond" w:eastAsia="Garamond" w:hAnsi="Garamond" w:cs="Garamond"/>
          <w:lang w:bidi="en-US"/>
        </w:rPr>
      </w:pPr>
      <w:r w:rsidRPr="00B77E6D">
        <w:rPr>
          <w:rFonts w:ascii="Garamond" w:eastAsia="Garamond" w:hAnsi="Garamond" w:cs="Garamond"/>
          <w:lang w:bidi="en-US"/>
        </w:rPr>
        <w:t>Lesli</w:t>
      </w:r>
      <w:r w:rsidRPr="00B77E6D">
        <w:rPr>
          <w:rFonts w:ascii="Garamond" w:eastAsia="Garamond" w:hAnsi="Garamond" w:cs="Garamond"/>
          <w:spacing w:val="-4"/>
          <w:lang w:bidi="en-US"/>
        </w:rPr>
        <w:t xml:space="preserve"> </w:t>
      </w:r>
      <w:r w:rsidRPr="00B77E6D">
        <w:rPr>
          <w:rFonts w:ascii="Garamond" w:eastAsia="Garamond" w:hAnsi="Garamond" w:cs="Garamond"/>
          <w:lang w:bidi="en-US"/>
        </w:rPr>
        <w:t>Gooch,</w:t>
      </w:r>
      <w:r w:rsidRPr="00B77E6D">
        <w:rPr>
          <w:rFonts w:ascii="Garamond" w:eastAsia="Garamond" w:hAnsi="Garamond" w:cs="Garamond"/>
          <w:spacing w:val="-4"/>
          <w:lang w:bidi="en-US"/>
        </w:rPr>
        <w:t xml:space="preserve"> </w:t>
      </w:r>
      <w:r w:rsidRPr="00B77E6D">
        <w:rPr>
          <w:rFonts w:ascii="Garamond" w:eastAsia="Garamond" w:hAnsi="Garamond" w:cs="Garamond"/>
          <w:spacing w:val="-2"/>
          <w:lang w:bidi="en-US"/>
        </w:rPr>
        <w:t>Ph.D.</w:t>
      </w:r>
    </w:p>
    <w:p w14:paraId="36E88886" w14:textId="77777777" w:rsidR="00B77E6D" w:rsidRPr="00B77E6D" w:rsidRDefault="00B77E6D" w:rsidP="00B77E6D">
      <w:pPr>
        <w:widowControl w:val="0"/>
        <w:autoSpaceDE w:val="0"/>
        <w:autoSpaceDN w:val="0"/>
        <w:spacing w:after="0" w:line="240" w:lineRule="auto"/>
        <w:rPr>
          <w:rFonts w:ascii="Garamond" w:eastAsia="Garamond" w:hAnsi="Garamond" w:cs="Garamond"/>
          <w:lang w:bidi="en-US"/>
        </w:rPr>
      </w:pPr>
      <w:r w:rsidRPr="00B77E6D">
        <w:rPr>
          <w:rFonts w:ascii="Garamond" w:eastAsia="Garamond" w:hAnsi="Garamond" w:cs="Garamond"/>
          <w:lang w:bidi="en-US"/>
        </w:rPr>
        <w:t>Chief Executive Officer</w:t>
      </w:r>
    </w:p>
    <w:p w14:paraId="19464AEB" w14:textId="11CA576C" w:rsidR="00B77E6D" w:rsidRPr="00B77E6D" w:rsidRDefault="00B77E6D" w:rsidP="00B77E6D">
      <w:pPr>
        <w:widowControl w:val="0"/>
        <w:autoSpaceDE w:val="0"/>
        <w:autoSpaceDN w:val="0"/>
        <w:spacing w:after="0" w:line="240" w:lineRule="auto"/>
        <w:ind w:firstLine="720"/>
        <w:jc w:val="both"/>
        <w:rPr>
          <w:rFonts w:ascii="Garamond" w:eastAsia="Garamond" w:hAnsi="Garamond" w:cs="Garamond"/>
          <w:lang w:bidi="en-US"/>
        </w:rPr>
      </w:pPr>
    </w:p>
    <w:p w14:paraId="663C7E0F" w14:textId="31954380" w:rsidR="003A7569" w:rsidRPr="008710E7" w:rsidRDefault="003A7569" w:rsidP="00D61230">
      <w:pPr>
        <w:autoSpaceDE w:val="0"/>
        <w:autoSpaceDN w:val="0"/>
        <w:adjustRightInd w:val="0"/>
        <w:spacing w:after="0" w:line="240" w:lineRule="auto"/>
        <w:jc w:val="both"/>
      </w:pPr>
    </w:p>
    <w:sectPr w:rsidR="003A7569" w:rsidRPr="008710E7" w:rsidSect="00E00E4A">
      <w:headerReference w:type="default" r:id="rId9"/>
      <w:headerReference w:type="first" r:id="rId10"/>
      <w:footerReference w:type="first" r:id="rId11"/>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2E80" w14:textId="77777777" w:rsidR="00ED552E" w:rsidRDefault="00ED552E" w:rsidP="008C32DF">
      <w:pPr>
        <w:spacing w:after="0" w:line="240" w:lineRule="auto"/>
      </w:pPr>
      <w:r>
        <w:separator/>
      </w:r>
    </w:p>
  </w:endnote>
  <w:endnote w:type="continuationSeparator" w:id="0">
    <w:p w14:paraId="2CFC6918" w14:textId="77777777" w:rsidR="00ED552E" w:rsidRDefault="00ED552E" w:rsidP="008C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6306" w14:textId="77777777" w:rsidR="00E52A81" w:rsidRPr="00E52A81" w:rsidRDefault="00F70B3E" w:rsidP="00E52A81">
    <w:pPr>
      <w:pStyle w:val="Noparagraphstyle"/>
      <w:jc w:val="center"/>
      <w:rPr>
        <w:rStyle w:val="CharacterStyle1"/>
        <w:rFonts w:ascii="Garamond" w:hAnsi="Garamond" w:cs="Arial"/>
        <w:color w:val="404040" w:themeColor="text1" w:themeTint="BF"/>
        <w:sz w:val="20"/>
        <w:szCs w:val="18"/>
      </w:rPr>
    </w:pPr>
    <w:r w:rsidRPr="00E52A81">
      <w:rPr>
        <w:rStyle w:val="CharacterStyle1"/>
        <w:rFonts w:ascii="Garamond" w:hAnsi="Garamond" w:cs="Arial"/>
        <w:color w:val="404040" w:themeColor="text1" w:themeTint="BF"/>
        <w:sz w:val="20"/>
        <w:szCs w:val="18"/>
      </w:rPr>
      <w:t>1655 Fort Myer Drive, Suite 200, Arlington, VA 22209</w:t>
    </w:r>
  </w:p>
  <w:p w14:paraId="68E4A230" w14:textId="77777777" w:rsidR="00E52A81" w:rsidRPr="00E52A81" w:rsidRDefault="00F70B3E" w:rsidP="00E52A81">
    <w:pPr>
      <w:pStyle w:val="Noparagraphstyle"/>
      <w:jc w:val="center"/>
      <w:rPr>
        <w:rStyle w:val="CharacterStyle1"/>
        <w:rFonts w:ascii="Garamond" w:hAnsi="Garamond" w:cs="Arial"/>
        <w:color w:val="404040" w:themeColor="text1" w:themeTint="BF"/>
        <w:sz w:val="20"/>
        <w:szCs w:val="18"/>
      </w:rPr>
    </w:pPr>
    <w:r>
      <w:rPr>
        <w:rStyle w:val="CharacterStyle1"/>
        <w:rFonts w:ascii="Garamond" w:hAnsi="Garamond" w:cs="Arial"/>
        <w:color w:val="404040" w:themeColor="text1" w:themeTint="BF"/>
        <w:sz w:val="20"/>
        <w:szCs w:val="18"/>
      </w:rPr>
      <w:t xml:space="preserve">(703) </w:t>
    </w:r>
    <w:r w:rsidRPr="00E52A81">
      <w:rPr>
        <w:rStyle w:val="CharacterStyle1"/>
        <w:rFonts w:ascii="Garamond" w:hAnsi="Garamond" w:cs="Arial"/>
        <w:color w:val="404040" w:themeColor="text1" w:themeTint="BF"/>
        <w:sz w:val="20"/>
        <w:szCs w:val="18"/>
      </w:rPr>
      <w:t>558-0400 | info@mfghome.org</w:t>
    </w:r>
  </w:p>
  <w:p w14:paraId="262EF071" w14:textId="77777777" w:rsidR="00E52A81" w:rsidRPr="00E52A81" w:rsidRDefault="00F70B3E" w:rsidP="00E52A81">
    <w:pPr>
      <w:pStyle w:val="Footer"/>
      <w:jc w:val="center"/>
      <w:rPr>
        <w:rFonts w:ascii="Garamond" w:hAnsi="Garamond" w:cs="Arial"/>
        <w:color w:val="404040" w:themeColor="text1" w:themeTint="BF"/>
        <w:sz w:val="20"/>
        <w:szCs w:val="18"/>
      </w:rPr>
    </w:pPr>
    <w:r>
      <w:rPr>
        <w:rStyle w:val="CharacterStyle1"/>
        <w:rFonts w:ascii="Garamond" w:hAnsi="Garamond" w:cs="Arial"/>
        <w:color w:val="404040" w:themeColor="text1" w:themeTint="BF"/>
        <w:sz w:val="20"/>
        <w:szCs w:val="18"/>
      </w:rPr>
      <w:t>www.manufacturedhousing.org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FB59" w14:textId="77777777" w:rsidR="00ED552E" w:rsidRDefault="00ED552E" w:rsidP="008C32DF">
      <w:pPr>
        <w:spacing w:after="0" w:line="240" w:lineRule="auto"/>
      </w:pPr>
      <w:r>
        <w:separator/>
      </w:r>
    </w:p>
  </w:footnote>
  <w:footnote w:type="continuationSeparator" w:id="0">
    <w:p w14:paraId="78CFEFA5" w14:textId="77777777" w:rsidR="00ED552E" w:rsidRDefault="00ED552E" w:rsidP="008C3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DD94" w14:textId="77777777" w:rsidR="00E52A81" w:rsidRPr="00E00E4A" w:rsidRDefault="00F70B3E" w:rsidP="00E52A81">
    <w:pPr>
      <w:pStyle w:val="Header"/>
      <w:rPr>
        <w:rFonts w:ascii="Garamond" w:hAnsi="Garamond"/>
        <w:sz w:val="20"/>
        <w:szCs w:val="20"/>
      </w:rPr>
    </w:pPr>
    <w:r w:rsidRPr="00E00E4A">
      <w:rPr>
        <w:rFonts w:ascii="Garamond" w:hAnsi="Garamond"/>
        <w:sz w:val="20"/>
        <w:szCs w:val="20"/>
      </w:rPr>
      <w:t xml:space="preserve">Page </w:t>
    </w:r>
    <w:sdt>
      <w:sdtPr>
        <w:rPr>
          <w:rFonts w:ascii="Garamond" w:hAnsi="Garamond"/>
          <w:sz w:val="20"/>
          <w:szCs w:val="20"/>
        </w:rPr>
        <w:id w:val="172153090"/>
        <w:docPartObj>
          <w:docPartGallery w:val="Page Numbers (Top of Page)"/>
          <w:docPartUnique/>
        </w:docPartObj>
      </w:sdtPr>
      <w:sdtEndPr>
        <w:rPr>
          <w:noProof/>
        </w:rPr>
      </w:sdtEndPr>
      <w:sdtContent>
        <w:r w:rsidRPr="00E00E4A">
          <w:rPr>
            <w:rFonts w:ascii="Garamond" w:hAnsi="Garamond"/>
            <w:sz w:val="20"/>
            <w:szCs w:val="20"/>
          </w:rPr>
          <w:fldChar w:fldCharType="begin"/>
        </w:r>
        <w:r w:rsidRPr="00E00E4A">
          <w:rPr>
            <w:rFonts w:ascii="Garamond" w:hAnsi="Garamond"/>
            <w:sz w:val="20"/>
            <w:szCs w:val="20"/>
          </w:rPr>
          <w:instrText xml:space="preserve"> PAGE   \* MERGEFORMAT </w:instrText>
        </w:r>
        <w:r w:rsidRPr="00E00E4A">
          <w:rPr>
            <w:rFonts w:ascii="Garamond" w:hAnsi="Garamond"/>
            <w:sz w:val="20"/>
            <w:szCs w:val="20"/>
          </w:rPr>
          <w:fldChar w:fldCharType="separate"/>
        </w:r>
        <w:r w:rsidRPr="00E00E4A">
          <w:rPr>
            <w:rFonts w:ascii="Garamond" w:hAnsi="Garamond"/>
            <w:sz w:val="20"/>
            <w:szCs w:val="20"/>
          </w:rPr>
          <w:t>2</w:t>
        </w:r>
        <w:r w:rsidRPr="00E00E4A">
          <w:rPr>
            <w:rFonts w:ascii="Garamond" w:hAnsi="Garamond"/>
            <w:noProof/>
            <w:sz w:val="20"/>
            <w:szCs w:val="20"/>
          </w:rPr>
          <w:fldChar w:fldCharType="end"/>
        </w:r>
      </w:sdtContent>
    </w:sdt>
  </w:p>
  <w:p w14:paraId="22103735" w14:textId="088578C3" w:rsidR="00E52A81" w:rsidRPr="00E00E4A" w:rsidRDefault="000E0E38" w:rsidP="000E0E38">
    <w:pPr>
      <w:pStyle w:val="BodyText"/>
      <w:spacing w:after="0" w:line="240" w:lineRule="auto"/>
      <w:ind w:left="14" w:right="14"/>
      <w:rPr>
        <w:rFonts w:ascii="Garamond" w:hAnsi="Garamond"/>
        <w:spacing w:val="-1"/>
        <w:sz w:val="20"/>
        <w:szCs w:val="20"/>
      </w:rPr>
    </w:pPr>
    <w:r>
      <w:rPr>
        <w:rFonts w:ascii="Garamond" w:hAnsi="Garamond"/>
        <w:spacing w:val="-1"/>
        <w:sz w:val="20"/>
        <w:szCs w:val="20"/>
      </w:rPr>
      <w:t>Comments</w:t>
    </w:r>
    <w:r w:rsidR="00F70B3E" w:rsidRPr="00E00E4A">
      <w:rPr>
        <w:rFonts w:ascii="Garamond" w:hAnsi="Garamond"/>
        <w:spacing w:val="-6"/>
        <w:sz w:val="20"/>
        <w:szCs w:val="20"/>
      </w:rPr>
      <w:t xml:space="preserve"> </w:t>
    </w:r>
    <w:r w:rsidR="00F70B3E" w:rsidRPr="00E00E4A">
      <w:rPr>
        <w:rFonts w:ascii="Garamond" w:hAnsi="Garamond"/>
        <w:spacing w:val="-1"/>
        <w:sz w:val="20"/>
        <w:szCs w:val="20"/>
      </w:rPr>
      <w:t>by</w:t>
    </w:r>
    <w:r w:rsidR="00F70B3E" w:rsidRPr="00E00E4A">
      <w:rPr>
        <w:rFonts w:ascii="Garamond" w:hAnsi="Garamond"/>
        <w:spacing w:val="-5"/>
        <w:sz w:val="20"/>
        <w:szCs w:val="20"/>
      </w:rPr>
      <w:t xml:space="preserve"> </w:t>
    </w:r>
    <w:r w:rsidR="00F70B3E" w:rsidRPr="00E00E4A">
      <w:rPr>
        <w:rFonts w:ascii="Garamond" w:hAnsi="Garamond"/>
        <w:sz w:val="20"/>
        <w:szCs w:val="20"/>
      </w:rPr>
      <w:t>the</w:t>
    </w:r>
    <w:r w:rsidR="00F70B3E" w:rsidRPr="00E00E4A">
      <w:rPr>
        <w:rFonts w:ascii="Garamond" w:hAnsi="Garamond"/>
        <w:spacing w:val="-5"/>
        <w:sz w:val="20"/>
        <w:szCs w:val="20"/>
      </w:rPr>
      <w:t xml:space="preserve"> </w:t>
    </w:r>
    <w:r w:rsidR="00F70B3E" w:rsidRPr="00E00E4A">
      <w:rPr>
        <w:rFonts w:ascii="Garamond" w:hAnsi="Garamond"/>
        <w:spacing w:val="-1"/>
        <w:sz w:val="20"/>
        <w:szCs w:val="20"/>
      </w:rPr>
      <w:t>Manufactured</w:t>
    </w:r>
    <w:r w:rsidR="00F70B3E" w:rsidRPr="00E00E4A">
      <w:rPr>
        <w:rFonts w:ascii="Garamond" w:hAnsi="Garamond"/>
        <w:spacing w:val="-5"/>
        <w:sz w:val="20"/>
        <w:szCs w:val="20"/>
      </w:rPr>
      <w:t xml:space="preserve"> </w:t>
    </w:r>
    <w:r w:rsidR="00F70B3E" w:rsidRPr="00E00E4A">
      <w:rPr>
        <w:rFonts w:ascii="Garamond" w:hAnsi="Garamond"/>
        <w:spacing w:val="-1"/>
        <w:sz w:val="20"/>
        <w:szCs w:val="20"/>
      </w:rPr>
      <w:t>Housing</w:t>
    </w:r>
    <w:r w:rsidR="00F70B3E" w:rsidRPr="00E00E4A">
      <w:rPr>
        <w:rFonts w:ascii="Garamond" w:hAnsi="Garamond"/>
        <w:spacing w:val="-5"/>
        <w:sz w:val="20"/>
        <w:szCs w:val="20"/>
      </w:rPr>
      <w:t xml:space="preserve"> </w:t>
    </w:r>
    <w:r w:rsidR="00F70B3E" w:rsidRPr="00E00E4A">
      <w:rPr>
        <w:rFonts w:ascii="Garamond" w:hAnsi="Garamond"/>
        <w:spacing w:val="-1"/>
        <w:sz w:val="20"/>
        <w:szCs w:val="20"/>
      </w:rPr>
      <w:t>Institute</w:t>
    </w:r>
    <w:r w:rsidR="00F70B3E" w:rsidRPr="00E00E4A">
      <w:rPr>
        <w:rFonts w:ascii="Garamond" w:hAnsi="Garamond"/>
        <w:spacing w:val="51"/>
        <w:w w:val="99"/>
        <w:sz w:val="20"/>
        <w:szCs w:val="20"/>
      </w:rPr>
      <w:t xml:space="preserve"> </w:t>
    </w:r>
  </w:p>
  <w:p w14:paraId="6322A7D2" w14:textId="57611B55" w:rsidR="00E52A81" w:rsidRPr="00E00E4A" w:rsidRDefault="00F70B3E" w:rsidP="000E0E38">
    <w:pPr>
      <w:pStyle w:val="BodyText"/>
      <w:spacing w:after="0" w:line="240" w:lineRule="auto"/>
      <w:ind w:left="14" w:right="14"/>
      <w:rPr>
        <w:rFonts w:ascii="Garamond" w:hAnsi="Garamond"/>
        <w:spacing w:val="-1"/>
        <w:sz w:val="20"/>
        <w:szCs w:val="20"/>
      </w:rPr>
    </w:pPr>
    <w:r w:rsidRPr="00E00E4A">
      <w:rPr>
        <w:rFonts w:ascii="Garamond" w:hAnsi="Garamond"/>
        <w:spacing w:val="-1"/>
        <w:sz w:val="20"/>
        <w:szCs w:val="20"/>
      </w:rPr>
      <w:fldChar w:fldCharType="begin"/>
    </w:r>
    <w:r w:rsidRPr="00E00E4A">
      <w:rPr>
        <w:rFonts w:ascii="Garamond" w:hAnsi="Garamond"/>
        <w:spacing w:val="-1"/>
        <w:sz w:val="20"/>
        <w:szCs w:val="20"/>
      </w:rPr>
      <w:instrText xml:space="preserve"> DATE \@ "MMMM d, yyyy" </w:instrText>
    </w:r>
    <w:r w:rsidRPr="00E00E4A">
      <w:rPr>
        <w:rFonts w:ascii="Garamond" w:hAnsi="Garamond"/>
        <w:spacing w:val="-1"/>
        <w:sz w:val="20"/>
        <w:szCs w:val="20"/>
      </w:rPr>
      <w:fldChar w:fldCharType="separate"/>
    </w:r>
    <w:r w:rsidR="00E46CD0">
      <w:rPr>
        <w:rFonts w:ascii="Garamond" w:hAnsi="Garamond"/>
        <w:noProof/>
        <w:spacing w:val="-1"/>
        <w:sz w:val="20"/>
        <w:szCs w:val="20"/>
      </w:rPr>
      <w:t>July 31, 2023</w:t>
    </w:r>
    <w:r w:rsidRPr="00E00E4A">
      <w:rPr>
        <w:rFonts w:ascii="Garamond" w:hAnsi="Garamond"/>
        <w:spacing w:val="-1"/>
        <w:sz w:val="20"/>
        <w:szCs w:val="20"/>
      </w:rPr>
      <w:fldChar w:fldCharType="end"/>
    </w:r>
  </w:p>
  <w:p w14:paraId="438D0CA3" w14:textId="77777777" w:rsidR="00C73A21" w:rsidRDefault="00E46C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4827" w14:textId="77777777" w:rsidR="00E52A81" w:rsidRDefault="00F70B3E">
    <w:pPr>
      <w:pStyle w:val="Header"/>
    </w:pPr>
    <w:r w:rsidRPr="00E52A81">
      <w:rPr>
        <w:noProof/>
      </w:rPr>
      <mc:AlternateContent>
        <mc:Choice Requires="wps">
          <w:drawing>
            <wp:anchor distT="0" distB="0" distL="114300" distR="114300" simplePos="0" relativeHeight="251659264" behindDoc="0" locked="0" layoutInCell="1" allowOverlap="1" wp14:anchorId="11E09E55" wp14:editId="7126DC59">
              <wp:simplePos x="0" y="0"/>
              <wp:positionH relativeFrom="column">
                <wp:posOffset>-137795</wp:posOffset>
              </wp:positionH>
              <wp:positionV relativeFrom="paragraph">
                <wp:posOffset>-457200</wp:posOffset>
              </wp:positionV>
              <wp:extent cx="6250305" cy="45720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457200"/>
                      </a:xfrm>
                      <a:prstGeom prst="rect">
                        <a:avLst/>
                      </a:prstGeom>
                      <a:solidFill>
                        <a:srgbClr val="733983"/>
                      </a:solidFill>
                      <a:ln>
                        <a:noFill/>
                      </a:ln>
                    </wps:spPr>
                    <wps:bodyPr rot="0" vert="horz" wrap="square" lIns="91440" tIns="45720" rIns="91440" bIns="45720" anchor="t" anchorCtr="0" upright="1">
                      <a:noAutofit/>
                    </wps:bodyPr>
                  </wps:wsp>
                </a:graphicData>
              </a:graphic>
            </wp:anchor>
          </w:drawing>
        </mc:Choice>
        <mc:Fallback>
          <w:pict>
            <v:rect w14:anchorId="083900FC" id="Rectangle 37" o:spid="_x0000_s1026" style="position:absolute;margin-left:-10.85pt;margin-top:-36pt;width:492.1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" fillcolor="#733983" stroked="f"/>
          </w:pict>
        </mc:Fallback>
      </mc:AlternateContent>
    </w:r>
    <w:r w:rsidRPr="00E52A81">
      <w:rPr>
        <w:noProof/>
      </w:rPr>
      <mc:AlternateContent>
        <mc:Choice Requires="wps">
          <w:drawing>
            <wp:anchor distT="0" distB="0" distL="114300" distR="114300" simplePos="0" relativeHeight="251660288" behindDoc="0" locked="0" layoutInCell="1" allowOverlap="1" wp14:anchorId="7AE02862" wp14:editId="047A20BB">
              <wp:simplePos x="0" y="0"/>
              <wp:positionH relativeFrom="column">
                <wp:posOffset>-904875</wp:posOffset>
              </wp:positionH>
              <wp:positionV relativeFrom="paragraph">
                <wp:posOffset>-457200</wp:posOffset>
              </wp:positionV>
              <wp:extent cx="680720" cy="457200"/>
              <wp:effectExtent l="0" t="0" r="508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457200"/>
                      </a:xfrm>
                      <a:prstGeom prst="rect">
                        <a:avLst/>
                      </a:prstGeom>
                      <a:solidFill>
                        <a:srgbClr val="105A4B"/>
                      </a:solidFill>
                      <a:ln>
                        <a:noFill/>
                      </a:ln>
                    </wps:spPr>
                    <wps:bodyPr rot="0" vert="horz" wrap="square" lIns="91440" tIns="45720" rIns="91440" bIns="45720" anchor="t" anchorCtr="0" upright="1">
                      <a:noAutofit/>
                    </wps:bodyPr>
                  </wps:wsp>
                </a:graphicData>
              </a:graphic>
            </wp:anchor>
          </w:drawing>
        </mc:Choice>
        <mc:Fallback>
          <w:pict>
            <v:rect w14:anchorId="518F7034" id="Rectangle 38" o:spid="_x0000_s1026" style="position:absolute;margin-left:-71.25pt;margin-top:-36pt;width:53.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" fillcolor="#105a4b" stroked="f"/>
          </w:pict>
        </mc:Fallback>
      </mc:AlternateContent>
    </w:r>
    <w:r w:rsidRPr="00E52A81">
      <w:rPr>
        <w:noProof/>
      </w:rPr>
      <mc:AlternateContent>
        <mc:Choice Requires="wps">
          <w:drawing>
            <wp:anchor distT="0" distB="0" distL="114300" distR="114300" simplePos="0" relativeHeight="251661312" behindDoc="0" locked="0" layoutInCell="1" allowOverlap="1" wp14:anchorId="5C46536A" wp14:editId="10FAED2A">
              <wp:simplePos x="0" y="0"/>
              <wp:positionH relativeFrom="column">
                <wp:posOffset>6182360</wp:posOffset>
              </wp:positionH>
              <wp:positionV relativeFrom="paragraph">
                <wp:posOffset>-457200</wp:posOffset>
              </wp:positionV>
              <wp:extent cx="680720" cy="457200"/>
              <wp:effectExtent l="0" t="0" r="508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457200"/>
                      </a:xfrm>
                      <a:prstGeom prst="rect">
                        <a:avLst/>
                      </a:prstGeom>
                      <a:solidFill>
                        <a:srgbClr val="105A4B"/>
                      </a:solidFill>
                      <a:ln>
                        <a:noFill/>
                      </a:ln>
                    </wps:spPr>
                    <wps:bodyPr rot="0" vert="horz" wrap="square" lIns="91440" tIns="45720" rIns="91440" bIns="45720" anchor="t" anchorCtr="0" upright="1">
                      <a:noAutofit/>
                    </wps:bodyPr>
                  </wps:wsp>
                </a:graphicData>
              </a:graphic>
            </wp:anchor>
          </w:drawing>
        </mc:Choice>
        <mc:Fallback>
          <w:pict>
            <v:rect w14:anchorId="18533B57" id="Rectangle 39" o:spid="_x0000_s1026" style="position:absolute;margin-left:486.8pt;margin-top:-36pt;width:5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" fillcolor="#105a4b" stroked="f"/>
          </w:pict>
        </mc:Fallback>
      </mc:AlternateContent>
    </w:r>
    <w:r w:rsidRPr="00E52A81">
      <w:rPr>
        <w:noProof/>
      </w:rPr>
      <w:drawing>
        <wp:anchor distT="0" distB="0" distL="114300" distR="114300" simplePos="0" relativeHeight="251662336" behindDoc="0" locked="0" layoutInCell="1" allowOverlap="1" wp14:anchorId="05692E11" wp14:editId="2F18F26E">
          <wp:simplePos x="0" y="0"/>
          <wp:positionH relativeFrom="column">
            <wp:posOffset>4215765</wp:posOffset>
          </wp:positionH>
          <wp:positionV relativeFrom="paragraph">
            <wp:posOffset>173990</wp:posOffset>
          </wp:positionV>
          <wp:extent cx="1833880" cy="7315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3880"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73A9"/>
    <w:multiLevelType w:val="hybridMultilevel"/>
    <w:tmpl w:val="FB94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31330"/>
    <w:multiLevelType w:val="hybridMultilevel"/>
    <w:tmpl w:val="74A08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742A6"/>
    <w:multiLevelType w:val="hybridMultilevel"/>
    <w:tmpl w:val="17B83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C747E"/>
    <w:multiLevelType w:val="hybridMultilevel"/>
    <w:tmpl w:val="39ACF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F779C"/>
    <w:multiLevelType w:val="hybridMultilevel"/>
    <w:tmpl w:val="FC14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752014">
    <w:abstractNumId w:val="4"/>
  </w:num>
  <w:num w:numId="2" w16cid:durableId="6828524">
    <w:abstractNumId w:val="1"/>
  </w:num>
  <w:num w:numId="3" w16cid:durableId="1655065818">
    <w:abstractNumId w:val="0"/>
  </w:num>
  <w:num w:numId="4" w16cid:durableId="1102067595">
    <w:abstractNumId w:val="3"/>
  </w:num>
  <w:num w:numId="5" w16cid:durableId="1974168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BC"/>
    <w:rsid w:val="0000551E"/>
    <w:rsid w:val="00022818"/>
    <w:rsid w:val="00024F24"/>
    <w:rsid w:val="00034A09"/>
    <w:rsid w:val="000512A3"/>
    <w:rsid w:val="00052020"/>
    <w:rsid w:val="000564C7"/>
    <w:rsid w:val="000637B1"/>
    <w:rsid w:val="00076C2D"/>
    <w:rsid w:val="000801C8"/>
    <w:rsid w:val="0008296D"/>
    <w:rsid w:val="0009379B"/>
    <w:rsid w:val="000C1CED"/>
    <w:rsid w:val="000E0E38"/>
    <w:rsid w:val="000F3752"/>
    <w:rsid w:val="00106537"/>
    <w:rsid w:val="00123E6B"/>
    <w:rsid w:val="00141CF0"/>
    <w:rsid w:val="00164BEF"/>
    <w:rsid w:val="0017044D"/>
    <w:rsid w:val="00172F35"/>
    <w:rsid w:val="00194691"/>
    <w:rsid w:val="001F1A9A"/>
    <w:rsid w:val="00260DFA"/>
    <w:rsid w:val="002A05F5"/>
    <w:rsid w:val="002C5134"/>
    <w:rsid w:val="002D4FA6"/>
    <w:rsid w:val="002E31EB"/>
    <w:rsid w:val="003015CF"/>
    <w:rsid w:val="003046FA"/>
    <w:rsid w:val="00315B85"/>
    <w:rsid w:val="00322020"/>
    <w:rsid w:val="00326331"/>
    <w:rsid w:val="00361406"/>
    <w:rsid w:val="003A7569"/>
    <w:rsid w:val="003B720D"/>
    <w:rsid w:val="003C5B36"/>
    <w:rsid w:val="003D46A8"/>
    <w:rsid w:val="00407F8B"/>
    <w:rsid w:val="00445B75"/>
    <w:rsid w:val="00461CC6"/>
    <w:rsid w:val="00470F65"/>
    <w:rsid w:val="004724EF"/>
    <w:rsid w:val="00473D55"/>
    <w:rsid w:val="004748BC"/>
    <w:rsid w:val="00476F6E"/>
    <w:rsid w:val="0049297B"/>
    <w:rsid w:val="004A1EE9"/>
    <w:rsid w:val="004A726A"/>
    <w:rsid w:val="004D0A34"/>
    <w:rsid w:val="004E2191"/>
    <w:rsid w:val="004F4844"/>
    <w:rsid w:val="00525BC5"/>
    <w:rsid w:val="00547F85"/>
    <w:rsid w:val="005850CD"/>
    <w:rsid w:val="005A10D8"/>
    <w:rsid w:val="005B62AE"/>
    <w:rsid w:val="005D4272"/>
    <w:rsid w:val="005E4BDB"/>
    <w:rsid w:val="005F6AE4"/>
    <w:rsid w:val="00601073"/>
    <w:rsid w:val="00601374"/>
    <w:rsid w:val="00612EE5"/>
    <w:rsid w:val="00675770"/>
    <w:rsid w:val="006B1DC3"/>
    <w:rsid w:val="006C2607"/>
    <w:rsid w:val="006E3293"/>
    <w:rsid w:val="006E36B3"/>
    <w:rsid w:val="006F3CFC"/>
    <w:rsid w:val="00707A11"/>
    <w:rsid w:val="00730D58"/>
    <w:rsid w:val="00794B01"/>
    <w:rsid w:val="00797D6E"/>
    <w:rsid w:val="007A3A0F"/>
    <w:rsid w:val="007B0370"/>
    <w:rsid w:val="007D0503"/>
    <w:rsid w:val="00803858"/>
    <w:rsid w:val="008242A3"/>
    <w:rsid w:val="00837671"/>
    <w:rsid w:val="008648BA"/>
    <w:rsid w:val="00866518"/>
    <w:rsid w:val="008710E7"/>
    <w:rsid w:val="00874155"/>
    <w:rsid w:val="00885426"/>
    <w:rsid w:val="008B4B64"/>
    <w:rsid w:val="008C1664"/>
    <w:rsid w:val="008C32DF"/>
    <w:rsid w:val="009026E0"/>
    <w:rsid w:val="00903F79"/>
    <w:rsid w:val="00932A22"/>
    <w:rsid w:val="00956871"/>
    <w:rsid w:val="00956D9B"/>
    <w:rsid w:val="0097096B"/>
    <w:rsid w:val="00976F09"/>
    <w:rsid w:val="00987AF4"/>
    <w:rsid w:val="009943FF"/>
    <w:rsid w:val="009B7D33"/>
    <w:rsid w:val="009C0918"/>
    <w:rsid w:val="009C77FF"/>
    <w:rsid w:val="009D3C88"/>
    <w:rsid w:val="009E61F1"/>
    <w:rsid w:val="00A07692"/>
    <w:rsid w:val="00A20702"/>
    <w:rsid w:val="00A26350"/>
    <w:rsid w:val="00A46180"/>
    <w:rsid w:val="00A900D4"/>
    <w:rsid w:val="00AA0221"/>
    <w:rsid w:val="00AA3D12"/>
    <w:rsid w:val="00AD150F"/>
    <w:rsid w:val="00B13C30"/>
    <w:rsid w:val="00B27ECB"/>
    <w:rsid w:val="00B522F6"/>
    <w:rsid w:val="00B77E6D"/>
    <w:rsid w:val="00BC055C"/>
    <w:rsid w:val="00BC4FB9"/>
    <w:rsid w:val="00BD64AA"/>
    <w:rsid w:val="00BE0D4B"/>
    <w:rsid w:val="00C628A1"/>
    <w:rsid w:val="00C94ADE"/>
    <w:rsid w:val="00C962A9"/>
    <w:rsid w:val="00CA7A9C"/>
    <w:rsid w:val="00CB6EBF"/>
    <w:rsid w:val="00CE4AAB"/>
    <w:rsid w:val="00CF7A5C"/>
    <w:rsid w:val="00CF7B9B"/>
    <w:rsid w:val="00D370B2"/>
    <w:rsid w:val="00D37CF5"/>
    <w:rsid w:val="00D5336E"/>
    <w:rsid w:val="00D6060B"/>
    <w:rsid w:val="00D61230"/>
    <w:rsid w:val="00D7572D"/>
    <w:rsid w:val="00D8005B"/>
    <w:rsid w:val="00DA75A0"/>
    <w:rsid w:val="00DB7305"/>
    <w:rsid w:val="00DC1CFD"/>
    <w:rsid w:val="00DF7B24"/>
    <w:rsid w:val="00E162AE"/>
    <w:rsid w:val="00E21C71"/>
    <w:rsid w:val="00E35678"/>
    <w:rsid w:val="00E46CD0"/>
    <w:rsid w:val="00E5172C"/>
    <w:rsid w:val="00E62A79"/>
    <w:rsid w:val="00E86AC1"/>
    <w:rsid w:val="00EA0D72"/>
    <w:rsid w:val="00EA63C0"/>
    <w:rsid w:val="00ED552E"/>
    <w:rsid w:val="00EF68B2"/>
    <w:rsid w:val="00F07FCB"/>
    <w:rsid w:val="00F164B2"/>
    <w:rsid w:val="00F212AD"/>
    <w:rsid w:val="00F51135"/>
    <w:rsid w:val="00F66447"/>
    <w:rsid w:val="00F667D2"/>
    <w:rsid w:val="00F70B3E"/>
    <w:rsid w:val="00F87FE2"/>
    <w:rsid w:val="00FA091F"/>
    <w:rsid w:val="00FE1E8B"/>
    <w:rsid w:val="00FF2B29"/>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9512D"/>
  <w15:chartTrackingRefBased/>
  <w15:docId w15:val="{1132D9ED-53E7-4B4B-AEFD-D980A7B5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8BC"/>
  </w:style>
  <w:style w:type="paragraph" w:styleId="Footer">
    <w:name w:val="footer"/>
    <w:basedOn w:val="Normal"/>
    <w:link w:val="FooterChar"/>
    <w:uiPriority w:val="99"/>
    <w:unhideWhenUsed/>
    <w:rsid w:val="00474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8BC"/>
  </w:style>
  <w:style w:type="paragraph" w:styleId="BodyText">
    <w:name w:val="Body Text"/>
    <w:basedOn w:val="Normal"/>
    <w:link w:val="BodyTextChar"/>
    <w:uiPriority w:val="99"/>
    <w:semiHidden/>
    <w:unhideWhenUsed/>
    <w:rsid w:val="004748BC"/>
    <w:pPr>
      <w:spacing w:after="120"/>
    </w:pPr>
  </w:style>
  <w:style w:type="character" w:customStyle="1" w:styleId="BodyTextChar">
    <w:name w:val="Body Text Char"/>
    <w:basedOn w:val="DefaultParagraphFont"/>
    <w:link w:val="BodyText"/>
    <w:uiPriority w:val="99"/>
    <w:semiHidden/>
    <w:rsid w:val="004748BC"/>
  </w:style>
  <w:style w:type="paragraph" w:customStyle="1" w:styleId="Noparagraphstyle">
    <w:name w:val="[No paragraph style]"/>
    <w:rsid w:val="004748BC"/>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CharacterStyle1">
    <w:name w:val="Character Style 1"/>
    <w:rsid w:val="004748BC"/>
    <w:rPr>
      <w:rFonts w:ascii="Book Antiqua" w:hAnsi="Book Antiqua" w:cs="Book Antiqua"/>
    </w:rPr>
  </w:style>
  <w:style w:type="paragraph" w:styleId="ListParagraph">
    <w:name w:val="List Paragraph"/>
    <w:basedOn w:val="Normal"/>
    <w:uiPriority w:val="34"/>
    <w:qFormat/>
    <w:rsid w:val="008242A3"/>
    <w:pPr>
      <w:ind w:left="720"/>
      <w:contextualSpacing/>
    </w:pPr>
  </w:style>
  <w:style w:type="character" w:styleId="CommentReference">
    <w:name w:val="annotation reference"/>
    <w:basedOn w:val="DefaultParagraphFont"/>
    <w:uiPriority w:val="99"/>
    <w:semiHidden/>
    <w:unhideWhenUsed/>
    <w:rsid w:val="00D61230"/>
    <w:rPr>
      <w:sz w:val="16"/>
      <w:szCs w:val="16"/>
    </w:rPr>
  </w:style>
  <w:style w:type="paragraph" w:styleId="CommentText">
    <w:name w:val="annotation text"/>
    <w:basedOn w:val="Normal"/>
    <w:link w:val="CommentTextChar"/>
    <w:uiPriority w:val="99"/>
    <w:unhideWhenUsed/>
    <w:rsid w:val="00D61230"/>
    <w:pPr>
      <w:spacing w:line="240" w:lineRule="auto"/>
    </w:pPr>
    <w:rPr>
      <w:sz w:val="20"/>
      <w:szCs w:val="20"/>
    </w:rPr>
  </w:style>
  <w:style w:type="character" w:customStyle="1" w:styleId="CommentTextChar">
    <w:name w:val="Comment Text Char"/>
    <w:basedOn w:val="DefaultParagraphFont"/>
    <w:link w:val="CommentText"/>
    <w:uiPriority w:val="99"/>
    <w:rsid w:val="00D61230"/>
    <w:rPr>
      <w:sz w:val="20"/>
      <w:szCs w:val="20"/>
    </w:rPr>
  </w:style>
  <w:style w:type="paragraph" w:styleId="FootnoteText">
    <w:name w:val="footnote text"/>
    <w:basedOn w:val="Normal"/>
    <w:link w:val="FootnoteTextChar"/>
    <w:uiPriority w:val="99"/>
    <w:semiHidden/>
    <w:unhideWhenUsed/>
    <w:rsid w:val="00D61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230"/>
    <w:rPr>
      <w:sz w:val="20"/>
      <w:szCs w:val="20"/>
    </w:rPr>
  </w:style>
  <w:style w:type="character" w:styleId="FootnoteReference">
    <w:name w:val="footnote reference"/>
    <w:basedOn w:val="DefaultParagraphFont"/>
    <w:uiPriority w:val="99"/>
    <w:semiHidden/>
    <w:unhideWhenUsed/>
    <w:rsid w:val="00D61230"/>
    <w:rPr>
      <w:vertAlign w:val="superscript"/>
    </w:rPr>
  </w:style>
  <w:style w:type="paragraph" w:customStyle="1" w:styleId="pf0">
    <w:name w:val="pf0"/>
    <w:basedOn w:val="Normal"/>
    <w:rsid w:val="004A7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A726A"/>
    <w:rPr>
      <w:rFonts w:ascii="Segoe UI" w:hAnsi="Segoe UI" w:cs="Segoe UI" w:hint="default"/>
      <w:sz w:val="18"/>
      <w:szCs w:val="18"/>
    </w:rPr>
  </w:style>
  <w:style w:type="paragraph" w:styleId="Revision">
    <w:name w:val="Revision"/>
    <w:hidden/>
    <w:uiPriority w:val="99"/>
    <w:semiHidden/>
    <w:rsid w:val="00A26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66F1E1-240A-4B36-8B0C-8D1CE7B25CAF}">
  <we:reference id="wa200003725" version="3.1.4.0" store="en-US" storeType="OMEX"/>
  <we:alternateReferences>
    <we:reference id="WA200003725" version="3.1.4.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96171-31D6-4ED7-A72F-8D2426D73B75}">
  <ds:schemaRefs>
    <ds:schemaRef ds:uri="http://schemas.openxmlformats.org/officeDocument/2006/bibliography"/>
  </ds:schemaRefs>
</ds:datastoreItem>
</file>

<file path=customXml/itemProps2.xml><?xml version="1.0" encoding="utf-8"?>
<ds:datastoreItem xmlns:ds="http://schemas.openxmlformats.org/officeDocument/2006/customXml" ds:itemID="{440CA632-5C11-4EA1-A32B-14A751646E00}"/>
</file>

<file path=customXml/itemProps3.xml><?xml version="1.0" encoding="utf-8"?>
<ds:datastoreItem xmlns:ds="http://schemas.openxmlformats.org/officeDocument/2006/customXml" ds:itemID="{F7288FFD-95F3-4E47-ACFA-7ECEB11061E5}"/>
</file>

<file path=customXml/itemProps4.xml><?xml version="1.0" encoding="utf-8"?>
<ds:datastoreItem xmlns:ds="http://schemas.openxmlformats.org/officeDocument/2006/customXml" ds:itemID="{987D3B6D-75CE-4E1B-AEA1-126FF03EAC8C}"/>
</file>

<file path=docProps/app.xml><?xml version="1.0" encoding="utf-8"?>
<Properties xmlns="http://schemas.openxmlformats.org/officeDocument/2006/extended-properties" xmlns:vt="http://schemas.openxmlformats.org/officeDocument/2006/docPropsVTypes">
  <Template>Normal.dotm</Template>
  <TotalTime>3</TotalTime>
  <Pages>3</Pages>
  <Words>1414</Words>
  <Characters>8064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Ware</dc:creator>
  <cp:keywords/>
  <dc:description/>
  <cp:lastModifiedBy>Angie Holman</cp:lastModifiedBy>
  <cp:revision>2</cp:revision>
  <dcterms:created xsi:type="dcterms:W3CDTF">2023-07-31T18:17:00Z</dcterms:created>
  <dcterms:modified xsi:type="dcterms:W3CDTF">2023-07-31T18:17:00Z</dcterms:modified>
</cp:coreProperties>
</file>