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B1C" w:rsidRDefault="00445CBE" w:rsidP="00D27B1C">
      <w:pPr>
        <w:jc w:val="center"/>
        <w:rPr>
          <w:rFonts w:ascii="Cambria" w:hAnsi="Cambria"/>
        </w:rPr>
      </w:pPr>
      <w:r>
        <w:rPr>
          <w:rFonts w:ascii="Cambria" w:hAnsi="Cambria"/>
        </w:rPr>
        <w:t>RESPONSE TO</w:t>
      </w:r>
      <w:r w:rsidR="00D27B1C">
        <w:rPr>
          <w:rFonts w:ascii="Cambria" w:hAnsi="Cambria"/>
        </w:rPr>
        <w:t xml:space="preserve"> FHFA REQUEST FOR INPUT ON FANNIE MAE AND</w:t>
      </w:r>
    </w:p>
    <w:p w:rsidR="00D27B1C" w:rsidRDefault="00D27B1C" w:rsidP="00D27B1C">
      <w:pPr>
        <w:jc w:val="center"/>
        <w:rPr>
          <w:rFonts w:ascii="Cambria" w:hAnsi="Cambria"/>
        </w:rPr>
      </w:pPr>
      <w:r>
        <w:rPr>
          <w:rFonts w:ascii="Cambria" w:hAnsi="Cambria"/>
        </w:rPr>
        <w:t>FREDDIE MAC</w:t>
      </w:r>
      <w:r w:rsidR="00A673C9">
        <w:rPr>
          <w:rFonts w:ascii="Cambria" w:hAnsi="Cambria"/>
        </w:rPr>
        <w:t>’s</w:t>
      </w:r>
      <w:r>
        <w:rPr>
          <w:rFonts w:ascii="Cambria" w:hAnsi="Cambria"/>
        </w:rPr>
        <w:t xml:space="preserve"> SINGLE-FAMILY PRICING FRAMEWORK </w:t>
      </w:r>
    </w:p>
    <w:p w:rsidR="00D27B1C" w:rsidRDefault="00D27B1C" w:rsidP="00D27B1C">
      <w:pPr>
        <w:jc w:val="center"/>
        <w:rPr>
          <w:rFonts w:ascii="Cambria" w:hAnsi="Cambria"/>
        </w:rPr>
      </w:pPr>
    </w:p>
    <w:p w:rsidR="00D27B1C" w:rsidRDefault="00D27B1C" w:rsidP="00D27B1C">
      <w:pPr>
        <w:jc w:val="center"/>
        <w:rPr>
          <w:rFonts w:ascii="Cambria" w:hAnsi="Cambria"/>
        </w:rPr>
      </w:pPr>
      <w:r>
        <w:rPr>
          <w:rFonts w:ascii="Cambria" w:hAnsi="Cambria"/>
        </w:rPr>
        <w:t>Timothy Howard—Former Vice Chairman and Chief Financial Officer, Fannie Mae</w:t>
      </w:r>
    </w:p>
    <w:p w:rsidR="00D90A44" w:rsidRDefault="00D90A44" w:rsidP="00D27B1C">
      <w:pPr>
        <w:jc w:val="center"/>
        <w:rPr>
          <w:rFonts w:ascii="Cambria" w:hAnsi="Cambria"/>
        </w:rPr>
      </w:pPr>
    </w:p>
    <w:p w:rsidR="00D90A44" w:rsidRDefault="00D90A44" w:rsidP="00D27B1C">
      <w:pPr>
        <w:jc w:val="center"/>
        <w:rPr>
          <w:rFonts w:ascii="Cambria" w:hAnsi="Cambria"/>
        </w:rPr>
      </w:pPr>
    </w:p>
    <w:p w:rsidR="00FA466E" w:rsidRDefault="00383996" w:rsidP="00FA466E">
      <w:pPr>
        <w:pStyle w:val="NormalWeb"/>
        <w:shd w:val="clear" w:color="auto" w:fill="FFFFFF"/>
        <w:spacing w:before="0" w:beforeAutospacing="0" w:after="150" w:afterAutospacing="0"/>
        <w:textAlignment w:val="baseline"/>
        <w:rPr>
          <w:rFonts w:ascii="Cambria" w:hAnsi="Cambria"/>
        </w:rPr>
      </w:pPr>
      <w:r>
        <w:rPr>
          <w:rFonts w:ascii="Cambria" w:hAnsi="Cambria"/>
          <w:color w:val="404040"/>
        </w:rPr>
        <w:t>On May 15, the Federal Housing Financing Agency</w:t>
      </w:r>
      <w:r w:rsidR="0041239B">
        <w:rPr>
          <w:rFonts w:ascii="Cambria" w:hAnsi="Cambria"/>
          <w:color w:val="404040"/>
        </w:rPr>
        <w:t xml:space="preserve"> (FHFA)</w:t>
      </w:r>
      <w:r>
        <w:rPr>
          <w:rFonts w:ascii="Cambria" w:hAnsi="Cambria"/>
          <w:color w:val="404040"/>
        </w:rPr>
        <w:t xml:space="preserve"> issued a request for input</w:t>
      </w:r>
      <w:r w:rsidR="00A66C0F">
        <w:rPr>
          <w:rFonts w:ascii="Cambria" w:hAnsi="Cambria"/>
          <w:color w:val="404040"/>
        </w:rPr>
        <w:t xml:space="preserve"> (RFI)</w:t>
      </w:r>
      <w:r>
        <w:rPr>
          <w:rFonts w:ascii="Cambria" w:hAnsi="Cambria"/>
          <w:color w:val="404040"/>
        </w:rPr>
        <w:t xml:space="preserve"> </w:t>
      </w:r>
      <w:r w:rsidR="00283AFC">
        <w:rPr>
          <w:rFonts w:ascii="Cambria" w:hAnsi="Cambria"/>
        </w:rPr>
        <w:t>“</w:t>
      </w:r>
      <w:r w:rsidR="0052273C" w:rsidRPr="0052273C">
        <w:rPr>
          <w:rFonts w:ascii="Cambria" w:hAnsi="Cambria"/>
        </w:rPr>
        <w:t xml:space="preserve">soliciting comment on </w:t>
      </w:r>
      <w:r w:rsidR="00283AFC">
        <w:rPr>
          <w:rFonts w:ascii="Cambria" w:hAnsi="Cambria"/>
        </w:rPr>
        <w:t>[Fannie Mae and Freddie Mac’s]</w:t>
      </w:r>
      <w:r w:rsidR="0052273C" w:rsidRPr="0052273C">
        <w:rPr>
          <w:rFonts w:ascii="Cambria" w:hAnsi="Cambria"/>
        </w:rPr>
        <w:t xml:space="preserve"> single</w:t>
      </w:r>
      <w:r w:rsidR="00283AFC">
        <w:rPr>
          <w:rFonts w:ascii="Cambria" w:hAnsi="Cambria"/>
        </w:rPr>
        <w:t>-</w:t>
      </w:r>
      <w:r w:rsidR="0052273C" w:rsidRPr="0052273C">
        <w:rPr>
          <w:rFonts w:ascii="Cambria" w:hAnsi="Cambria"/>
        </w:rPr>
        <w:t>family pricing framework and the goals and policy priorities that FHFA, as conservator and regulator of the Enterprises, should pursue in its oversight of the pricing framework</w:t>
      </w:r>
      <w:r w:rsidR="00D14E3F">
        <w:rPr>
          <w:rFonts w:ascii="Cambria" w:hAnsi="Cambria"/>
        </w:rPr>
        <w:t>.</w:t>
      </w:r>
      <w:r w:rsidR="00283AFC">
        <w:rPr>
          <w:rFonts w:ascii="Cambria" w:hAnsi="Cambria"/>
        </w:rPr>
        <w:t>”</w:t>
      </w:r>
      <w:r w:rsidR="00AA3A57">
        <w:rPr>
          <w:rFonts w:ascii="Cambria" w:hAnsi="Cambria"/>
        </w:rPr>
        <w:t xml:space="preserve"> </w:t>
      </w:r>
    </w:p>
    <w:p w:rsidR="00FA466E" w:rsidRDefault="00D03849" w:rsidP="00FA466E">
      <w:pPr>
        <w:pStyle w:val="NormalWeb"/>
        <w:shd w:val="clear" w:color="auto" w:fill="FFFFFF"/>
        <w:spacing w:before="0" w:beforeAutospacing="0" w:after="150" w:afterAutospacing="0"/>
        <w:textAlignment w:val="baseline"/>
        <w:rPr>
          <w:rFonts w:ascii="Cambria" w:hAnsi="Cambria"/>
        </w:rPr>
      </w:pPr>
      <w:r>
        <w:rPr>
          <w:rFonts w:ascii="Cambria" w:hAnsi="Cambria"/>
        </w:rPr>
        <w:t>This RFI appears to be a response to criticism from the mortgage industry of the changes made by FHFA to Fannie and Freddie’s loan-level price adjustment (LLPA) grids, effective May 1, through which it lowered the LLPAs on certain higher-risk mortgages to improve their affordability, then offset the cost of th</w:t>
      </w:r>
      <w:r w:rsidR="00C931F5">
        <w:rPr>
          <w:rFonts w:ascii="Cambria" w:hAnsi="Cambria"/>
        </w:rPr>
        <w:t>o</w:t>
      </w:r>
      <w:r>
        <w:rPr>
          <w:rFonts w:ascii="Cambria" w:hAnsi="Cambria"/>
        </w:rPr>
        <w:t>se decreases by raising LLPAs on many lower-risk mortgages. In its RFI, FHFA defended these non-risk-based offsets by citing the impact of the transition in 2022 to the Enterprise Regulatory Capital Framework (ERCF) on the companies’ return on capital, noting: “</w:t>
      </w:r>
      <w:r w:rsidRPr="00266521">
        <w:rPr>
          <w:rFonts w:ascii="Cambria" w:hAnsi="Cambria"/>
        </w:rPr>
        <w:t>Given the substantial amount of capital required to be held by the Enterprises on new mortgage acquisitions as a result of the ERCF, the Enterprises are not currently earning commercially reasonable aggregate returns on new single-family mortgage acquisitions. FHFA estimates that the Enterprises are generally earning mid-single digit returns on equity on aggregate new single</w:t>
      </w:r>
      <w:r>
        <w:rPr>
          <w:rFonts w:ascii="Cambria" w:hAnsi="Cambria"/>
        </w:rPr>
        <w:t>-</w:t>
      </w:r>
      <w:r w:rsidRPr="00266521">
        <w:rPr>
          <w:rFonts w:ascii="Cambria" w:hAnsi="Cambria"/>
        </w:rPr>
        <w:t>family mortgage acquisitions</w:t>
      </w:r>
      <w:r>
        <w:rPr>
          <w:rFonts w:ascii="Cambria" w:hAnsi="Cambria"/>
        </w:rPr>
        <w:t>.”</w:t>
      </w:r>
      <w:r w:rsidR="00FA466E">
        <w:rPr>
          <w:rFonts w:ascii="Cambria" w:hAnsi="Cambria"/>
        </w:rPr>
        <w:t xml:space="preserve"> </w:t>
      </w:r>
    </w:p>
    <w:p w:rsidR="002A06FE" w:rsidRDefault="00755055" w:rsidP="00AC4669">
      <w:pPr>
        <w:pStyle w:val="NormalWeb"/>
        <w:shd w:val="clear" w:color="auto" w:fill="FFFFFF"/>
        <w:spacing w:before="0" w:beforeAutospacing="0" w:after="150" w:afterAutospacing="0"/>
        <w:textAlignment w:val="baseline"/>
        <w:rPr>
          <w:rFonts w:ascii="Cambria" w:hAnsi="Cambria"/>
        </w:rPr>
      </w:pPr>
      <w:r>
        <w:rPr>
          <w:rFonts w:ascii="Cambria" w:hAnsi="Cambria"/>
        </w:rPr>
        <w:t>While FHFA does</w:t>
      </w:r>
      <w:r w:rsidR="007A73C1">
        <w:rPr>
          <w:rFonts w:ascii="Cambria" w:hAnsi="Cambria"/>
        </w:rPr>
        <w:t xml:space="preserve"> not</w:t>
      </w:r>
      <w:r>
        <w:rPr>
          <w:rFonts w:ascii="Cambria" w:hAnsi="Cambria"/>
        </w:rPr>
        <w:t xml:space="preserve"> say this outright, it is </w:t>
      </w:r>
      <w:r w:rsidR="00A76F30">
        <w:rPr>
          <w:rFonts w:ascii="Cambria" w:hAnsi="Cambria"/>
        </w:rPr>
        <w:t>evident</w:t>
      </w:r>
      <w:r>
        <w:rPr>
          <w:rFonts w:ascii="Cambria" w:hAnsi="Cambria"/>
        </w:rPr>
        <w:t xml:space="preserve"> that</w:t>
      </w:r>
      <w:r w:rsidR="008A3CE6">
        <w:rPr>
          <w:rFonts w:ascii="Cambria" w:hAnsi="Cambria"/>
        </w:rPr>
        <w:t xml:space="preserve"> Fannie and Freddie</w:t>
      </w:r>
      <w:r w:rsidR="00C952CA">
        <w:rPr>
          <w:rFonts w:ascii="Cambria" w:hAnsi="Cambria"/>
        </w:rPr>
        <w:t xml:space="preserve"> </w:t>
      </w:r>
      <w:r w:rsidR="007A73C1">
        <w:rPr>
          <w:rFonts w:ascii="Cambria" w:hAnsi="Cambria"/>
        </w:rPr>
        <w:t xml:space="preserve">are </w:t>
      </w:r>
      <w:r w:rsidR="00C952CA">
        <w:rPr>
          <w:rFonts w:ascii="Cambria" w:hAnsi="Cambria"/>
        </w:rPr>
        <w:t>not</w:t>
      </w:r>
      <w:r w:rsidR="00A76F30">
        <w:rPr>
          <w:rFonts w:ascii="Cambria" w:hAnsi="Cambria"/>
        </w:rPr>
        <w:t xml:space="preserve"> now</w:t>
      </w:r>
      <w:r w:rsidR="00C952CA">
        <w:rPr>
          <w:rFonts w:ascii="Cambria" w:hAnsi="Cambria"/>
        </w:rPr>
        <w:t xml:space="preserve"> </w:t>
      </w:r>
      <w:r w:rsidR="007A73C1">
        <w:rPr>
          <w:rFonts w:ascii="Cambria" w:hAnsi="Cambria"/>
        </w:rPr>
        <w:t>able to meet</w:t>
      </w:r>
      <w:r w:rsidR="00E50FCE">
        <w:rPr>
          <w:rFonts w:ascii="Cambria" w:hAnsi="Cambria"/>
        </w:rPr>
        <w:t xml:space="preserve"> either of</w:t>
      </w:r>
      <w:r w:rsidR="008A3CE6">
        <w:rPr>
          <w:rFonts w:ascii="Cambria" w:hAnsi="Cambria"/>
        </w:rPr>
        <w:t xml:space="preserve"> the two most critical imperatives of their charters: set</w:t>
      </w:r>
      <w:r w:rsidR="007A73C1">
        <w:rPr>
          <w:rFonts w:ascii="Cambria" w:hAnsi="Cambria"/>
        </w:rPr>
        <w:t>ting</w:t>
      </w:r>
      <w:r>
        <w:rPr>
          <w:rFonts w:ascii="Cambria" w:hAnsi="Cambria"/>
        </w:rPr>
        <w:t xml:space="preserve"> guaranty fees on </w:t>
      </w:r>
      <w:r w:rsidR="008A3CE6">
        <w:rPr>
          <w:rFonts w:ascii="Cambria" w:hAnsi="Cambria"/>
        </w:rPr>
        <w:t>their</w:t>
      </w:r>
      <w:r>
        <w:rPr>
          <w:rFonts w:ascii="Cambria" w:hAnsi="Cambria"/>
        </w:rPr>
        <w:t xml:space="preserve"> higher-risk loans</w:t>
      </w:r>
      <w:r w:rsidR="008A3CE6">
        <w:rPr>
          <w:rFonts w:ascii="Cambria" w:hAnsi="Cambria"/>
        </w:rPr>
        <w:t xml:space="preserve"> at levels</w:t>
      </w:r>
      <w:r>
        <w:rPr>
          <w:rFonts w:ascii="Cambria" w:hAnsi="Cambria"/>
        </w:rPr>
        <w:t xml:space="preserve"> that are affordable to the borrowers who typically take them out, </w:t>
      </w:r>
      <w:r w:rsidR="00E50FCE">
        <w:rPr>
          <w:rFonts w:ascii="Cambria" w:hAnsi="Cambria"/>
        </w:rPr>
        <w:t>or</w:t>
      </w:r>
      <w:r w:rsidR="008A3CE6">
        <w:rPr>
          <w:rFonts w:ascii="Cambria" w:hAnsi="Cambria"/>
        </w:rPr>
        <w:t xml:space="preserve"> earn</w:t>
      </w:r>
      <w:r w:rsidR="007A73C1">
        <w:rPr>
          <w:rFonts w:ascii="Cambria" w:hAnsi="Cambria"/>
        </w:rPr>
        <w:t>ing</w:t>
      </w:r>
      <w:r w:rsidR="008A3CE6">
        <w:rPr>
          <w:rFonts w:ascii="Cambria" w:hAnsi="Cambria"/>
        </w:rPr>
        <w:t xml:space="preserve"> “commercially reasonable aggregate returns” on their capital. To aid FHFA </w:t>
      </w:r>
      <w:r w:rsidR="00667B34">
        <w:rPr>
          <w:rFonts w:ascii="Cambria" w:hAnsi="Cambria"/>
        </w:rPr>
        <w:t>in resolving this dilemma, its RFI</w:t>
      </w:r>
      <w:r w:rsidR="00D14E3F">
        <w:rPr>
          <w:rFonts w:ascii="Cambria" w:hAnsi="Cambria"/>
        </w:rPr>
        <w:t xml:space="preserve"> “</w:t>
      </w:r>
      <w:r w:rsidR="00D14E3F" w:rsidRPr="0052273C">
        <w:rPr>
          <w:rFonts w:ascii="Cambria" w:hAnsi="Cambria"/>
        </w:rPr>
        <w:t>seek</w:t>
      </w:r>
      <w:r w:rsidR="00D14E3F">
        <w:rPr>
          <w:rFonts w:ascii="Cambria" w:hAnsi="Cambria"/>
        </w:rPr>
        <w:t>(</w:t>
      </w:r>
      <w:r w:rsidR="00667B34">
        <w:rPr>
          <w:rFonts w:ascii="Cambria" w:hAnsi="Cambria"/>
        </w:rPr>
        <w:t>s</w:t>
      </w:r>
      <w:r w:rsidR="00D14E3F">
        <w:rPr>
          <w:rFonts w:ascii="Cambria" w:hAnsi="Cambria"/>
        </w:rPr>
        <w:t xml:space="preserve">) </w:t>
      </w:r>
      <w:r w:rsidR="00D14E3F" w:rsidRPr="0052273C">
        <w:rPr>
          <w:rFonts w:ascii="Cambria" w:hAnsi="Cambria"/>
        </w:rPr>
        <w:t>input on the process for setting the Enterprises’ single-family upfront guarantee fees, including whether it is appropriate to continue to link upfront guarantee fees to the ERCF, set risk-based upfront guarantee fees for both Enterprises, and set a minimum threshold for an Enterprise’s return on capital.</w:t>
      </w:r>
      <w:r w:rsidR="00D14E3F">
        <w:rPr>
          <w:rFonts w:ascii="Cambria" w:hAnsi="Cambria"/>
        </w:rPr>
        <w:t xml:space="preserve">” </w:t>
      </w:r>
    </w:p>
    <w:p w:rsidR="0045521D" w:rsidRDefault="006D7475" w:rsidP="0045521D">
      <w:pPr>
        <w:pStyle w:val="NormalWeb"/>
        <w:shd w:val="clear" w:color="auto" w:fill="FFFFFF"/>
        <w:spacing w:before="0" w:beforeAutospacing="0" w:after="150" w:afterAutospacing="0"/>
        <w:textAlignment w:val="baseline"/>
        <w:rPr>
          <w:rFonts w:ascii="Cambria" w:hAnsi="Cambria"/>
        </w:rPr>
      </w:pPr>
      <w:r>
        <w:rPr>
          <w:rFonts w:ascii="Cambria" w:hAnsi="Cambria"/>
        </w:rPr>
        <w:t>Taking the</w:t>
      </w:r>
      <w:r w:rsidR="00866DE0">
        <w:rPr>
          <w:rFonts w:ascii="Cambria" w:hAnsi="Cambria"/>
        </w:rPr>
        <w:t>se</w:t>
      </w:r>
      <w:r>
        <w:rPr>
          <w:rFonts w:ascii="Cambria" w:hAnsi="Cambria"/>
        </w:rPr>
        <w:t xml:space="preserve"> in reverse order:</w:t>
      </w:r>
    </w:p>
    <w:p w:rsidR="0045521D" w:rsidRPr="000D71EA" w:rsidRDefault="000D71EA" w:rsidP="0045521D">
      <w:pPr>
        <w:pStyle w:val="NormalWeb"/>
        <w:shd w:val="clear" w:color="auto" w:fill="FFFFFF"/>
        <w:spacing w:before="0" w:beforeAutospacing="0" w:after="150" w:afterAutospacing="0"/>
        <w:textAlignment w:val="baseline"/>
        <w:rPr>
          <w:rFonts w:ascii="Cambria" w:hAnsi="Cambria"/>
          <w:b/>
          <w:bCs/>
        </w:rPr>
      </w:pPr>
      <w:r>
        <w:rPr>
          <w:rFonts w:ascii="Cambria" w:hAnsi="Cambria"/>
          <w:b/>
          <w:bCs/>
        </w:rPr>
        <w:t>Minimum return on equity capital</w:t>
      </w:r>
    </w:p>
    <w:p w:rsidR="008C5A29" w:rsidRDefault="008C5A29" w:rsidP="0045521D">
      <w:pPr>
        <w:pStyle w:val="NormalWeb"/>
        <w:shd w:val="clear" w:color="auto" w:fill="FFFFFF"/>
        <w:spacing w:before="0" w:beforeAutospacing="0" w:after="150" w:afterAutospacing="0"/>
        <w:textAlignment w:val="baseline"/>
        <w:rPr>
          <w:rFonts w:ascii="Cambria" w:hAnsi="Cambria"/>
        </w:rPr>
      </w:pPr>
      <w:r>
        <w:rPr>
          <w:rFonts w:ascii="Cambria" w:hAnsi="Cambria"/>
        </w:rPr>
        <w:t xml:space="preserve">The one parameter for Fannie and Freddie’s return on equity (ROE) </w:t>
      </w:r>
      <w:r w:rsidR="00B335A7">
        <w:rPr>
          <w:rFonts w:ascii="Cambria" w:hAnsi="Cambria"/>
        </w:rPr>
        <w:t>over which</w:t>
      </w:r>
      <w:r>
        <w:rPr>
          <w:rFonts w:ascii="Cambria" w:hAnsi="Cambria"/>
        </w:rPr>
        <w:t xml:space="preserve"> FHFA </w:t>
      </w:r>
      <w:r w:rsidR="00B335A7">
        <w:rPr>
          <w:rFonts w:ascii="Cambria" w:hAnsi="Cambria"/>
        </w:rPr>
        <w:t>has</w:t>
      </w:r>
      <w:r w:rsidR="008D6CB6">
        <w:rPr>
          <w:rFonts w:ascii="Cambria" w:hAnsi="Cambria"/>
        </w:rPr>
        <w:t xml:space="preserve"> </w:t>
      </w:r>
      <w:r w:rsidR="00B216D1">
        <w:rPr>
          <w:rFonts w:ascii="Cambria" w:hAnsi="Cambria"/>
        </w:rPr>
        <w:t>full</w:t>
      </w:r>
      <w:r w:rsidR="00723D35">
        <w:rPr>
          <w:rFonts w:ascii="Cambria" w:hAnsi="Cambria"/>
        </w:rPr>
        <w:t xml:space="preserve"> </w:t>
      </w:r>
      <w:r w:rsidR="008D6CB6">
        <w:rPr>
          <w:rFonts w:ascii="Cambria" w:hAnsi="Cambria"/>
        </w:rPr>
        <w:t>control</w:t>
      </w:r>
      <w:r>
        <w:rPr>
          <w:rFonts w:ascii="Cambria" w:hAnsi="Cambria"/>
        </w:rPr>
        <w:t xml:space="preserve"> is the</w:t>
      </w:r>
      <w:r w:rsidR="008D6CB6">
        <w:rPr>
          <w:rFonts w:ascii="Cambria" w:hAnsi="Cambria"/>
        </w:rPr>
        <w:t xml:space="preserve"> target</w:t>
      </w:r>
      <w:r>
        <w:rPr>
          <w:rFonts w:ascii="Cambria" w:hAnsi="Cambria"/>
        </w:rPr>
        <w:t xml:space="preserve"> ROE they build into their</w:t>
      </w:r>
      <w:r w:rsidR="005D0867">
        <w:rPr>
          <w:rFonts w:ascii="Cambria" w:hAnsi="Cambria"/>
        </w:rPr>
        <w:t xml:space="preserve"> credit</w:t>
      </w:r>
      <w:r>
        <w:rPr>
          <w:rFonts w:ascii="Cambria" w:hAnsi="Cambria"/>
        </w:rPr>
        <w:t xml:space="preserve"> guaranty pricing models. </w:t>
      </w:r>
      <w:r w:rsidR="00723D35">
        <w:rPr>
          <w:rFonts w:ascii="Cambria" w:hAnsi="Cambria"/>
        </w:rPr>
        <w:t>And while I</w:t>
      </w:r>
      <w:r>
        <w:rPr>
          <w:rFonts w:ascii="Cambria" w:hAnsi="Cambria"/>
        </w:rPr>
        <w:t xml:space="preserve"> and other commenters may have opinions about what that percentage </w:t>
      </w:r>
      <w:r w:rsidR="00723D35">
        <w:rPr>
          <w:rFonts w:ascii="Cambria" w:hAnsi="Cambria"/>
        </w:rPr>
        <w:t>should</w:t>
      </w:r>
      <w:r>
        <w:rPr>
          <w:rFonts w:ascii="Cambria" w:hAnsi="Cambria"/>
        </w:rPr>
        <w:t xml:space="preserve"> be, </w:t>
      </w:r>
      <w:r w:rsidR="002A06FE">
        <w:rPr>
          <w:rFonts w:ascii="Cambria" w:hAnsi="Cambria"/>
        </w:rPr>
        <w:t>t</w:t>
      </w:r>
      <w:r>
        <w:rPr>
          <w:rFonts w:ascii="Cambria" w:hAnsi="Cambria"/>
        </w:rPr>
        <w:t xml:space="preserve">he </w:t>
      </w:r>
      <w:r w:rsidR="008D6CB6">
        <w:rPr>
          <w:rFonts w:ascii="Cambria" w:hAnsi="Cambria"/>
        </w:rPr>
        <w:t>only</w:t>
      </w:r>
      <w:r>
        <w:rPr>
          <w:rFonts w:ascii="Cambria" w:hAnsi="Cambria"/>
        </w:rPr>
        <w:t xml:space="preserve"> opinion</w:t>
      </w:r>
      <w:r w:rsidR="00723D35">
        <w:rPr>
          <w:rFonts w:ascii="Cambria" w:hAnsi="Cambria"/>
        </w:rPr>
        <w:t>s</w:t>
      </w:r>
      <w:r>
        <w:rPr>
          <w:rFonts w:ascii="Cambria" w:hAnsi="Cambria"/>
        </w:rPr>
        <w:t xml:space="preserve"> that matter </w:t>
      </w:r>
      <w:r w:rsidR="00723D35">
        <w:rPr>
          <w:rFonts w:ascii="Cambria" w:hAnsi="Cambria"/>
        </w:rPr>
        <w:t>are those</w:t>
      </w:r>
      <w:r>
        <w:rPr>
          <w:rFonts w:ascii="Cambria" w:hAnsi="Cambria"/>
        </w:rPr>
        <w:t xml:space="preserve"> of</w:t>
      </w:r>
      <w:r w:rsidR="00723D35">
        <w:rPr>
          <w:rFonts w:ascii="Cambria" w:hAnsi="Cambria"/>
        </w:rPr>
        <w:t xml:space="preserve"> the</w:t>
      </w:r>
      <w:r>
        <w:rPr>
          <w:rFonts w:ascii="Cambria" w:hAnsi="Cambria"/>
        </w:rPr>
        <w:t xml:space="preserve"> investors who will be asked to provide the new capital required</w:t>
      </w:r>
      <w:r w:rsidR="00723D35">
        <w:rPr>
          <w:rFonts w:ascii="Cambria" w:hAnsi="Cambria"/>
        </w:rPr>
        <w:t xml:space="preserve"> for the companies</w:t>
      </w:r>
      <w:r w:rsidR="00B216D1">
        <w:rPr>
          <w:rFonts w:ascii="Cambria" w:hAnsi="Cambria"/>
        </w:rPr>
        <w:t xml:space="preserve"> to</w:t>
      </w:r>
      <w:r w:rsidR="002A06FE">
        <w:rPr>
          <w:rFonts w:ascii="Cambria" w:hAnsi="Cambria"/>
        </w:rPr>
        <w:t xml:space="preserve"> ultimately</w:t>
      </w:r>
      <w:r w:rsidR="00723D35">
        <w:rPr>
          <w:rFonts w:ascii="Cambria" w:hAnsi="Cambria"/>
        </w:rPr>
        <w:t xml:space="preserve"> exit conservatorship</w:t>
      </w:r>
      <w:r>
        <w:rPr>
          <w:rFonts w:ascii="Cambria" w:hAnsi="Cambria"/>
        </w:rPr>
        <w:t xml:space="preserve">, </w:t>
      </w:r>
      <w:r w:rsidR="00723D35">
        <w:rPr>
          <w:rFonts w:ascii="Cambria" w:hAnsi="Cambria"/>
        </w:rPr>
        <w:t>or</w:t>
      </w:r>
      <w:r>
        <w:rPr>
          <w:rFonts w:ascii="Cambria" w:hAnsi="Cambria"/>
        </w:rPr>
        <w:t xml:space="preserve"> raise new equity during periods of stress </w:t>
      </w:r>
      <w:r w:rsidR="00B216D1">
        <w:rPr>
          <w:rFonts w:ascii="Cambria" w:hAnsi="Cambria"/>
        </w:rPr>
        <w:t>if</w:t>
      </w:r>
      <w:r>
        <w:rPr>
          <w:rFonts w:ascii="Cambria" w:hAnsi="Cambria"/>
        </w:rPr>
        <w:t xml:space="preserve"> necessary. The financial advisers of FHFA, Fannie and Freddie are in the best positions to determine what this competitive market ROE is, and FHFA </w:t>
      </w:r>
      <w:r w:rsidR="00B216D1">
        <w:rPr>
          <w:rFonts w:ascii="Cambria" w:hAnsi="Cambria"/>
        </w:rPr>
        <w:t>must seek, and heed,</w:t>
      </w:r>
      <w:r>
        <w:rPr>
          <w:rFonts w:ascii="Cambria" w:hAnsi="Cambria"/>
        </w:rPr>
        <w:t xml:space="preserve"> their advice. </w:t>
      </w:r>
    </w:p>
    <w:p w:rsidR="008C5A29" w:rsidRDefault="008C5A29" w:rsidP="008C5A29">
      <w:pPr>
        <w:rPr>
          <w:rFonts w:ascii="Cambria" w:hAnsi="Cambria"/>
        </w:rPr>
      </w:pPr>
    </w:p>
    <w:p w:rsidR="006D7475" w:rsidRDefault="006D7475" w:rsidP="006D7475">
      <w:pPr>
        <w:rPr>
          <w:rFonts w:ascii="Cambria" w:hAnsi="Cambria"/>
        </w:rPr>
      </w:pPr>
      <w:r>
        <w:rPr>
          <w:rFonts w:ascii="Cambria" w:hAnsi="Cambria"/>
        </w:rPr>
        <w:lastRenderedPageBreak/>
        <w:t>FHFA</w:t>
      </w:r>
      <w:r w:rsidR="002A06FE">
        <w:rPr>
          <w:rFonts w:ascii="Cambria" w:hAnsi="Cambria"/>
        </w:rPr>
        <w:t xml:space="preserve"> also must</w:t>
      </w:r>
      <w:r>
        <w:rPr>
          <w:rFonts w:ascii="Cambria" w:hAnsi="Cambria"/>
        </w:rPr>
        <w:t xml:space="preserve"> distinguish between target and realized returns on equity. While the former can be controlled by FHFA, the latter are unknowable when guaranty fees are set, because they depend on the degree to which actual mortgage prepayments and credit losses—the key determinants of credit guaranty profitability—diverge from the medians for these variables produced within the pricing models. Once set, guaranty fees cannot be changed, making targets for realized returns on equity a </w:t>
      </w:r>
      <w:r w:rsidR="00C76818">
        <w:rPr>
          <w:rFonts w:ascii="Cambria" w:hAnsi="Cambria"/>
        </w:rPr>
        <w:t>futile</w:t>
      </w:r>
      <w:r>
        <w:rPr>
          <w:rFonts w:ascii="Cambria" w:hAnsi="Cambria"/>
        </w:rPr>
        <w:t xml:space="preserve"> exercise.</w:t>
      </w:r>
    </w:p>
    <w:p w:rsidR="006D7475" w:rsidRDefault="006D7475" w:rsidP="008C5A29">
      <w:pPr>
        <w:rPr>
          <w:rFonts w:ascii="Cambria" w:hAnsi="Cambria"/>
        </w:rPr>
      </w:pPr>
    </w:p>
    <w:p w:rsidR="008C5A29" w:rsidRDefault="008D6CB6" w:rsidP="008C5A29">
      <w:pPr>
        <w:rPr>
          <w:rFonts w:ascii="Cambria" w:hAnsi="Cambria"/>
        </w:rPr>
      </w:pPr>
      <w:r>
        <w:rPr>
          <w:rFonts w:ascii="Cambria" w:hAnsi="Cambria"/>
        </w:rPr>
        <w:t>Finally,</w:t>
      </w:r>
      <w:r w:rsidR="008C5A29">
        <w:rPr>
          <w:rFonts w:ascii="Cambria" w:hAnsi="Cambria"/>
        </w:rPr>
        <w:t xml:space="preserve"> FHFA </w:t>
      </w:r>
      <w:r w:rsidR="009B1923">
        <w:rPr>
          <w:rFonts w:ascii="Cambria" w:hAnsi="Cambria"/>
        </w:rPr>
        <w:t>should not</w:t>
      </w:r>
      <w:r w:rsidR="008C5A29">
        <w:rPr>
          <w:rFonts w:ascii="Cambria" w:hAnsi="Cambria"/>
        </w:rPr>
        <w:t xml:space="preserve"> “hard-wire” different target (or maximum or minimum) ROEs for specific loan products or characteristics. Company managements should be permitted to decide on relative rates of return for different subsets of mortgage loans in real time and based on market conditions, subject to the constraint of neither significantly exceeding nor falling short of the target total ROE over a given time period (no shorter than one quarter). FHFA as regulator and supervisor should review and provide feedback on managements’ choices in this area</w:t>
      </w:r>
      <w:r w:rsidR="009B1923">
        <w:rPr>
          <w:rFonts w:ascii="Cambria" w:hAnsi="Cambria"/>
        </w:rPr>
        <w:t>—and sanction them for noncompliance if appropriate—but</w:t>
      </w:r>
      <w:r w:rsidR="008C5A29">
        <w:rPr>
          <w:rFonts w:ascii="Cambria" w:hAnsi="Cambria"/>
        </w:rPr>
        <w:t xml:space="preserve"> not micro-manage the</w:t>
      </w:r>
      <w:r w:rsidR="008B4987">
        <w:rPr>
          <w:rFonts w:ascii="Cambria" w:hAnsi="Cambria"/>
        </w:rPr>
        <w:t>m</w:t>
      </w:r>
      <w:r w:rsidR="008C5A29">
        <w:rPr>
          <w:rFonts w:ascii="Cambria" w:hAnsi="Cambria"/>
        </w:rPr>
        <w:t xml:space="preserve">. </w:t>
      </w:r>
    </w:p>
    <w:p w:rsidR="008C5A29" w:rsidRDefault="008C5A29" w:rsidP="008C5A29">
      <w:pPr>
        <w:rPr>
          <w:rFonts w:ascii="Cambria" w:hAnsi="Cambria"/>
        </w:rPr>
      </w:pPr>
    </w:p>
    <w:p w:rsidR="008C5A29" w:rsidRPr="0099687D" w:rsidRDefault="00ED1E2C" w:rsidP="008C5A29">
      <w:pPr>
        <w:rPr>
          <w:rFonts w:ascii="Cambria" w:hAnsi="Cambria"/>
          <w:b/>
          <w:bCs/>
        </w:rPr>
      </w:pPr>
      <w:r>
        <w:rPr>
          <w:rFonts w:ascii="Cambria" w:hAnsi="Cambria"/>
          <w:b/>
          <w:bCs/>
        </w:rPr>
        <w:t xml:space="preserve">Upfront versus ongoing </w:t>
      </w:r>
      <w:r w:rsidR="008C5A29">
        <w:rPr>
          <w:rFonts w:ascii="Cambria" w:hAnsi="Cambria"/>
          <w:b/>
          <w:bCs/>
        </w:rPr>
        <w:t>guaranty fees</w:t>
      </w:r>
    </w:p>
    <w:p w:rsidR="008C5A29" w:rsidRDefault="008C5A29" w:rsidP="008C5A29">
      <w:pPr>
        <w:rPr>
          <w:rFonts w:ascii="Cambria" w:hAnsi="Cambria"/>
        </w:rPr>
      </w:pPr>
    </w:p>
    <w:p w:rsidR="00CA0185" w:rsidRDefault="002D2DE0" w:rsidP="008C5A29">
      <w:pPr>
        <w:rPr>
          <w:rFonts w:ascii="Cambria" w:hAnsi="Cambria"/>
        </w:rPr>
      </w:pPr>
      <w:r>
        <w:rPr>
          <w:rFonts w:ascii="Cambria" w:hAnsi="Cambria"/>
        </w:rPr>
        <w:t>T</w:t>
      </w:r>
      <w:r w:rsidR="008C5A29">
        <w:rPr>
          <w:rFonts w:ascii="Cambria" w:hAnsi="Cambria"/>
        </w:rPr>
        <w:t>he mix between</w:t>
      </w:r>
      <w:r>
        <w:rPr>
          <w:rFonts w:ascii="Cambria" w:hAnsi="Cambria"/>
        </w:rPr>
        <w:t xml:space="preserve"> the</w:t>
      </w:r>
      <w:r w:rsidR="008C5A29">
        <w:rPr>
          <w:rFonts w:ascii="Cambria" w:hAnsi="Cambria"/>
        </w:rPr>
        <w:t xml:space="preserve"> upfront (or loan-level)</w:t>
      </w:r>
      <w:r w:rsidR="0042478D">
        <w:rPr>
          <w:rFonts w:ascii="Cambria" w:hAnsi="Cambria"/>
        </w:rPr>
        <w:t xml:space="preserve"> and ongoing</w:t>
      </w:r>
      <w:r>
        <w:rPr>
          <w:rFonts w:ascii="Cambria" w:hAnsi="Cambria"/>
        </w:rPr>
        <w:t xml:space="preserve"> components of the</w:t>
      </w:r>
      <w:r w:rsidR="008C5A29">
        <w:rPr>
          <w:rFonts w:ascii="Cambria" w:hAnsi="Cambria"/>
        </w:rPr>
        <w:t xml:space="preserve"> </w:t>
      </w:r>
      <w:r w:rsidR="00285430">
        <w:rPr>
          <w:rFonts w:ascii="Cambria" w:hAnsi="Cambria"/>
        </w:rPr>
        <w:t xml:space="preserve">guaranty </w:t>
      </w:r>
      <w:r w:rsidR="008C5A29">
        <w:rPr>
          <w:rFonts w:ascii="Cambria" w:hAnsi="Cambria"/>
        </w:rPr>
        <w:t>fees Fannie and Freddie</w:t>
      </w:r>
      <w:r w:rsidR="00CF6BB8">
        <w:rPr>
          <w:rFonts w:ascii="Cambria" w:hAnsi="Cambria"/>
        </w:rPr>
        <w:t xml:space="preserve"> charge on their</w:t>
      </w:r>
      <w:r w:rsidR="008C5A29">
        <w:rPr>
          <w:rFonts w:ascii="Cambria" w:hAnsi="Cambria"/>
        </w:rPr>
        <w:t xml:space="preserve"> </w:t>
      </w:r>
      <w:r w:rsidR="001A106B">
        <w:rPr>
          <w:rFonts w:ascii="Cambria" w:hAnsi="Cambria"/>
        </w:rPr>
        <w:t>mortgage-backed securities (MBS)</w:t>
      </w:r>
      <w:r w:rsidR="008C5A29">
        <w:rPr>
          <w:rFonts w:ascii="Cambria" w:hAnsi="Cambria"/>
        </w:rPr>
        <w:t xml:space="preserve"> </w:t>
      </w:r>
      <w:r>
        <w:rPr>
          <w:rFonts w:ascii="Cambria" w:hAnsi="Cambria"/>
        </w:rPr>
        <w:t>is not a significant contributor to</w:t>
      </w:r>
      <w:r w:rsidR="0042478D">
        <w:rPr>
          <w:rFonts w:ascii="Cambria" w:hAnsi="Cambria"/>
        </w:rPr>
        <w:t xml:space="preserve"> the</w:t>
      </w:r>
      <w:r w:rsidR="008C5A29">
        <w:rPr>
          <w:rFonts w:ascii="Cambria" w:hAnsi="Cambria"/>
        </w:rPr>
        <w:t xml:space="preserve"> economic challenges the companies</w:t>
      </w:r>
      <w:r w:rsidR="004B12DF">
        <w:rPr>
          <w:rFonts w:ascii="Cambria" w:hAnsi="Cambria"/>
        </w:rPr>
        <w:t xml:space="preserve"> or their borrowers</w:t>
      </w:r>
      <w:r w:rsidR="008C5A29">
        <w:rPr>
          <w:rFonts w:ascii="Cambria" w:hAnsi="Cambria"/>
        </w:rPr>
        <w:t xml:space="preserve"> </w:t>
      </w:r>
      <w:r w:rsidR="009D0DD2">
        <w:rPr>
          <w:rFonts w:ascii="Cambria" w:hAnsi="Cambria"/>
        </w:rPr>
        <w:t>are facing</w:t>
      </w:r>
      <w:r w:rsidR="00FB17EA">
        <w:rPr>
          <w:rFonts w:ascii="Cambria" w:hAnsi="Cambria"/>
        </w:rPr>
        <w:t>.</w:t>
      </w:r>
      <w:r w:rsidR="008C5A29">
        <w:rPr>
          <w:rFonts w:ascii="Cambria" w:hAnsi="Cambria"/>
        </w:rPr>
        <w:t xml:space="preserve"> </w:t>
      </w:r>
    </w:p>
    <w:p w:rsidR="00CA0185" w:rsidRDefault="00CA0185" w:rsidP="008C5A29">
      <w:pPr>
        <w:rPr>
          <w:rFonts w:ascii="Cambria" w:hAnsi="Cambria"/>
        </w:rPr>
      </w:pPr>
    </w:p>
    <w:p w:rsidR="00A36B42" w:rsidRDefault="00A36B42" w:rsidP="00A36B42">
      <w:pPr>
        <w:rPr>
          <w:rFonts w:ascii="Cambria" w:hAnsi="Cambria"/>
        </w:rPr>
      </w:pPr>
      <w:r>
        <w:rPr>
          <w:rFonts w:ascii="Cambria" w:hAnsi="Cambria"/>
        </w:rPr>
        <w:t xml:space="preserve">Both Fannie and Freddie set target total fees for the MBS they guarantee. After the portion of the total fee to charge as an LLPA has been determined, those LLPAs are valued, in basis points, using the expected prepayment rates generated in the pricing models (and assumed in setting the ongoing fee). The only difference in the two components is that an LLPA has a known dollar value at the time it is charged, whereas the dollar amount of an ongoing fee depends on the realized prepayment rate—the faster an MBS repays, the lower the dollar amount of the </w:t>
      </w:r>
      <w:r w:rsidR="00FC29C0">
        <w:rPr>
          <w:rFonts w:ascii="Cambria" w:hAnsi="Cambria"/>
        </w:rPr>
        <w:t>ongoing</w:t>
      </w:r>
      <w:r>
        <w:rPr>
          <w:rFonts w:ascii="Cambria" w:hAnsi="Cambria"/>
        </w:rPr>
        <w:t xml:space="preserve"> fee, and vice-versa. This asymmetry in prepayment sensitivity has the potential to make a </w:t>
      </w:r>
      <w:r w:rsidR="00DA7A4D">
        <w:rPr>
          <w:rFonts w:ascii="Cambria" w:hAnsi="Cambria"/>
        </w:rPr>
        <w:t>larger</w:t>
      </w:r>
      <w:r>
        <w:rPr>
          <w:rFonts w:ascii="Cambria" w:hAnsi="Cambria"/>
        </w:rPr>
        <w:t xml:space="preserve"> proportion of upfront fees on higher-risk loans an effective hedge, since greater credit losses typically (but not always) occur during times of falling home prices and lower interest rates, hence faster mortgage prepayments. Yet the impact </w:t>
      </w:r>
      <w:r w:rsidR="00F81395">
        <w:rPr>
          <w:rFonts w:ascii="Cambria" w:hAnsi="Cambria"/>
        </w:rPr>
        <w:t xml:space="preserve">on total credit guaranty profitability </w:t>
      </w:r>
      <w:r>
        <w:rPr>
          <w:rFonts w:ascii="Cambria" w:hAnsi="Cambria"/>
        </w:rPr>
        <w:t>of overweighting LLPAs on higher-risk loans is</w:t>
      </w:r>
      <w:r w:rsidR="00EE6482">
        <w:rPr>
          <w:rFonts w:ascii="Cambria" w:hAnsi="Cambria"/>
        </w:rPr>
        <w:t xml:space="preserve"> not</w:t>
      </w:r>
      <w:r>
        <w:rPr>
          <w:rFonts w:ascii="Cambria" w:hAnsi="Cambria"/>
        </w:rPr>
        <w:t xml:space="preserve"> certain, and in any event </w:t>
      </w:r>
      <w:r w:rsidR="004B56E7">
        <w:rPr>
          <w:rFonts w:ascii="Cambria" w:hAnsi="Cambria"/>
        </w:rPr>
        <w:t>decision</w:t>
      </w:r>
      <w:r w:rsidR="00EE6482">
        <w:rPr>
          <w:rFonts w:ascii="Cambria" w:hAnsi="Cambria"/>
        </w:rPr>
        <w:t>s</w:t>
      </w:r>
      <w:r w:rsidR="004B56E7">
        <w:rPr>
          <w:rFonts w:ascii="Cambria" w:hAnsi="Cambria"/>
        </w:rPr>
        <w:t xml:space="preserve"> on LLPA weight</w:t>
      </w:r>
      <w:r w:rsidR="00EE6482">
        <w:rPr>
          <w:rFonts w:ascii="Cambria" w:hAnsi="Cambria"/>
        </w:rPr>
        <w:t>ing</w:t>
      </w:r>
      <w:r>
        <w:rPr>
          <w:rFonts w:ascii="Cambria" w:hAnsi="Cambria"/>
        </w:rPr>
        <w:t xml:space="preserve"> should be left to management.   </w:t>
      </w:r>
      <w:r w:rsidR="00F81395">
        <w:rPr>
          <w:rFonts w:ascii="Cambria" w:hAnsi="Cambria"/>
        </w:rPr>
        <w:t xml:space="preserve"> </w:t>
      </w:r>
    </w:p>
    <w:p w:rsidR="008C5A29" w:rsidRDefault="008C5A29" w:rsidP="008C5A29">
      <w:pPr>
        <w:rPr>
          <w:rFonts w:ascii="Cambria" w:hAnsi="Cambria"/>
        </w:rPr>
      </w:pPr>
    </w:p>
    <w:p w:rsidR="00A94127" w:rsidRDefault="0070385C" w:rsidP="008C5A29">
      <w:pPr>
        <w:rPr>
          <w:rFonts w:ascii="Cambria" w:hAnsi="Cambria"/>
        </w:rPr>
      </w:pPr>
      <w:r>
        <w:rPr>
          <w:rFonts w:ascii="Cambria" w:hAnsi="Cambria"/>
        </w:rPr>
        <w:t>T</w:t>
      </w:r>
      <w:r w:rsidR="008C5A29">
        <w:rPr>
          <w:rFonts w:ascii="Cambria" w:hAnsi="Cambria"/>
        </w:rPr>
        <w:t>he answer to “</w:t>
      </w:r>
      <w:r w:rsidR="00EC6516">
        <w:rPr>
          <w:rFonts w:ascii="Cambria" w:hAnsi="Cambria"/>
        </w:rPr>
        <w:t>s</w:t>
      </w:r>
      <w:r w:rsidR="008C5A29">
        <w:rPr>
          <w:rFonts w:ascii="Cambria" w:hAnsi="Cambria"/>
        </w:rPr>
        <w:t>hould upfront guaranty fees be eliminated” is straightforward. If</w:t>
      </w:r>
      <w:r w:rsidR="00973E8A">
        <w:rPr>
          <w:rFonts w:ascii="Cambria" w:hAnsi="Cambria"/>
        </w:rPr>
        <w:t xml:space="preserve"> </w:t>
      </w:r>
      <w:r w:rsidR="003779FD">
        <w:rPr>
          <w:rFonts w:ascii="Cambria" w:hAnsi="Cambria"/>
        </w:rPr>
        <w:t>FHFA</w:t>
      </w:r>
      <w:r w:rsidR="008C5A29">
        <w:rPr>
          <w:rFonts w:ascii="Cambria" w:hAnsi="Cambria"/>
        </w:rPr>
        <w:t xml:space="preserve"> means</w:t>
      </w:r>
      <w:r w:rsidR="00A94127" w:rsidRPr="00A94127">
        <w:rPr>
          <w:rFonts w:ascii="Cambria" w:hAnsi="Cambria"/>
        </w:rPr>
        <w:t xml:space="preserve"> </w:t>
      </w:r>
      <w:r w:rsidR="00A94127">
        <w:rPr>
          <w:rFonts w:ascii="Cambria" w:hAnsi="Cambria"/>
        </w:rPr>
        <w:t xml:space="preserve">eliminate </w:t>
      </w:r>
      <w:r w:rsidR="00A36B42">
        <w:rPr>
          <w:rFonts w:ascii="Cambria" w:hAnsi="Cambria"/>
        </w:rPr>
        <w:t>them</w:t>
      </w:r>
      <w:r w:rsidR="00A94127">
        <w:rPr>
          <w:rFonts w:ascii="Cambria" w:hAnsi="Cambria"/>
        </w:rPr>
        <w:t xml:space="preserve"> entirely, total guaranty fee</w:t>
      </w:r>
      <w:r w:rsidR="000F53AC">
        <w:rPr>
          <w:rFonts w:ascii="Cambria" w:hAnsi="Cambria"/>
        </w:rPr>
        <w:t>s would fall by an equivalent amount</w:t>
      </w:r>
      <w:r w:rsidR="00A94127">
        <w:rPr>
          <w:rFonts w:ascii="Cambria" w:hAnsi="Cambria"/>
        </w:rPr>
        <w:t xml:space="preserve">, </w:t>
      </w:r>
      <w:r w:rsidR="004B12DF">
        <w:rPr>
          <w:rFonts w:ascii="Cambria" w:hAnsi="Cambria"/>
        </w:rPr>
        <w:t xml:space="preserve">and move </w:t>
      </w:r>
      <w:r w:rsidR="00A94127">
        <w:rPr>
          <w:rFonts w:ascii="Cambria" w:hAnsi="Cambria"/>
        </w:rPr>
        <w:t xml:space="preserve">the companies’ achievable </w:t>
      </w:r>
      <w:r w:rsidR="006669BD">
        <w:rPr>
          <w:rFonts w:ascii="Cambria" w:hAnsi="Cambria"/>
        </w:rPr>
        <w:t>ROE</w:t>
      </w:r>
      <w:r w:rsidR="00A94127">
        <w:rPr>
          <w:rFonts w:ascii="Cambria" w:hAnsi="Cambria"/>
        </w:rPr>
        <w:t xml:space="preserve"> even further below a competitive market return. And if FHFA means </w:t>
      </w:r>
      <w:r w:rsidR="003779FD">
        <w:rPr>
          <w:rFonts w:ascii="Cambria" w:hAnsi="Cambria"/>
        </w:rPr>
        <w:t>“</w:t>
      </w:r>
      <w:r w:rsidR="00FA3A57">
        <w:rPr>
          <w:rFonts w:ascii="Cambria" w:hAnsi="Cambria"/>
        </w:rPr>
        <w:t>replace upfront fees with an equivalent amount of ongoing fees</w:t>
      </w:r>
      <w:r w:rsidR="003779FD">
        <w:rPr>
          <w:rFonts w:ascii="Cambria" w:hAnsi="Cambria"/>
        </w:rPr>
        <w:t>,”</w:t>
      </w:r>
      <w:r w:rsidR="00FA3A57">
        <w:rPr>
          <w:rFonts w:ascii="Cambria" w:hAnsi="Cambria"/>
        </w:rPr>
        <w:t xml:space="preserve"> </w:t>
      </w:r>
      <w:r w:rsidR="00A94127">
        <w:rPr>
          <w:rFonts w:ascii="Cambria" w:hAnsi="Cambria"/>
        </w:rPr>
        <w:t>as noted above this</w:t>
      </w:r>
      <w:r w:rsidR="00FA3A57">
        <w:rPr>
          <w:rFonts w:ascii="Cambria" w:hAnsi="Cambria"/>
        </w:rPr>
        <w:t xml:space="preserve"> w</w:t>
      </w:r>
      <w:r w:rsidR="00973E8A">
        <w:rPr>
          <w:rFonts w:ascii="Cambria" w:hAnsi="Cambria"/>
        </w:rPr>
        <w:t>ould</w:t>
      </w:r>
      <w:r w:rsidR="008969A3">
        <w:rPr>
          <w:rFonts w:ascii="Cambria" w:hAnsi="Cambria"/>
        </w:rPr>
        <w:t xml:space="preserve"> not</w:t>
      </w:r>
      <w:r w:rsidR="00973E8A">
        <w:rPr>
          <w:rFonts w:ascii="Cambria" w:hAnsi="Cambria"/>
        </w:rPr>
        <w:t xml:space="preserve"> </w:t>
      </w:r>
      <w:r w:rsidR="003779FD">
        <w:rPr>
          <w:rFonts w:ascii="Cambria" w:hAnsi="Cambria"/>
        </w:rPr>
        <w:t>make</w:t>
      </w:r>
      <w:r w:rsidR="00FA3A57">
        <w:rPr>
          <w:rFonts w:ascii="Cambria" w:hAnsi="Cambria"/>
        </w:rPr>
        <w:t xml:space="preserve"> </w:t>
      </w:r>
      <w:r w:rsidR="008969A3">
        <w:rPr>
          <w:rFonts w:ascii="Cambria" w:hAnsi="Cambria"/>
        </w:rPr>
        <w:t>a</w:t>
      </w:r>
      <w:r w:rsidR="00FA3A57">
        <w:rPr>
          <w:rFonts w:ascii="Cambria" w:hAnsi="Cambria"/>
        </w:rPr>
        <w:t xml:space="preserve"> </w:t>
      </w:r>
      <w:r w:rsidR="00026CB7">
        <w:rPr>
          <w:rFonts w:ascii="Cambria" w:hAnsi="Cambria"/>
        </w:rPr>
        <w:t>notable</w:t>
      </w:r>
      <w:r w:rsidR="00FA3A57">
        <w:rPr>
          <w:rFonts w:ascii="Cambria" w:hAnsi="Cambria"/>
        </w:rPr>
        <w:t xml:space="preserve"> difference either</w:t>
      </w:r>
      <w:r w:rsidR="006669BD">
        <w:rPr>
          <w:rFonts w:ascii="Cambria" w:hAnsi="Cambria"/>
        </w:rPr>
        <w:t xml:space="preserve"> to</w:t>
      </w:r>
      <w:r w:rsidR="00FA3A57">
        <w:rPr>
          <w:rFonts w:ascii="Cambria" w:hAnsi="Cambria"/>
        </w:rPr>
        <w:t xml:space="preserve"> the companies</w:t>
      </w:r>
      <w:r w:rsidR="00A94127">
        <w:rPr>
          <w:rFonts w:ascii="Cambria" w:hAnsi="Cambria"/>
        </w:rPr>
        <w:t xml:space="preserve"> or</w:t>
      </w:r>
      <w:r w:rsidR="00026CB7">
        <w:rPr>
          <w:rFonts w:ascii="Cambria" w:hAnsi="Cambria"/>
        </w:rPr>
        <w:t xml:space="preserve"> to</w:t>
      </w:r>
      <w:r w:rsidR="00A94127">
        <w:rPr>
          <w:rFonts w:ascii="Cambria" w:hAnsi="Cambria"/>
        </w:rPr>
        <w:t xml:space="preserve"> borrowers of affordable housing loans.</w:t>
      </w:r>
    </w:p>
    <w:p w:rsidR="00FA3A57" w:rsidRPr="00A94127" w:rsidRDefault="00FA3A57" w:rsidP="008C5A29">
      <w:pPr>
        <w:rPr>
          <w:rFonts w:ascii="Cambria" w:hAnsi="Cambria"/>
        </w:rPr>
      </w:pPr>
      <w:r>
        <w:rPr>
          <w:rFonts w:ascii="Cambria" w:hAnsi="Cambria"/>
        </w:rPr>
        <w:t xml:space="preserve"> </w:t>
      </w:r>
    </w:p>
    <w:p w:rsidR="008C5A29" w:rsidRPr="007E05C6" w:rsidRDefault="008010CA" w:rsidP="008C5A29">
      <w:pPr>
        <w:rPr>
          <w:rFonts w:ascii="Cambria" w:hAnsi="Cambria"/>
        </w:rPr>
      </w:pPr>
      <w:r>
        <w:rPr>
          <w:rFonts w:ascii="Cambria" w:hAnsi="Cambria"/>
          <w:b/>
          <w:bCs/>
        </w:rPr>
        <w:t xml:space="preserve">Link to </w:t>
      </w:r>
      <w:r w:rsidR="008C5A29">
        <w:rPr>
          <w:rFonts w:ascii="Cambria" w:hAnsi="Cambria"/>
          <w:b/>
          <w:bCs/>
        </w:rPr>
        <w:t>Enterprise Regulatory Capital Framework</w:t>
      </w:r>
    </w:p>
    <w:p w:rsidR="002A06FE" w:rsidRDefault="002A06FE" w:rsidP="008C5A29">
      <w:pPr>
        <w:rPr>
          <w:rFonts w:ascii="Cambria" w:hAnsi="Cambria"/>
          <w:b/>
          <w:bCs/>
        </w:rPr>
      </w:pPr>
    </w:p>
    <w:p w:rsidR="00342F43" w:rsidRDefault="00342F43" w:rsidP="00342F43">
      <w:pPr>
        <w:rPr>
          <w:rFonts w:ascii="Cambria" w:hAnsi="Cambria"/>
        </w:rPr>
      </w:pPr>
      <w:r>
        <w:rPr>
          <w:rFonts w:ascii="Cambria" w:hAnsi="Cambria"/>
        </w:rPr>
        <w:t>With Fannie and Freddie’s “commercially reasonable” ROE determined by the market,</w:t>
      </w:r>
      <w:r w:rsidRPr="00342F43">
        <w:rPr>
          <w:rFonts w:ascii="Cambria" w:hAnsi="Cambria"/>
        </w:rPr>
        <w:t xml:space="preserve"> </w:t>
      </w:r>
      <w:r>
        <w:rPr>
          <w:rFonts w:ascii="Cambria" w:hAnsi="Cambria"/>
        </w:rPr>
        <w:t xml:space="preserve">and no meaningful </w:t>
      </w:r>
      <w:r w:rsidR="00C37C2D">
        <w:rPr>
          <w:rFonts w:ascii="Cambria" w:hAnsi="Cambria"/>
        </w:rPr>
        <w:t xml:space="preserve">economic </w:t>
      </w:r>
      <w:r>
        <w:rPr>
          <w:rFonts w:ascii="Cambria" w:hAnsi="Cambria"/>
        </w:rPr>
        <w:t xml:space="preserve">distinction between the upfront and ongoing components of their </w:t>
      </w:r>
      <w:r>
        <w:rPr>
          <w:rFonts w:ascii="Cambria" w:hAnsi="Cambria"/>
        </w:rPr>
        <w:lastRenderedPageBreak/>
        <w:t xml:space="preserve">guaranty fees, the remaining avenue of inquiry in FHFA’s RFI that might provide it with a path for simultaneously reducing the companies’ guaranty fees on affordable housing loans and giving them a realistic chance of earning a market return on their capital is “whether </w:t>
      </w:r>
      <w:r w:rsidRPr="0052273C">
        <w:rPr>
          <w:rFonts w:ascii="Cambria" w:hAnsi="Cambria"/>
        </w:rPr>
        <w:t>it is appropriate to continue to link upfront</w:t>
      </w:r>
      <w:r>
        <w:rPr>
          <w:rFonts w:ascii="Cambria" w:hAnsi="Cambria"/>
        </w:rPr>
        <w:t xml:space="preserve"> [and total]</w:t>
      </w:r>
      <w:r w:rsidRPr="0052273C">
        <w:rPr>
          <w:rFonts w:ascii="Cambria" w:hAnsi="Cambria"/>
        </w:rPr>
        <w:t xml:space="preserve"> guarantee fees to the ERCF</w:t>
      </w:r>
      <w:r>
        <w:rPr>
          <w:rFonts w:ascii="Cambria" w:hAnsi="Cambria"/>
        </w:rPr>
        <w:t xml:space="preserve">.” </w:t>
      </w:r>
    </w:p>
    <w:p w:rsidR="00F63042" w:rsidRDefault="00342F43" w:rsidP="008C5A29">
      <w:pPr>
        <w:rPr>
          <w:rFonts w:ascii="Cambria" w:hAnsi="Cambria"/>
        </w:rPr>
      </w:pPr>
      <w:r>
        <w:rPr>
          <w:rFonts w:ascii="Cambria" w:hAnsi="Cambria"/>
        </w:rPr>
        <w:t xml:space="preserve"> </w:t>
      </w:r>
    </w:p>
    <w:p w:rsidR="00034AA6" w:rsidRDefault="00093223" w:rsidP="00034AA6">
      <w:pPr>
        <w:rPr>
          <w:rFonts w:ascii="Cambria" w:hAnsi="Cambria"/>
        </w:rPr>
      </w:pPr>
      <w:r>
        <w:rPr>
          <w:rFonts w:ascii="Cambria" w:hAnsi="Cambria"/>
        </w:rPr>
        <w:t>Here the answer</w:t>
      </w:r>
      <w:r w:rsidR="007F1C3A">
        <w:rPr>
          <w:rFonts w:ascii="Cambria" w:hAnsi="Cambria"/>
        </w:rPr>
        <w:t xml:space="preserve"> clearly</w:t>
      </w:r>
      <w:r w:rsidR="00034AA6">
        <w:rPr>
          <w:rFonts w:ascii="Cambria" w:hAnsi="Cambria"/>
        </w:rPr>
        <w:t xml:space="preserve"> is “no.” FHFA’s risk-based capital standard for Fannie and Freddie never has been truly risk-based, and the ERCF literally is not risk-based at all; as detailed below, more than all of its 4 percent-plus required “risk-based” capital is the product of a layering of unrealistic assumptions, minimums, cushions, buffers and add-ons. FHFA at some point must replace the ERCF with a true risk-based capital standard, but in the short term it can significantly reduce the companies’ capital requirements, with no compromise to the goal of achieving an exceptionally high degree of safety and soundness, by removing </w:t>
      </w:r>
      <w:r w:rsidR="00A31D3E">
        <w:rPr>
          <w:rFonts w:ascii="Cambria" w:hAnsi="Cambria"/>
        </w:rPr>
        <w:t>the most</w:t>
      </w:r>
      <w:r w:rsidR="00791025">
        <w:rPr>
          <w:rFonts w:ascii="Cambria" w:hAnsi="Cambria"/>
        </w:rPr>
        <w:t xml:space="preserve"> </w:t>
      </w:r>
      <w:r w:rsidR="00603CFE">
        <w:rPr>
          <w:rFonts w:ascii="Cambria" w:hAnsi="Cambria"/>
        </w:rPr>
        <w:t>arbitrary</w:t>
      </w:r>
      <w:r w:rsidR="00791025">
        <w:rPr>
          <w:rFonts w:ascii="Cambria" w:hAnsi="Cambria"/>
        </w:rPr>
        <w:t xml:space="preserve"> and</w:t>
      </w:r>
      <w:r w:rsidR="00A31D3E">
        <w:rPr>
          <w:rFonts w:ascii="Cambria" w:hAnsi="Cambria"/>
        </w:rPr>
        <w:t xml:space="preserve"> damaging</w:t>
      </w:r>
      <w:r w:rsidR="000E1A1A">
        <w:rPr>
          <w:rFonts w:ascii="Cambria" w:hAnsi="Cambria"/>
        </w:rPr>
        <w:t xml:space="preserve"> of the</w:t>
      </w:r>
      <w:r w:rsidR="00A31D3E">
        <w:rPr>
          <w:rFonts w:ascii="Cambria" w:hAnsi="Cambria"/>
        </w:rPr>
        <w:t xml:space="preserve"> </w:t>
      </w:r>
      <w:r w:rsidR="00034AA6">
        <w:rPr>
          <w:rFonts w:ascii="Cambria" w:hAnsi="Cambria"/>
        </w:rPr>
        <w:t xml:space="preserve">non-risk-based </w:t>
      </w:r>
      <w:r w:rsidR="00B41AB3">
        <w:rPr>
          <w:rFonts w:ascii="Cambria" w:hAnsi="Cambria"/>
        </w:rPr>
        <w:t>elements</w:t>
      </w:r>
      <w:r w:rsidR="007F1C3A">
        <w:rPr>
          <w:rFonts w:ascii="Cambria" w:hAnsi="Cambria"/>
        </w:rPr>
        <w:t xml:space="preserve"> of the ERCF</w:t>
      </w:r>
      <w:r w:rsidR="00034AA6">
        <w:rPr>
          <w:rFonts w:ascii="Cambria" w:hAnsi="Cambria"/>
        </w:rPr>
        <w:t xml:space="preserve">. </w:t>
      </w:r>
    </w:p>
    <w:p w:rsidR="00EF63C9" w:rsidRDefault="00EF63C9" w:rsidP="008C5A29">
      <w:pPr>
        <w:rPr>
          <w:rFonts w:ascii="Cambria" w:hAnsi="Cambria"/>
        </w:rPr>
      </w:pPr>
    </w:p>
    <w:p w:rsidR="00F01444" w:rsidRPr="002E2550" w:rsidRDefault="00F01444" w:rsidP="008C5A29">
      <w:pPr>
        <w:rPr>
          <w:rFonts w:ascii="Cambria" w:hAnsi="Cambria"/>
        </w:rPr>
      </w:pPr>
      <w:r>
        <w:rPr>
          <w:rFonts w:ascii="Cambria" w:hAnsi="Cambria"/>
          <w:u w:val="single"/>
        </w:rPr>
        <w:t>History of FHFA’s risk-based capital requirements</w:t>
      </w:r>
    </w:p>
    <w:p w:rsidR="008C5A29" w:rsidRPr="0023727B" w:rsidRDefault="008C5A29" w:rsidP="00D90A44">
      <w:pPr>
        <w:rPr>
          <w:rFonts w:ascii="Cambria" w:hAnsi="Cambria"/>
        </w:rPr>
      </w:pPr>
    </w:p>
    <w:p w:rsidR="008B6703" w:rsidRDefault="00290025" w:rsidP="00D90A44">
      <w:pPr>
        <w:rPr>
          <w:rFonts w:ascii="Cambria" w:hAnsi="Cambria"/>
        </w:rPr>
      </w:pPr>
      <w:r>
        <w:rPr>
          <w:rFonts w:ascii="Cambria" w:hAnsi="Cambria"/>
        </w:rPr>
        <w:t>Over</w:t>
      </w:r>
      <w:r w:rsidR="00184018">
        <w:rPr>
          <w:rFonts w:ascii="Cambria" w:hAnsi="Cambria"/>
        </w:rPr>
        <w:t xml:space="preserve"> the past five years, </w:t>
      </w:r>
      <w:r w:rsidR="00F63042">
        <w:rPr>
          <w:rFonts w:ascii="Cambria" w:hAnsi="Cambria"/>
        </w:rPr>
        <w:t>FHFA</w:t>
      </w:r>
      <w:r w:rsidR="00184018">
        <w:rPr>
          <w:rFonts w:ascii="Cambria" w:hAnsi="Cambria"/>
        </w:rPr>
        <w:t xml:space="preserve"> has proposed three</w:t>
      </w:r>
      <w:r w:rsidR="00F63042">
        <w:rPr>
          <w:rFonts w:ascii="Cambria" w:hAnsi="Cambria"/>
        </w:rPr>
        <w:t xml:space="preserve"> risk-based capital standards for Fannie and Freddie—the June 2018 standard, the</w:t>
      </w:r>
      <w:r w:rsidR="004445FF">
        <w:rPr>
          <w:rFonts w:ascii="Cambria" w:hAnsi="Cambria"/>
        </w:rPr>
        <w:t xml:space="preserve"> May 2020</w:t>
      </w:r>
      <w:r w:rsidR="00F63042">
        <w:rPr>
          <w:rFonts w:ascii="Cambria" w:hAnsi="Cambria"/>
        </w:rPr>
        <w:t xml:space="preserve"> preliminary ERCF, and the</w:t>
      </w:r>
      <w:r w:rsidR="004445FF">
        <w:rPr>
          <w:rFonts w:ascii="Cambria" w:hAnsi="Cambria"/>
        </w:rPr>
        <w:t xml:space="preserve"> December 2020</w:t>
      </w:r>
      <w:r w:rsidR="00F63042">
        <w:rPr>
          <w:rFonts w:ascii="Cambria" w:hAnsi="Cambria"/>
        </w:rPr>
        <w:t xml:space="preserve"> final ERCF</w:t>
      </w:r>
      <w:r w:rsidR="004445FF">
        <w:rPr>
          <w:rFonts w:ascii="Cambria" w:hAnsi="Cambria"/>
        </w:rPr>
        <w:t>. Each of the</w:t>
      </w:r>
      <w:r w:rsidR="00EB3CB1">
        <w:rPr>
          <w:rFonts w:ascii="Cambria" w:hAnsi="Cambria"/>
        </w:rPr>
        <w:t>m</w:t>
      </w:r>
      <w:r w:rsidR="004445FF">
        <w:rPr>
          <w:rFonts w:ascii="Cambria" w:hAnsi="Cambria"/>
        </w:rPr>
        <w:t xml:space="preserve"> appeared, to one degree or another,</w:t>
      </w:r>
      <w:r w:rsidR="00F63042">
        <w:rPr>
          <w:rFonts w:ascii="Cambria" w:hAnsi="Cambria"/>
        </w:rPr>
        <w:t xml:space="preserve"> </w:t>
      </w:r>
      <w:r w:rsidR="004445FF">
        <w:rPr>
          <w:rFonts w:ascii="Cambria" w:hAnsi="Cambria"/>
        </w:rPr>
        <w:t xml:space="preserve">to have been </w:t>
      </w:r>
      <w:r w:rsidR="00F63042">
        <w:rPr>
          <w:rFonts w:ascii="Cambria" w:hAnsi="Cambria"/>
        </w:rPr>
        <w:t xml:space="preserve">engineered to produce a </w:t>
      </w:r>
      <w:r w:rsidR="00184018">
        <w:rPr>
          <w:rFonts w:ascii="Cambria" w:hAnsi="Cambria"/>
        </w:rPr>
        <w:t>desired</w:t>
      </w:r>
      <w:r w:rsidR="00F63042">
        <w:rPr>
          <w:rFonts w:ascii="Cambria" w:hAnsi="Cambria"/>
        </w:rPr>
        <w:t xml:space="preserve"> percentage result</w:t>
      </w:r>
      <w:r w:rsidR="004445FF">
        <w:rPr>
          <w:rFonts w:ascii="Cambria" w:hAnsi="Cambria"/>
        </w:rPr>
        <w:t xml:space="preserve">, </w:t>
      </w:r>
      <w:r>
        <w:rPr>
          <w:rFonts w:ascii="Cambria" w:hAnsi="Cambria"/>
        </w:rPr>
        <w:t>which over time became higher and higher, even as the results of the companies’ Dodd-Frank severely adverse stress tests were improving markedly. (</w:t>
      </w:r>
      <w:r w:rsidR="00EB3CB1">
        <w:rPr>
          <w:rFonts w:ascii="Cambria" w:hAnsi="Cambria"/>
        </w:rPr>
        <w:t xml:space="preserve">To avoid noncomparability, the discussion below uses total assets as a common denominator for all capital percentages. </w:t>
      </w:r>
      <w:r w:rsidR="00654D79">
        <w:rPr>
          <w:rFonts w:ascii="Cambria" w:hAnsi="Cambria"/>
        </w:rPr>
        <w:t xml:space="preserve">FHFA’s </w:t>
      </w:r>
      <w:r w:rsidR="008B6703">
        <w:rPr>
          <w:rFonts w:ascii="Cambria" w:hAnsi="Cambria"/>
        </w:rPr>
        <w:t>May 2018 standard expressed Fannie and Freddie’s required capital as a percent</w:t>
      </w:r>
      <w:r w:rsidR="005E2475">
        <w:rPr>
          <w:rFonts w:ascii="Cambria" w:hAnsi="Cambria"/>
        </w:rPr>
        <w:t>age</w:t>
      </w:r>
      <w:r w:rsidR="008B6703">
        <w:rPr>
          <w:rFonts w:ascii="Cambria" w:hAnsi="Cambria"/>
        </w:rPr>
        <w:t xml:space="preserve"> of total assets and off</w:t>
      </w:r>
      <w:r>
        <w:rPr>
          <w:rFonts w:ascii="Cambria" w:hAnsi="Cambria"/>
        </w:rPr>
        <w:t>-</w:t>
      </w:r>
      <w:r w:rsidR="008B6703">
        <w:rPr>
          <w:rFonts w:ascii="Cambria" w:hAnsi="Cambria"/>
        </w:rPr>
        <w:t>balance sheet guarantees</w:t>
      </w:r>
      <w:r w:rsidR="00654D79">
        <w:rPr>
          <w:rFonts w:ascii="Cambria" w:hAnsi="Cambria"/>
        </w:rPr>
        <w:t xml:space="preserve">, </w:t>
      </w:r>
      <w:r w:rsidR="008B6703">
        <w:rPr>
          <w:rFonts w:ascii="Cambria" w:hAnsi="Cambria"/>
        </w:rPr>
        <w:t>which</w:t>
      </w:r>
      <w:r w:rsidR="00654D79">
        <w:rPr>
          <w:rFonts w:ascii="Cambria" w:hAnsi="Cambria"/>
        </w:rPr>
        <w:t xml:space="preserve"> at September 30, 2017</w:t>
      </w:r>
      <w:r w:rsidR="008B6703">
        <w:rPr>
          <w:rFonts w:ascii="Cambria" w:hAnsi="Cambria"/>
        </w:rPr>
        <w:t xml:space="preserve"> were </w:t>
      </w:r>
      <w:r w:rsidR="00EB3CB1">
        <w:rPr>
          <w:rFonts w:ascii="Cambria" w:hAnsi="Cambria"/>
        </w:rPr>
        <w:t>1.04 times</w:t>
      </w:r>
      <w:r w:rsidR="008B6703">
        <w:rPr>
          <w:rFonts w:ascii="Cambria" w:hAnsi="Cambria"/>
        </w:rPr>
        <w:t xml:space="preserve"> their combined total assets</w:t>
      </w:r>
      <w:r w:rsidR="00EB3CB1">
        <w:rPr>
          <w:rFonts w:ascii="Cambria" w:hAnsi="Cambria"/>
        </w:rPr>
        <w:t>, while the</w:t>
      </w:r>
      <w:r w:rsidR="008B6703">
        <w:rPr>
          <w:rFonts w:ascii="Cambria" w:hAnsi="Cambria"/>
        </w:rPr>
        <w:t xml:space="preserve"> final ERCF </w:t>
      </w:r>
      <w:r w:rsidR="00654D79">
        <w:rPr>
          <w:rFonts w:ascii="Cambria" w:hAnsi="Cambria"/>
        </w:rPr>
        <w:t>expressed capital in terms of a complex measure called</w:t>
      </w:r>
      <w:r w:rsidR="008B6703">
        <w:rPr>
          <w:rFonts w:ascii="Cambria" w:hAnsi="Cambria"/>
        </w:rPr>
        <w:t xml:space="preserve"> “adjusted total asset</w:t>
      </w:r>
      <w:r w:rsidR="00654D79">
        <w:rPr>
          <w:rFonts w:ascii="Cambria" w:hAnsi="Cambria"/>
        </w:rPr>
        <w:t>s,” w</w:t>
      </w:r>
      <w:r w:rsidR="008B6703">
        <w:rPr>
          <w:rFonts w:ascii="Cambria" w:hAnsi="Cambria"/>
        </w:rPr>
        <w:t>hich at June 30, 2020 w</w:t>
      </w:r>
      <w:r w:rsidR="001D1069">
        <w:rPr>
          <w:rFonts w:ascii="Cambria" w:hAnsi="Cambria"/>
        </w:rPr>
        <w:t>as</w:t>
      </w:r>
      <w:r w:rsidR="008B6703">
        <w:rPr>
          <w:rFonts w:ascii="Cambria" w:hAnsi="Cambria"/>
        </w:rPr>
        <w:t xml:space="preserve"> </w:t>
      </w:r>
      <w:r w:rsidR="00EB3CB1">
        <w:rPr>
          <w:rFonts w:ascii="Cambria" w:hAnsi="Cambria"/>
        </w:rPr>
        <w:t>1.09 times</w:t>
      </w:r>
      <w:r w:rsidR="008B6703">
        <w:rPr>
          <w:rFonts w:ascii="Cambria" w:hAnsi="Cambria"/>
        </w:rPr>
        <w:t xml:space="preserve"> Fannie and Freddie’s combined total assets</w:t>
      </w:r>
      <w:r w:rsidR="00EB3CB1">
        <w:rPr>
          <w:rFonts w:ascii="Cambria" w:hAnsi="Cambria"/>
        </w:rPr>
        <w:t>;</w:t>
      </w:r>
      <w:r w:rsidR="00654D79">
        <w:rPr>
          <w:rFonts w:ascii="Cambria" w:hAnsi="Cambria"/>
        </w:rPr>
        <w:t xml:space="preserve"> the results of the Dodd</w:t>
      </w:r>
      <w:r w:rsidR="00D52FDF">
        <w:rPr>
          <w:rFonts w:ascii="Cambria" w:hAnsi="Cambria"/>
        </w:rPr>
        <w:t>-</w:t>
      </w:r>
      <w:r w:rsidR="00654D79">
        <w:rPr>
          <w:rFonts w:ascii="Cambria" w:hAnsi="Cambria"/>
        </w:rPr>
        <w:t xml:space="preserve">Frank stress tests are </w:t>
      </w:r>
      <w:r w:rsidR="00314EC3">
        <w:rPr>
          <w:rFonts w:ascii="Cambria" w:hAnsi="Cambria"/>
        </w:rPr>
        <w:t>given</w:t>
      </w:r>
      <w:r w:rsidR="00654D79">
        <w:rPr>
          <w:rFonts w:ascii="Cambria" w:hAnsi="Cambria"/>
        </w:rPr>
        <w:t xml:space="preserve"> as percentages of total assets.</w:t>
      </w:r>
      <w:r>
        <w:rPr>
          <w:rFonts w:ascii="Cambria" w:hAnsi="Cambria"/>
        </w:rPr>
        <w:t xml:space="preserve">) </w:t>
      </w:r>
      <w:r w:rsidR="008B6703">
        <w:rPr>
          <w:rFonts w:ascii="Cambria" w:hAnsi="Cambria"/>
        </w:rPr>
        <w:t xml:space="preserve">  </w:t>
      </w:r>
    </w:p>
    <w:p w:rsidR="008B6703" w:rsidRDefault="008B6703" w:rsidP="00D90A44">
      <w:pPr>
        <w:rPr>
          <w:rFonts w:ascii="Cambria" w:hAnsi="Cambria"/>
        </w:rPr>
      </w:pPr>
    </w:p>
    <w:p w:rsidR="00D03047" w:rsidRDefault="00F01444" w:rsidP="00D90A44">
      <w:pPr>
        <w:rPr>
          <w:rFonts w:ascii="Cambria" w:hAnsi="Cambria"/>
        </w:rPr>
      </w:pPr>
      <w:r>
        <w:rPr>
          <w:rFonts w:ascii="Cambria" w:hAnsi="Cambria"/>
        </w:rPr>
        <w:t>The</w:t>
      </w:r>
      <w:r w:rsidR="0076307A">
        <w:rPr>
          <w:rFonts w:ascii="Cambria" w:hAnsi="Cambria"/>
        </w:rPr>
        <w:t xml:space="preserve"> average risk-based capital requirement for Fannie and Freddie produced by the</w:t>
      </w:r>
      <w:r>
        <w:rPr>
          <w:rFonts w:ascii="Cambria" w:hAnsi="Cambria"/>
        </w:rPr>
        <w:t xml:space="preserve"> 2018</w:t>
      </w:r>
      <w:r w:rsidR="0076307A">
        <w:rPr>
          <w:rFonts w:ascii="Cambria" w:hAnsi="Cambria"/>
        </w:rPr>
        <w:t xml:space="preserve"> standard</w:t>
      </w:r>
      <w:r>
        <w:rPr>
          <w:rFonts w:ascii="Cambria" w:hAnsi="Cambria"/>
        </w:rPr>
        <w:t xml:space="preserve"> was</w:t>
      </w:r>
      <w:r w:rsidR="0076307A">
        <w:rPr>
          <w:rFonts w:ascii="Cambria" w:hAnsi="Cambria"/>
        </w:rPr>
        <w:t xml:space="preserve"> 3.37 percent of the companies’ total assets at September 30, 2017. This was considerably higher than would have been </w:t>
      </w:r>
      <w:r w:rsidR="00D03047">
        <w:rPr>
          <w:rFonts w:ascii="Cambria" w:hAnsi="Cambria"/>
        </w:rPr>
        <w:t>predicted by the results of the 2017 Dodd-Frank tests, which w</w:t>
      </w:r>
      <w:r w:rsidR="00D76D16">
        <w:rPr>
          <w:rFonts w:ascii="Cambria" w:hAnsi="Cambria"/>
        </w:rPr>
        <w:t xml:space="preserve">as </w:t>
      </w:r>
      <w:r w:rsidR="00D03047">
        <w:rPr>
          <w:rFonts w:ascii="Cambria" w:hAnsi="Cambria"/>
        </w:rPr>
        <w:t>a loss of $35 billion, or 66 basis points of total assets</w:t>
      </w:r>
      <w:r w:rsidR="00383790">
        <w:rPr>
          <w:rFonts w:ascii="Cambria" w:hAnsi="Cambria"/>
        </w:rPr>
        <w:t>,</w:t>
      </w:r>
      <w:r w:rsidR="00D03047">
        <w:rPr>
          <w:rFonts w:ascii="Cambria" w:hAnsi="Cambria"/>
        </w:rPr>
        <w:t xml:space="preserve"> without a valuation reserve on deferred tax assets</w:t>
      </w:r>
      <w:r w:rsidR="00383790">
        <w:rPr>
          <w:rFonts w:ascii="Cambria" w:hAnsi="Cambria"/>
        </w:rPr>
        <w:t xml:space="preserve"> (</w:t>
      </w:r>
      <w:r w:rsidR="00D03047">
        <w:rPr>
          <w:rFonts w:ascii="Cambria" w:hAnsi="Cambria"/>
        </w:rPr>
        <w:t xml:space="preserve">and $100 billion, or </w:t>
      </w:r>
      <w:r w:rsidR="00383790">
        <w:rPr>
          <w:rFonts w:ascii="Cambria" w:hAnsi="Cambria"/>
        </w:rPr>
        <w:t xml:space="preserve">1.87 percent, with such a reserve). </w:t>
      </w:r>
      <w:r w:rsidR="00AC7382">
        <w:rPr>
          <w:rFonts w:ascii="Cambria" w:hAnsi="Cambria"/>
        </w:rPr>
        <w:t>Ye</w:t>
      </w:r>
      <w:r w:rsidR="00383790">
        <w:rPr>
          <w:rFonts w:ascii="Cambria" w:hAnsi="Cambria"/>
        </w:rPr>
        <w:t>t a quick review of the structure of th</w:t>
      </w:r>
      <w:r w:rsidR="00AC7382">
        <w:rPr>
          <w:rFonts w:ascii="Cambria" w:hAnsi="Cambria"/>
        </w:rPr>
        <w:t>is</w:t>
      </w:r>
      <w:r w:rsidR="00383790">
        <w:rPr>
          <w:rFonts w:ascii="Cambria" w:hAnsi="Cambria"/>
        </w:rPr>
        <w:t xml:space="preserve"> standard revealed the main reason for the difference</w:t>
      </w:r>
      <w:r w:rsidR="00B344AB">
        <w:rPr>
          <w:rFonts w:ascii="Cambria" w:hAnsi="Cambria"/>
        </w:rPr>
        <w:t>:</w:t>
      </w:r>
      <w:r w:rsidR="00383790">
        <w:rPr>
          <w:rFonts w:ascii="Cambria" w:hAnsi="Cambria"/>
        </w:rPr>
        <w:t xml:space="preserve"> unlike the FHFA and commercial bank Dodd-Frank stress tests (or episodes of severe stress</w:t>
      </w:r>
      <w:r w:rsidR="00AC7382">
        <w:rPr>
          <w:rFonts w:ascii="Cambria" w:hAnsi="Cambria"/>
        </w:rPr>
        <w:t xml:space="preserve"> in actuality</w:t>
      </w:r>
      <w:r w:rsidR="00383790">
        <w:rPr>
          <w:rFonts w:ascii="Cambria" w:hAnsi="Cambria"/>
        </w:rPr>
        <w:t>), FHFA</w:t>
      </w:r>
      <w:r w:rsidR="00AC7382">
        <w:rPr>
          <w:rFonts w:ascii="Cambria" w:hAnsi="Cambria"/>
        </w:rPr>
        <w:t>’s 2018</w:t>
      </w:r>
      <w:r w:rsidR="00383790">
        <w:rPr>
          <w:rFonts w:ascii="Cambria" w:hAnsi="Cambria"/>
        </w:rPr>
        <w:t xml:space="preserve"> capital standard did </w:t>
      </w:r>
      <w:r w:rsidR="00AC7382">
        <w:rPr>
          <w:rFonts w:ascii="Cambria" w:hAnsi="Cambria"/>
        </w:rPr>
        <w:t>not consider</w:t>
      </w:r>
      <w:r w:rsidR="00B11EAD">
        <w:rPr>
          <w:rFonts w:ascii="Cambria" w:hAnsi="Cambria"/>
        </w:rPr>
        <w:t xml:space="preserve"> guaranty fees on loans that remained outstanding during the stress test </w:t>
      </w:r>
      <w:r w:rsidR="00AC7382">
        <w:rPr>
          <w:rFonts w:ascii="Cambria" w:hAnsi="Cambria"/>
        </w:rPr>
        <w:t>as</w:t>
      </w:r>
      <w:r w:rsidR="00B11EAD">
        <w:rPr>
          <w:rFonts w:ascii="Cambria" w:hAnsi="Cambria"/>
        </w:rPr>
        <w:t xml:space="preserve"> absorbing any credit losses</w:t>
      </w:r>
      <w:r w:rsidR="00AC7382">
        <w:rPr>
          <w:rFonts w:ascii="Cambria" w:hAnsi="Cambria"/>
        </w:rPr>
        <w:t xml:space="preserve">, thus greatly overstating the losses to be </w:t>
      </w:r>
      <w:r w:rsidR="00E37711">
        <w:rPr>
          <w:rFonts w:ascii="Cambria" w:hAnsi="Cambria"/>
        </w:rPr>
        <w:t>covered</w:t>
      </w:r>
      <w:r w:rsidR="00AC7382">
        <w:rPr>
          <w:rFonts w:ascii="Cambria" w:hAnsi="Cambria"/>
        </w:rPr>
        <w:t xml:space="preserve"> by capital.</w:t>
      </w:r>
      <w:r w:rsidR="00B11EAD">
        <w:rPr>
          <w:rFonts w:ascii="Cambria" w:hAnsi="Cambria"/>
        </w:rPr>
        <w:t xml:space="preserve"> FHFA called this feature “conservative.” </w:t>
      </w:r>
      <w:r w:rsidR="00383790">
        <w:rPr>
          <w:rFonts w:ascii="Cambria" w:hAnsi="Cambria"/>
        </w:rPr>
        <w:t xml:space="preserve">  </w:t>
      </w:r>
      <w:r w:rsidR="00D03047">
        <w:rPr>
          <w:rFonts w:ascii="Cambria" w:hAnsi="Cambria"/>
        </w:rPr>
        <w:t xml:space="preserve"> </w:t>
      </w:r>
    </w:p>
    <w:p w:rsidR="00D03047" w:rsidRDefault="00D03047" w:rsidP="00D90A44">
      <w:pPr>
        <w:rPr>
          <w:rFonts w:ascii="Cambria" w:hAnsi="Cambria"/>
        </w:rPr>
      </w:pPr>
    </w:p>
    <w:p w:rsidR="00B77BC1" w:rsidRDefault="00587AA2" w:rsidP="00831F92">
      <w:pPr>
        <w:rPr>
          <w:rFonts w:ascii="Cambria" w:eastAsia="Times New Roman" w:hAnsi="Cambria" w:cs="Times New Roman"/>
          <w:color w:val="000000" w:themeColor="text1"/>
          <w:shd w:val="clear" w:color="auto" w:fill="FFFFFF"/>
        </w:rPr>
      </w:pPr>
      <w:r>
        <w:rPr>
          <w:rFonts w:ascii="Cambria" w:hAnsi="Cambria"/>
        </w:rPr>
        <w:t xml:space="preserve">In two years, the risk-based capital required of Fannie and Freddie by the 2018 standard had fallen considerably, to 2.42 percent of total assets as of September 30, 2019. </w:t>
      </w:r>
      <w:r w:rsidR="008E21E5">
        <w:rPr>
          <w:rFonts w:ascii="Cambria" w:hAnsi="Cambria"/>
        </w:rPr>
        <w:t>Some</w:t>
      </w:r>
      <w:r>
        <w:rPr>
          <w:rFonts w:ascii="Cambria" w:hAnsi="Cambria"/>
        </w:rPr>
        <w:t xml:space="preserve"> of this decline was the result of improvements in</w:t>
      </w:r>
      <w:r w:rsidR="008E21E5">
        <w:rPr>
          <w:rFonts w:ascii="Cambria" w:hAnsi="Cambria"/>
        </w:rPr>
        <w:t xml:space="preserve"> the</w:t>
      </w:r>
      <w:r>
        <w:rPr>
          <w:rFonts w:ascii="Cambria" w:hAnsi="Cambria"/>
        </w:rPr>
        <w:t xml:space="preserve"> credit quality of </w:t>
      </w:r>
      <w:r w:rsidR="008E21E5">
        <w:rPr>
          <w:rFonts w:ascii="Cambria" w:hAnsi="Cambria"/>
        </w:rPr>
        <w:t>new</w:t>
      </w:r>
      <w:r>
        <w:rPr>
          <w:rFonts w:ascii="Cambria" w:hAnsi="Cambria"/>
        </w:rPr>
        <w:t xml:space="preserve"> mortgages being guaranteed by Fannie and Freddie, but most </w:t>
      </w:r>
      <w:r w:rsidR="008E21E5">
        <w:rPr>
          <w:rFonts w:ascii="Cambria" w:hAnsi="Cambria"/>
        </w:rPr>
        <w:t>resulted from non-risk-based</w:t>
      </w:r>
      <w:r>
        <w:rPr>
          <w:rFonts w:ascii="Cambria" w:hAnsi="Cambria"/>
        </w:rPr>
        <w:t xml:space="preserve"> </w:t>
      </w:r>
      <w:r w:rsidR="00376954">
        <w:rPr>
          <w:rFonts w:ascii="Cambria" w:hAnsi="Cambria"/>
        </w:rPr>
        <w:t>anomalies</w:t>
      </w:r>
      <w:r>
        <w:rPr>
          <w:rFonts w:ascii="Cambria" w:hAnsi="Cambria"/>
        </w:rPr>
        <w:t xml:space="preserve"> in the standard</w:t>
      </w:r>
      <w:r w:rsidR="008E21E5">
        <w:rPr>
          <w:rFonts w:ascii="Cambria" w:hAnsi="Cambria"/>
        </w:rPr>
        <w:t xml:space="preserve">. </w:t>
      </w:r>
      <w:r w:rsidR="00831F92">
        <w:rPr>
          <w:rFonts w:ascii="Cambria" w:hAnsi="Cambria"/>
        </w:rPr>
        <w:t xml:space="preserve">And by then, </w:t>
      </w:r>
      <w:r w:rsidR="00513E26">
        <w:rPr>
          <w:rFonts w:ascii="Cambria" w:hAnsi="Cambria"/>
        </w:rPr>
        <w:t>incoming</w:t>
      </w:r>
      <w:r w:rsidR="00831F92">
        <w:rPr>
          <w:rFonts w:ascii="Cambria" w:hAnsi="Cambria"/>
        </w:rPr>
        <w:t xml:space="preserve"> FHFA Director Mark Calabria had not only announced his intention to promulgate a </w:t>
      </w:r>
      <w:r w:rsidR="00FC5C51">
        <w:rPr>
          <w:rFonts w:ascii="Cambria" w:hAnsi="Cambria"/>
        </w:rPr>
        <w:t>new</w:t>
      </w:r>
      <w:r w:rsidR="00831F92">
        <w:rPr>
          <w:rFonts w:ascii="Cambria" w:hAnsi="Cambria"/>
        </w:rPr>
        <w:t xml:space="preserve"> capital sta</w:t>
      </w:r>
      <w:r w:rsidR="00071159">
        <w:rPr>
          <w:rFonts w:ascii="Cambria" w:hAnsi="Cambria"/>
        </w:rPr>
        <w:t>ndard</w:t>
      </w:r>
      <w:r w:rsidR="00831F92">
        <w:rPr>
          <w:rFonts w:ascii="Cambria" w:hAnsi="Cambria"/>
        </w:rPr>
        <w:t xml:space="preserve"> for Fannie and Freddie, but </w:t>
      </w:r>
      <w:r w:rsidR="00071159">
        <w:rPr>
          <w:rFonts w:ascii="Cambria" w:hAnsi="Cambria"/>
        </w:rPr>
        <w:t xml:space="preserve">also signaled, </w:t>
      </w:r>
      <w:r w:rsidR="00071159">
        <w:rPr>
          <w:rFonts w:ascii="Cambria" w:hAnsi="Cambria"/>
        </w:rPr>
        <w:lastRenderedPageBreak/>
        <w:t xml:space="preserve">well before that standard was proposed, what he thought the companies’ required capital percentage </w:t>
      </w:r>
      <w:r w:rsidR="000E1FDF">
        <w:rPr>
          <w:rFonts w:ascii="Cambria" w:hAnsi="Cambria"/>
        </w:rPr>
        <w:t>ought to</w:t>
      </w:r>
      <w:r w:rsidR="00071159">
        <w:rPr>
          <w:rFonts w:ascii="Cambria" w:hAnsi="Cambria"/>
        </w:rPr>
        <w:t xml:space="preserve"> be, saying </w:t>
      </w:r>
      <w:r w:rsidR="00831F92">
        <w:rPr>
          <w:rFonts w:ascii="Cambria" w:hAnsi="Cambria"/>
        </w:rPr>
        <w:t>in an interview on Fox Business, “</w:t>
      </w:r>
      <w:r w:rsidR="00831F92">
        <w:rPr>
          <w:rFonts w:ascii="Cambria" w:eastAsia="Times New Roman" w:hAnsi="Cambria" w:cs="Times New Roman"/>
          <w:color w:val="000000" w:themeColor="text1"/>
          <w:shd w:val="clear" w:color="auto" w:fill="FFFFFF"/>
        </w:rPr>
        <w:t xml:space="preserve">I think our objective over time is that you have capital levels at Fannie and Freddie that are comparable to other large financial institutions,” and that 4.5 percent capital was “kind of in the neighborhood of where we’re looking at.” </w:t>
      </w:r>
    </w:p>
    <w:p w:rsidR="00B77BC1" w:rsidRDefault="00B77BC1" w:rsidP="00831F92">
      <w:pPr>
        <w:rPr>
          <w:rFonts w:ascii="Cambria" w:eastAsia="Times New Roman" w:hAnsi="Cambria" w:cs="Times New Roman"/>
          <w:color w:val="000000" w:themeColor="text1"/>
          <w:shd w:val="clear" w:color="auto" w:fill="FFFFFF"/>
        </w:rPr>
      </w:pPr>
    </w:p>
    <w:p w:rsidR="00A07258" w:rsidRDefault="00A07258" w:rsidP="00A07258">
      <w:pPr>
        <w:rPr>
          <w:rFonts w:ascii="Cambria" w:eastAsia="Times New Roman" w:hAnsi="Cambria" w:cs="Times New Roman"/>
          <w:color w:val="000000" w:themeColor="text1"/>
          <w:shd w:val="clear" w:color="auto" w:fill="FFFFFF"/>
        </w:rPr>
      </w:pPr>
      <w:r>
        <w:rPr>
          <w:rFonts w:ascii="Cambria" w:eastAsia="Times New Roman" w:hAnsi="Cambria" w:cs="Times New Roman"/>
          <w:color w:val="000000" w:themeColor="text1"/>
          <w:shd w:val="clear" w:color="auto" w:fill="FFFFFF"/>
        </w:rPr>
        <w:t>When the ERCF was first proposed, Calabria had added a 1.5 percent “prescribed leverage buffer amount” to the 2.5 percent minimum capital requirement of the 2018 standard, bringing total required minimum capital to 4.0 percent. He also changed the structure of the risk-based standard to bring Fannie and Freddie’s average required risk-based capital as of September 30, 2019 up to 4.13 percent of total assets, or 3.85 percent of the “adjusted total asset” measure he preferred. After receiving criticism that his 4.0 percent minimum capital requirement (which he also applied to “adjusted total assets”) should not be above the risk-based percentage, Calabria’s response in the final December 2020 standard was not to reduce the minimum, but to add more non-risk-based elements to the risk-based component, raising it to 4.65 percent of total assets (or 4.27 percent of adjusted total assets) at June 30, 2020</w:t>
      </w:r>
      <w:r w:rsidR="00314494">
        <w:rPr>
          <w:rFonts w:ascii="Cambria" w:eastAsia="Times New Roman" w:hAnsi="Cambria" w:cs="Times New Roman"/>
          <w:color w:val="000000" w:themeColor="text1"/>
          <w:shd w:val="clear" w:color="auto" w:fill="FFFFFF"/>
        </w:rPr>
        <w:t>—n</w:t>
      </w:r>
      <w:r>
        <w:rPr>
          <w:rFonts w:ascii="Cambria" w:eastAsia="Times New Roman" w:hAnsi="Cambria" w:cs="Times New Roman"/>
          <w:color w:val="000000" w:themeColor="text1"/>
          <w:shd w:val="clear" w:color="auto" w:fill="FFFFFF"/>
        </w:rPr>
        <w:t xml:space="preserve">early double the 2.42 percent required of the companies by the June 2018 capital standard just nine months earlier. Neither Fannie nor Freddie needed </w:t>
      </w:r>
      <w:r w:rsidRPr="0092528D">
        <w:rPr>
          <w:rFonts w:ascii="Cambria" w:eastAsia="Times New Roman" w:hAnsi="Cambria" w:cs="Times New Roman"/>
          <w:color w:val="000000" w:themeColor="text1"/>
          <w:u w:val="single"/>
          <w:shd w:val="clear" w:color="auto" w:fill="FFFFFF"/>
        </w:rPr>
        <w:t>any</w:t>
      </w:r>
      <w:r>
        <w:rPr>
          <w:rFonts w:ascii="Cambria" w:eastAsia="Times New Roman" w:hAnsi="Cambria" w:cs="Times New Roman"/>
          <w:color w:val="000000" w:themeColor="text1"/>
          <w:shd w:val="clear" w:color="auto" w:fill="FFFFFF"/>
        </w:rPr>
        <w:t xml:space="preserve"> initial capital to survive FHFA’s Dodd-Frank severely adverse stress tests run in 2021.</w:t>
      </w:r>
    </w:p>
    <w:p w:rsidR="00B77BC1" w:rsidRDefault="00B77BC1" w:rsidP="00831F92">
      <w:pPr>
        <w:rPr>
          <w:rFonts w:ascii="Cambria" w:eastAsia="Times New Roman" w:hAnsi="Cambria" w:cs="Times New Roman"/>
          <w:color w:val="000000" w:themeColor="text1"/>
          <w:shd w:val="clear" w:color="auto" w:fill="FFFFFF"/>
        </w:rPr>
      </w:pPr>
    </w:p>
    <w:p w:rsidR="009038D1" w:rsidRPr="009038D1" w:rsidRDefault="009038D1" w:rsidP="00D90A44">
      <w:pPr>
        <w:rPr>
          <w:rFonts w:ascii="Cambria" w:hAnsi="Cambria"/>
          <w:u w:val="single"/>
        </w:rPr>
      </w:pPr>
      <w:r>
        <w:rPr>
          <w:rFonts w:ascii="Cambria" w:eastAsia="Times New Roman" w:hAnsi="Cambria" w:cs="Times New Roman"/>
          <w:color w:val="000000" w:themeColor="text1"/>
          <w:u w:val="single"/>
          <w:shd w:val="clear" w:color="auto" w:fill="FFFFFF"/>
        </w:rPr>
        <w:t>A true risk-based standard</w:t>
      </w:r>
    </w:p>
    <w:p w:rsidR="00F01444" w:rsidRPr="00C47C17" w:rsidRDefault="00F01444" w:rsidP="00D90A44">
      <w:pPr>
        <w:rPr>
          <w:rFonts w:ascii="Cambria" w:hAnsi="Cambria"/>
        </w:rPr>
      </w:pPr>
    </w:p>
    <w:p w:rsidR="007E4219" w:rsidRDefault="007E4219" w:rsidP="007E4219">
      <w:pPr>
        <w:rPr>
          <w:rFonts w:ascii="Cambria" w:hAnsi="Cambria"/>
        </w:rPr>
      </w:pPr>
      <w:r>
        <w:rPr>
          <w:rFonts w:ascii="Cambria" w:hAnsi="Cambria"/>
        </w:rPr>
        <w:t xml:space="preserve">The concept of a true risk-based capital standard is simple. It is based on a stress test, in which a company’s book of credit guarantees is subjected to a simulated environment of falling home prices (and interest rates) of some specified amount. In Fannie and Freddie’s case, FHFA has chosen a replication of the stress environment of the Great Financial Crisis, in which average home prices nationwide fell by more than 25 percent peak to trough. The stress test is run on a liquidating book of business, which is conservative, because in an actual stress environment a company would at a minimum be replacing its runoff with new business, at equal or higher guaranty fees and with minimal losses in their initial years. The stress test reveals the amount of initial capital required to survive it, and to produce the full risk-based capital requirement an amount is added to account for model risk, operational and other risks, and provide a “margin of safety”—although not so much as to override the risk-based sensitivities of the standard. Typically, a minimum capital, or leverage, standard is then set so that the risk-based standard </w:t>
      </w:r>
      <w:r w:rsidR="001F69DF">
        <w:rPr>
          <w:rFonts w:ascii="Cambria" w:hAnsi="Cambria"/>
        </w:rPr>
        <w:t>is</w:t>
      </w:r>
      <w:r>
        <w:rPr>
          <w:rFonts w:ascii="Cambria" w:hAnsi="Cambria"/>
        </w:rPr>
        <w:t xml:space="preserve"> binding on the company most of the time.  </w:t>
      </w:r>
    </w:p>
    <w:p w:rsidR="007E4219" w:rsidRDefault="007E4219" w:rsidP="007D039F">
      <w:pPr>
        <w:rPr>
          <w:rFonts w:ascii="Cambria" w:hAnsi="Cambria"/>
        </w:rPr>
      </w:pPr>
    </w:p>
    <w:p w:rsidR="004254D3" w:rsidRDefault="005E4A01" w:rsidP="007D039F">
      <w:pPr>
        <w:rPr>
          <w:rFonts w:ascii="Cambria" w:hAnsi="Cambria"/>
        </w:rPr>
      </w:pPr>
      <w:r>
        <w:rPr>
          <w:rFonts w:ascii="Cambria" w:hAnsi="Cambria"/>
        </w:rPr>
        <w:t>With the ERCF, th</w:t>
      </w:r>
      <w:r w:rsidR="009C262A">
        <w:rPr>
          <w:rFonts w:ascii="Cambria" w:hAnsi="Cambria"/>
        </w:rPr>
        <w:t>is</w:t>
      </w:r>
      <w:r>
        <w:rPr>
          <w:rFonts w:ascii="Cambria" w:hAnsi="Cambria"/>
        </w:rPr>
        <w:t xml:space="preserve"> capital setting process was reversed. Director Calabria began with a pre-determined minimum capital requirement of 4.0 percent, then engineered the risk-based requirement to produce a result that first was close to (in the preliminary proposal) and then above (in the final standard) that minimum percentage.</w:t>
      </w:r>
      <w:r w:rsidR="006429F7">
        <w:rPr>
          <w:rFonts w:ascii="Cambria" w:hAnsi="Cambria"/>
        </w:rPr>
        <w:t xml:space="preserve"> </w:t>
      </w:r>
    </w:p>
    <w:p w:rsidR="004254D3" w:rsidRDefault="004254D3" w:rsidP="007D039F">
      <w:pPr>
        <w:rPr>
          <w:rFonts w:ascii="Cambria" w:hAnsi="Cambria"/>
        </w:rPr>
      </w:pPr>
    </w:p>
    <w:p w:rsidR="0020390C" w:rsidRDefault="0020390C" w:rsidP="0020390C">
      <w:pPr>
        <w:rPr>
          <w:rFonts w:ascii="Cambria" w:hAnsi="Cambria"/>
        </w:rPr>
      </w:pPr>
      <w:r>
        <w:rPr>
          <w:rFonts w:ascii="Cambria" w:hAnsi="Cambria"/>
        </w:rPr>
        <w:t>It is possible, however, to use historical and current data to approximate the amount of initial capital Fannie and Freddie would require to survive the stress they experienced during the Great Financial Crisis, were it to occur again. In its June 2018 capital proposal, FHFA said that the credit loss rate of Fannie’s 2007 single-family book of business</w:t>
      </w:r>
      <w:r w:rsidRPr="001037ED">
        <w:rPr>
          <w:rFonts w:ascii="Cambria" w:hAnsi="Cambria"/>
        </w:rPr>
        <w:t xml:space="preserve"> </w:t>
      </w:r>
      <w:r>
        <w:rPr>
          <w:rFonts w:ascii="Cambria" w:hAnsi="Cambria"/>
        </w:rPr>
        <w:t xml:space="preserve">“using current acquisition criteria”—that is, without the Alt A loans, interest-only ARMs and risk </w:t>
      </w:r>
      <w:r>
        <w:rPr>
          <w:rFonts w:ascii="Cambria" w:hAnsi="Cambria"/>
        </w:rPr>
        <w:lastRenderedPageBreak/>
        <w:t>layering that resulted in over half of that book’s losses—would have been only 150 basis points through September 30, 2017. Using the pattern of Fannie’s actual credit losses, this would translate into a cumulative loss rate of about 11</w:t>
      </w:r>
      <w:r w:rsidR="00A70480">
        <w:rPr>
          <w:rFonts w:ascii="Cambria" w:hAnsi="Cambria"/>
        </w:rPr>
        <w:t>5</w:t>
      </w:r>
      <w:r>
        <w:rPr>
          <w:rFonts w:ascii="Cambria" w:hAnsi="Cambria"/>
        </w:rPr>
        <w:t xml:space="preserve"> basis points after the first five years of stress (at which point, during the crisis, Fannie’s revenues were again sufficient to absorb all current-year credit losses). In 2022, Fannie and Freddie’s average single-family net guaranty fee (total guaranty fee less TCCA fees paid to Treasury and 7.8 basis points of average administrative expenses) was 39.4 basis points. As going concerns, and</w:t>
      </w:r>
      <w:r w:rsidR="00057A9D">
        <w:rPr>
          <w:rFonts w:ascii="Cambria" w:hAnsi="Cambria"/>
        </w:rPr>
        <w:t xml:space="preserve"> without any</w:t>
      </w:r>
      <w:r w:rsidR="00870143">
        <w:rPr>
          <w:rFonts w:ascii="Cambria" w:hAnsi="Cambria"/>
        </w:rPr>
        <w:t xml:space="preserve"> </w:t>
      </w:r>
      <w:r w:rsidR="006A65BA">
        <w:rPr>
          <w:rFonts w:ascii="Cambria" w:hAnsi="Cambria"/>
        </w:rPr>
        <w:t>business</w:t>
      </w:r>
      <w:r w:rsidR="00057A9D">
        <w:rPr>
          <w:rFonts w:ascii="Cambria" w:hAnsi="Cambria"/>
        </w:rPr>
        <w:t xml:space="preserve"> growth</w:t>
      </w:r>
      <w:r>
        <w:rPr>
          <w:rFonts w:ascii="Cambria" w:hAnsi="Cambria"/>
        </w:rPr>
        <w:t>, an average net guaranty fee of 39.4 basis points would produce 197 basis points of cumulative net guaranty fee income in five years—far more than required to cover 11</w:t>
      </w:r>
      <w:r w:rsidR="00A70480">
        <w:rPr>
          <w:rFonts w:ascii="Cambria" w:hAnsi="Cambria"/>
        </w:rPr>
        <w:t>5</w:t>
      </w:r>
      <w:r>
        <w:rPr>
          <w:rFonts w:ascii="Cambria" w:hAnsi="Cambria"/>
        </w:rPr>
        <w:t xml:space="preserve"> basis points of cumulative stress losses over the same period, with</w:t>
      </w:r>
      <w:r w:rsidR="00057A9D">
        <w:rPr>
          <w:rFonts w:ascii="Cambria" w:hAnsi="Cambria"/>
        </w:rPr>
        <w:t xml:space="preserve"> no need to touch</w:t>
      </w:r>
      <w:r w:rsidR="00870143">
        <w:rPr>
          <w:rFonts w:ascii="Cambria" w:hAnsi="Cambria"/>
        </w:rPr>
        <w:t xml:space="preserve"> </w:t>
      </w:r>
      <w:r>
        <w:rPr>
          <w:rFonts w:ascii="Cambria" w:hAnsi="Cambria"/>
        </w:rPr>
        <w:t>capital.</w:t>
      </w:r>
      <w:r w:rsidR="00FD6E12">
        <w:rPr>
          <w:rFonts w:ascii="Cambria" w:hAnsi="Cambria"/>
        </w:rPr>
        <w:t xml:space="preserve"> The</w:t>
      </w:r>
      <w:r w:rsidR="00E0766C">
        <w:rPr>
          <w:rFonts w:ascii="Cambria" w:hAnsi="Cambria"/>
        </w:rPr>
        <w:t xml:space="preserve"> companies’</w:t>
      </w:r>
      <w:r w:rsidR="00FD6E12">
        <w:rPr>
          <w:rFonts w:ascii="Cambria" w:hAnsi="Cambria"/>
        </w:rPr>
        <w:t xml:space="preserve"> recent Dodd-Frank stress test</w:t>
      </w:r>
      <w:r w:rsidR="006A65BA">
        <w:rPr>
          <w:rFonts w:ascii="Cambria" w:hAnsi="Cambria"/>
        </w:rPr>
        <w:t xml:space="preserve"> results</w:t>
      </w:r>
      <w:r w:rsidR="00FD6E12">
        <w:rPr>
          <w:rFonts w:ascii="Cambria" w:hAnsi="Cambria"/>
        </w:rPr>
        <w:t xml:space="preserve"> support this analysis.</w:t>
      </w:r>
    </w:p>
    <w:p w:rsidR="004B423F" w:rsidRDefault="004B423F" w:rsidP="004A09C1">
      <w:pPr>
        <w:rPr>
          <w:rFonts w:ascii="Cambria" w:hAnsi="Cambria"/>
        </w:rPr>
      </w:pPr>
    </w:p>
    <w:p w:rsidR="007A6D09" w:rsidRDefault="007A6D09" w:rsidP="007A6D09">
      <w:pPr>
        <w:rPr>
          <w:rFonts w:ascii="Cambria" w:hAnsi="Cambria"/>
        </w:rPr>
      </w:pPr>
      <w:r>
        <w:rPr>
          <w:rFonts w:ascii="Cambria" w:hAnsi="Cambria"/>
        </w:rPr>
        <w:t>It thus is not an exaggeration to say that more than all of the “risk-based” capital required of Fannie and Freddie by the ERCF at March 31, 2023—4</w:t>
      </w:r>
      <w:r>
        <w:rPr>
          <w:rFonts w:ascii="Cambria" w:eastAsia="Times New Roman" w:hAnsi="Cambria" w:cs="Times New Roman"/>
          <w:color w:val="000000" w:themeColor="text1"/>
          <w:shd w:val="clear" w:color="auto" w:fill="FFFFFF"/>
        </w:rPr>
        <w:t>.07 percent of total assets, or 3.70 percent of adjusted total assets—is a</w:t>
      </w:r>
      <w:r>
        <w:rPr>
          <w:rFonts w:ascii="Cambria" w:hAnsi="Cambria"/>
        </w:rPr>
        <w:t xml:space="preserve"> non-risk-based cushion of some sort, whether from highly conservative assumptions, imposed minimums, or add-ons. FHFA therefore has choices as to which</w:t>
      </w:r>
      <w:r w:rsidR="00E0766C">
        <w:rPr>
          <w:rFonts w:ascii="Cambria" w:hAnsi="Cambria"/>
        </w:rPr>
        <w:t xml:space="preserve"> of the</w:t>
      </w:r>
      <w:r>
        <w:rPr>
          <w:rFonts w:ascii="Cambria" w:hAnsi="Cambria"/>
        </w:rPr>
        <w:t xml:space="preserve"> non-risk-based aspects of the ERCF it can eliminate or pare back, in an amount sufficient to materially lower overall guaranty fees, permit efficient cross-subsidization between lower-risk and higher-risk loans, and allow Fannie and Freddie to earn market returns on the much lower, but still very conservative, amount of capital they will be required to hold. The four most significant elements of conservatism (or unrealism) in the ERCF, and their sources and degrees of conservatism, are </w:t>
      </w:r>
      <w:r w:rsidR="006508CE">
        <w:rPr>
          <w:rFonts w:ascii="Cambria" w:hAnsi="Cambria"/>
        </w:rPr>
        <w:t>addressed</w:t>
      </w:r>
      <w:r>
        <w:rPr>
          <w:rFonts w:ascii="Cambria" w:hAnsi="Cambria"/>
        </w:rPr>
        <w:t xml:space="preserve"> briefly below.  </w:t>
      </w:r>
    </w:p>
    <w:p w:rsidR="004E4DAB" w:rsidRDefault="004E4DAB" w:rsidP="007D039F">
      <w:pPr>
        <w:rPr>
          <w:rFonts w:ascii="Cambria" w:hAnsi="Cambria"/>
        </w:rPr>
      </w:pPr>
    </w:p>
    <w:p w:rsidR="007D039F" w:rsidRPr="004E4DAB" w:rsidRDefault="007D039F" w:rsidP="007D039F">
      <w:pPr>
        <w:rPr>
          <w:rFonts w:ascii="Cambria" w:hAnsi="Cambria"/>
        </w:rPr>
      </w:pPr>
      <w:r w:rsidRPr="00B77BC1">
        <w:rPr>
          <w:rFonts w:ascii="Cambria" w:hAnsi="Cambria"/>
          <w:i/>
          <w:iCs/>
        </w:rPr>
        <w:t>Ignoring guaranty fee absorption of credit losses</w:t>
      </w:r>
    </w:p>
    <w:p w:rsidR="007D039F" w:rsidRDefault="007D039F" w:rsidP="007D039F">
      <w:pPr>
        <w:rPr>
          <w:rFonts w:ascii="Cambria" w:hAnsi="Cambria"/>
          <w:u w:val="single"/>
        </w:rPr>
      </w:pPr>
    </w:p>
    <w:p w:rsidR="007D039F" w:rsidRDefault="00BE5E01" w:rsidP="007D039F">
      <w:pPr>
        <w:rPr>
          <w:rFonts w:ascii="Cambria" w:hAnsi="Cambria"/>
        </w:rPr>
      </w:pPr>
      <w:r>
        <w:rPr>
          <w:rFonts w:ascii="Cambria" w:hAnsi="Cambria"/>
        </w:rPr>
        <w:t>Fannie and Freddie’s</w:t>
      </w:r>
      <w:r w:rsidR="005C266B">
        <w:rPr>
          <w:rFonts w:ascii="Cambria" w:hAnsi="Cambria"/>
        </w:rPr>
        <w:t xml:space="preserve"> single-family</w:t>
      </w:r>
      <w:r>
        <w:rPr>
          <w:rFonts w:ascii="Cambria" w:hAnsi="Cambria"/>
        </w:rPr>
        <w:t xml:space="preserve"> stress test</w:t>
      </w:r>
      <w:r w:rsidR="005C266B">
        <w:rPr>
          <w:rFonts w:ascii="Cambria" w:hAnsi="Cambria"/>
        </w:rPr>
        <w:t>s are</w:t>
      </w:r>
      <w:r>
        <w:rPr>
          <w:rFonts w:ascii="Cambria" w:hAnsi="Cambria"/>
        </w:rPr>
        <w:t xml:space="preserve"> run on a liquidating book</w:t>
      </w:r>
      <w:r w:rsidR="00DB0B5F">
        <w:rPr>
          <w:rFonts w:ascii="Cambria" w:hAnsi="Cambria"/>
        </w:rPr>
        <w:t xml:space="preserve"> of business</w:t>
      </w:r>
      <w:r w:rsidR="00D71CFB">
        <w:rPr>
          <w:rFonts w:ascii="Cambria" w:hAnsi="Cambria"/>
        </w:rPr>
        <w:t>. F</w:t>
      </w:r>
      <w:r w:rsidR="005C266B">
        <w:rPr>
          <w:rFonts w:ascii="Cambria" w:hAnsi="Cambria"/>
        </w:rPr>
        <w:t xml:space="preserve">annie </w:t>
      </w:r>
      <w:r w:rsidR="00D71CFB">
        <w:rPr>
          <w:rFonts w:ascii="Cambria" w:hAnsi="Cambria"/>
        </w:rPr>
        <w:t>has put</w:t>
      </w:r>
      <w:r w:rsidR="005C266B">
        <w:rPr>
          <w:rFonts w:ascii="Cambria" w:hAnsi="Cambria"/>
        </w:rPr>
        <w:t xml:space="preserve"> out data that enables us to track the prepayment rate</w:t>
      </w:r>
      <w:r w:rsidR="00D71CFB">
        <w:rPr>
          <w:rFonts w:ascii="Cambria" w:hAnsi="Cambria"/>
        </w:rPr>
        <w:t>s</w:t>
      </w:r>
      <w:r w:rsidR="005C266B">
        <w:rPr>
          <w:rFonts w:ascii="Cambria" w:hAnsi="Cambria"/>
        </w:rPr>
        <w:t xml:space="preserve"> of its December 31, 2007 single-family mortgage book that experienced the stress of the Great Financial Crisis</w:t>
      </w:r>
      <w:r w:rsidR="00D71CFB">
        <w:rPr>
          <w:rFonts w:ascii="Cambria" w:hAnsi="Cambria"/>
        </w:rPr>
        <w:t xml:space="preserve">. </w:t>
      </w:r>
      <w:r w:rsidR="005C266B">
        <w:rPr>
          <w:rFonts w:ascii="Cambria" w:hAnsi="Cambria"/>
        </w:rPr>
        <w:t xml:space="preserve">(Freddie has not published comparable data.) </w:t>
      </w:r>
      <w:r w:rsidR="00DB0B5F">
        <w:rPr>
          <w:rFonts w:ascii="Cambria" w:hAnsi="Cambria"/>
        </w:rPr>
        <w:t xml:space="preserve">Were Fannie and Freddie’s combined $6.51 trillion single-family books at March 31, 2023 to experience </w:t>
      </w:r>
      <w:r w:rsidR="00DD1CE6">
        <w:rPr>
          <w:rFonts w:ascii="Cambria" w:hAnsi="Cambria"/>
        </w:rPr>
        <w:t>the</w:t>
      </w:r>
      <w:r w:rsidR="00F30255">
        <w:rPr>
          <w:rFonts w:ascii="Cambria" w:hAnsi="Cambria"/>
        </w:rPr>
        <w:t xml:space="preserve">se </w:t>
      </w:r>
      <w:r w:rsidR="00DD1CE6">
        <w:rPr>
          <w:rFonts w:ascii="Cambria" w:hAnsi="Cambria"/>
        </w:rPr>
        <w:t>same</w:t>
      </w:r>
      <w:r w:rsidR="00DB0B5F">
        <w:rPr>
          <w:rFonts w:ascii="Cambria" w:hAnsi="Cambria"/>
        </w:rPr>
        <w:t xml:space="preserve"> stress prepayment rates, their 39.4 basis</w:t>
      </w:r>
      <w:r w:rsidR="00F11324">
        <w:rPr>
          <w:rFonts w:ascii="Cambria" w:hAnsi="Cambria"/>
        </w:rPr>
        <w:t>-</w:t>
      </w:r>
      <w:r w:rsidR="00DB0B5F">
        <w:rPr>
          <w:rFonts w:ascii="Cambria" w:hAnsi="Cambria"/>
        </w:rPr>
        <w:t>point average net guaranty fee would produce approximately $13</w:t>
      </w:r>
      <w:r w:rsidR="00087AB7">
        <w:rPr>
          <w:rFonts w:ascii="Cambria" w:hAnsi="Cambria"/>
        </w:rPr>
        <w:t>2</w:t>
      </w:r>
      <w:r w:rsidR="00DB0B5F">
        <w:rPr>
          <w:rFonts w:ascii="Cambria" w:hAnsi="Cambria"/>
        </w:rPr>
        <w:t xml:space="preserve"> billion as those books liquidated over their lives. That </w:t>
      </w:r>
      <w:r w:rsidR="00087AB7">
        <w:rPr>
          <w:rFonts w:ascii="Cambria" w:hAnsi="Cambria"/>
        </w:rPr>
        <w:t>equates to</w:t>
      </w:r>
      <w:r w:rsidR="00DB0B5F">
        <w:rPr>
          <w:rFonts w:ascii="Cambria" w:hAnsi="Cambria"/>
        </w:rPr>
        <w:t xml:space="preserve"> </w:t>
      </w:r>
      <w:r w:rsidR="00DD1CE6">
        <w:rPr>
          <w:rFonts w:ascii="Cambria" w:hAnsi="Cambria"/>
        </w:rPr>
        <w:t>17</w:t>
      </w:r>
      <w:r w:rsidR="00087AB7">
        <w:rPr>
          <w:rFonts w:ascii="Cambria" w:hAnsi="Cambria"/>
        </w:rPr>
        <w:t>5</w:t>
      </w:r>
      <w:r w:rsidR="00DD1CE6">
        <w:rPr>
          <w:rFonts w:ascii="Cambria" w:hAnsi="Cambria"/>
        </w:rPr>
        <w:t xml:space="preserve"> basis points of the companies’ </w:t>
      </w:r>
      <w:r w:rsidR="00087AB7">
        <w:rPr>
          <w:rFonts w:ascii="Cambria" w:hAnsi="Cambria"/>
        </w:rPr>
        <w:t xml:space="preserve">$7.54 trillion in </w:t>
      </w:r>
      <w:r w:rsidR="00F11324">
        <w:rPr>
          <w:rFonts w:ascii="Cambria" w:hAnsi="Cambria"/>
        </w:rPr>
        <w:t xml:space="preserve">combined </w:t>
      </w:r>
      <w:r w:rsidR="00DD1CE6">
        <w:rPr>
          <w:rFonts w:ascii="Cambria" w:hAnsi="Cambria"/>
        </w:rPr>
        <w:t>total assets</w:t>
      </w:r>
      <w:r w:rsidR="00F11324">
        <w:rPr>
          <w:rFonts w:ascii="Cambria" w:hAnsi="Cambria"/>
        </w:rPr>
        <w:t xml:space="preserve"> at</w:t>
      </w:r>
      <w:r w:rsidR="00DD1CE6">
        <w:rPr>
          <w:rFonts w:ascii="Cambria" w:hAnsi="Cambria"/>
        </w:rPr>
        <w:t xml:space="preserve"> March 31, 2023, </w:t>
      </w:r>
      <w:r w:rsidR="008627EF">
        <w:rPr>
          <w:rFonts w:ascii="Cambria" w:hAnsi="Cambria"/>
        </w:rPr>
        <w:t>and</w:t>
      </w:r>
      <w:r w:rsidR="00DD1CE6">
        <w:rPr>
          <w:rFonts w:ascii="Cambria" w:hAnsi="Cambria"/>
        </w:rPr>
        <w:t xml:space="preserve"> </w:t>
      </w:r>
      <w:r w:rsidR="00DD1CE6">
        <w:rPr>
          <w:rFonts w:ascii="Cambria" w:hAnsi="Cambria"/>
          <w:u w:val="single"/>
        </w:rPr>
        <w:t>none</w:t>
      </w:r>
      <w:r w:rsidR="00DD1CE6">
        <w:rPr>
          <w:rFonts w:ascii="Cambria" w:hAnsi="Cambria"/>
        </w:rPr>
        <w:t xml:space="preserve"> of those fees </w:t>
      </w:r>
      <w:r w:rsidR="004D614F">
        <w:rPr>
          <w:rFonts w:ascii="Cambria" w:hAnsi="Cambria"/>
        </w:rPr>
        <w:t xml:space="preserve">are considered </w:t>
      </w:r>
      <w:r w:rsidR="0093372B">
        <w:rPr>
          <w:rFonts w:ascii="Cambria" w:hAnsi="Cambria"/>
        </w:rPr>
        <w:t>as absorbing</w:t>
      </w:r>
      <w:r w:rsidR="00DD1CE6">
        <w:rPr>
          <w:rFonts w:ascii="Cambria" w:hAnsi="Cambria"/>
        </w:rPr>
        <w:t xml:space="preserve"> credit losses in the ERCF version of the stress test (nor </w:t>
      </w:r>
      <w:r w:rsidR="004D614F">
        <w:rPr>
          <w:rFonts w:ascii="Cambria" w:hAnsi="Cambria"/>
        </w:rPr>
        <w:t>are</w:t>
      </w:r>
      <w:r w:rsidR="00DD1CE6">
        <w:rPr>
          <w:rFonts w:ascii="Cambria" w:hAnsi="Cambria"/>
        </w:rPr>
        <w:t xml:space="preserve"> any multifamily guaranty fees).</w:t>
      </w:r>
      <w:r w:rsidR="00F340C6">
        <w:rPr>
          <w:rFonts w:ascii="Cambria" w:hAnsi="Cambria"/>
        </w:rPr>
        <w:t xml:space="preserve"> </w:t>
      </w:r>
      <w:r w:rsidR="00E54D16">
        <w:rPr>
          <w:rFonts w:ascii="Cambria" w:hAnsi="Cambria"/>
        </w:rPr>
        <w:t>Counting no guaranty fees as absorbing credit losses in a stress test is</w:t>
      </w:r>
      <w:r w:rsidR="003535D6">
        <w:rPr>
          <w:rFonts w:ascii="Cambria" w:hAnsi="Cambria"/>
        </w:rPr>
        <w:t xml:space="preserve"> </w:t>
      </w:r>
      <w:r w:rsidR="00E54D16">
        <w:rPr>
          <w:rFonts w:ascii="Cambria" w:hAnsi="Cambria"/>
        </w:rPr>
        <w:t>equivalent to assuming a 100 percent prepayment rate</w:t>
      </w:r>
      <w:r w:rsidR="00957FA1">
        <w:rPr>
          <w:rFonts w:ascii="Cambria" w:hAnsi="Cambria"/>
        </w:rPr>
        <w:t>. T</w:t>
      </w:r>
      <w:r w:rsidR="00F47DEE">
        <w:rPr>
          <w:rFonts w:ascii="Cambria" w:hAnsi="Cambria"/>
        </w:rPr>
        <w:t>hat is not “conservative;”</w:t>
      </w:r>
      <w:r w:rsidR="003535D6">
        <w:rPr>
          <w:rFonts w:ascii="Cambria" w:hAnsi="Cambria"/>
        </w:rPr>
        <w:t xml:space="preserve"> </w:t>
      </w:r>
      <w:r w:rsidR="00F47DEE">
        <w:rPr>
          <w:rFonts w:ascii="Cambria" w:hAnsi="Cambria"/>
        </w:rPr>
        <w:t>i</w:t>
      </w:r>
      <w:r w:rsidR="00E45505">
        <w:rPr>
          <w:rFonts w:ascii="Cambria" w:hAnsi="Cambria"/>
        </w:rPr>
        <w:t>n a stress test, it</w:t>
      </w:r>
      <w:r w:rsidR="00F340C6">
        <w:rPr>
          <w:rFonts w:ascii="Cambria" w:hAnsi="Cambria"/>
        </w:rPr>
        <w:t xml:space="preserve"> is</w:t>
      </w:r>
      <w:r w:rsidR="00E54D16">
        <w:rPr>
          <w:rFonts w:ascii="Cambria" w:hAnsi="Cambria"/>
        </w:rPr>
        <w:t xml:space="preserve"> indefensible.</w:t>
      </w:r>
    </w:p>
    <w:p w:rsidR="005C5816" w:rsidRDefault="005C5816" w:rsidP="007D039F">
      <w:pPr>
        <w:rPr>
          <w:rFonts w:ascii="Cambria" w:hAnsi="Cambria"/>
        </w:rPr>
      </w:pPr>
    </w:p>
    <w:p w:rsidR="00DD1CE6" w:rsidRPr="00DD1CE6" w:rsidRDefault="00DD1CE6" w:rsidP="007D039F">
      <w:pPr>
        <w:rPr>
          <w:rFonts w:ascii="Cambria" w:hAnsi="Cambria"/>
        </w:rPr>
      </w:pPr>
      <w:r>
        <w:rPr>
          <w:rFonts w:ascii="Cambria" w:hAnsi="Cambria"/>
        </w:rPr>
        <w:t xml:space="preserve">A conservative approach to the stress test would be to speed up the prepayment rate on </w:t>
      </w:r>
      <w:r w:rsidR="00E54D16">
        <w:rPr>
          <w:rFonts w:ascii="Cambria" w:hAnsi="Cambria"/>
        </w:rPr>
        <w:t>Fannie’s</w:t>
      </w:r>
      <w:r>
        <w:rPr>
          <w:rFonts w:ascii="Cambria" w:hAnsi="Cambria"/>
        </w:rPr>
        <w:t xml:space="preserve"> 2007 </w:t>
      </w:r>
      <w:r w:rsidR="004F39FC">
        <w:rPr>
          <w:rFonts w:ascii="Cambria" w:hAnsi="Cambria"/>
        </w:rPr>
        <w:t xml:space="preserve">single-family </w:t>
      </w:r>
      <w:r>
        <w:rPr>
          <w:rFonts w:ascii="Cambria" w:hAnsi="Cambria"/>
        </w:rPr>
        <w:t xml:space="preserve">book from </w:t>
      </w:r>
      <w:r w:rsidR="00E54D16">
        <w:rPr>
          <w:rFonts w:ascii="Cambria" w:hAnsi="Cambria"/>
        </w:rPr>
        <w:t>its</w:t>
      </w:r>
      <w:r>
        <w:rPr>
          <w:rFonts w:ascii="Cambria" w:hAnsi="Cambria"/>
        </w:rPr>
        <w:t xml:space="preserve"> observed average of 20.</w:t>
      </w:r>
      <w:r w:rsidR="00F11324">
        <w:rPr>
          <w:rFonts w:ascii="Cambria" w:hAnsi="Cambria"/>
        </w:rPr>
        <w:t>9</w:t>
      </w:r>
      <w:r>
        <w:rPr>
          <w:rFonts w:ascii="Cambria" w:hAnsi="Cambria"/>
        </w:rPr>
        <w:t xml:space="preserve"> percent per year to, say, 2</w:t>
      </w:r>
      <w:r w:rsidR="0051584F">
        <w:rPr>
          <w:rFonts w:ascii="Cambria" w:hAnsi="Cambria"/>
        </w:rPr>
        <w:t>5</w:t>
      </w:r>
      <w:r w:rsidR="004D614F">
        <w:rPr>
          <w:rFonts w:ascii="Cambria" w:hAnsi="Cambria"/>
        </w:rPr>
        <w:t>.0</w:t>
      </w:r>
      <w:r>
        <w:rPr>
          <w:rFonts w:ascii="Cambria" w:hAnsi="Cambria"/>
        </w:rPr>
        <w:t xml:space="preserve"> percent per year. </w:t>
      </w:r>
      <w:r w:rsidR="00E54D16">
        <w:rPr>
          <w:rFonts w:ascii="Cambria" w:hAnsi="Cambria"/>
        </w:rPr>
        <w:t>But even this</w:t>
      </w:r>
      <w:r>
        <w:rPr>
          <w:rFonts w:ascii="Cambria" w:hAnsi="Cambria"/>
        </w:rPr>
        <w:t xml:space="preserve"> still </w:t>
      </w:r>
      <w:r w:rsidR="00D9652A">
        <w:rPr>
          <w:rFonts w:ascii="Cambria" w:hAnsi="Cambria"/>
        </w:rPr>
        <w:t xml:space="preserve">would </w:t>
      </w:r>
      <w:r>
        <w:rPr>
          <w:rFonts w:ascii="Cambria" w:hAnsi="Cambria"/>
        </w:rPr>
        <w:t>produce</w:t>
      </w:r>
      <w:r w:rsidR="004F39FC">
        <w:rPr>
          <w:rFonts w:ascii="Cambria" w:hAnsi="Cambria"/>
        </w:rPr>
        <w:t xml:space="preserve"> $</w:t>
      </w:r>
      <w:r w:rsidR="0051584F">
        <w:rPr>
          <w:rFonts w:ascii="Cambria" w:hAnsi="Cambria"/>
        </w:rPr>
        <w:t>1</w:t>
      </w:r>
      <w:r w:rsidR="00695B19">
        <w:rPr>
          <w:rFonts w:ascii="Cambria" w:hAnsi="Cambria"/>
        </w:rPr>
        <w:t>15</w:t>
      </w:r>
      <w:r w:rsidR="004F39FC">
        <w:rPr>
          <w:rFonts w:ascii="Cambria" w:hAnsi="Cambria"/>
        </w:rPr>
        <w:t xml:space="preserve"> billion in net guaranty fees, or 1</w:t>
      </w:r>
      <w:r w:rsidR="00695B19">
        <w:rPr>
          <w:rFonts w:ascii="Cambria" w:hAnsi="Cambria"/>
        </w:rPr>
        <w:t>53</w:t>
      </w:r>
      <w:r w:rsidR="004F39FC">
        <w:rPr>
          <w:rFonts w:ascii="Cambria" w:hAnsi="Cambria"/>
        </w:rPr>
        <w:t xml:space="preserve"> basis points of the companies</w:t>
      </w:r>
      <w:r w:rsidR="00D9652A">
        <w:rPr>
          <w:rFonts w:ascii="Cambria" w:hAnsi="Cambria"/>
        </w:rPr>
        <w:t>’</w:t>
      </w:r>
      <w:r w:rsidR="004F39FC">
        <w:rPr>
          <w:rFonts w:ascii="Cambria" w:hAnsi="Cambria"/>
        </w:rPr>
        <w:t xml:space="preserve"> March 31, 2023 total assets. </w:t>
      </w:r>
      <w:r w:rsidR="00FC34E2">
        <w:rPr>
          <w:rFonts w:ascii="Cambria" w:hAnsi="Cambria"/>
        </w:rPr>
        <w:t>If t</w:t>
      </w:r>
      <w:r w:rsidR="00642C51">
        <w:rPr>
          <w:rFonts w:ascii="Cambria" w:hAnsi="Cambria"/>
        </w:rPr>
        <w:t>he loss-absorbing value of these guaranty fees</w:t>
      </w:r>
      <w:r w:rsidR="00E54D16">
        <w:rPr>
          <w:rFonts w:ascii="Cambria" w:hAnsi="Cambria"/>
        </w:rPr>
        <w:t xml:space="preserve"> </w:t>
      </w:r>
      <w:r w:rsidR="00437850">
        <w:rPr>
          <w:rFonts w:ascii="Cambria" w:hAnsi="Cambria"/>
        </w:rPr>
        <w:t>is</w:t>
      </w:r>
      <w:r w:rsidR="00E54D16">
        <w:rPr>
          <w:rFonts w:ascii="Cambria" w:hAnsi="Cambria"/>
        </w:rPr>
        <w:t xml:space="preserve"> ignored, </w:t>
      </w:r>
      <w:r w:rsidR="00437850">
        <w:rPr>
          <w:rFonts w:ascii="Cambria" w:hAnsi="Cambria"/>
        </w:rPr>
        <w:t>it</w:t>
      </w:r>
      <w:r w:rsidR="00642C51">
        <w:rPr>
          <w:rFonts w:ascii="Cambria" w:hAnsi="Cambria"/>
        </w:rPr>
        <w:t xml:space="preserve"> must, at a minimum, be </w:t>
      </w:r>
      <w:r w:rsidR="00FC34E2">
        <w:rPr>
          <w:rFonts w:ascii="Cambria" w:hAnsi="Cambria"/>
        </w:rPr>
        <w:t xml:space="preserve">acknowledged in </w:t>
      </w:r>
      <w:r w:rsidR="00E54D16">
        <w:rPr>
          <w:rFonts w:ascii="Cambria" w:hAnsi="Cambria"/>
        </w:rPr>
        <w:t>assessing the</w:t>
      </w:r>
      <w:r w:rsidR="00437850">
        <w:rPr>
          <w:rFonts w:ascii="Cambria" w:hAnsi="Cambria"/>
        </w:rPr>
        <w:t xml:space="preserve"> merits or </w:t>
      </w:r>
      <w:r w:rsidR="00E54D16">
        <w:rPr>
          <w:rFonts w:ascii="Cambria" w:hAnsi="Cambria"/>
        </w:rPr>
        <w:t xml:space="preserve">validity of any </w:t>
      </w:r>
      <w:r w:rsidR="00642C51">
        <w:rPr>
          <w:rFonts w:ascii="Cambria" w:hAnsi="Cambria"/>
        </w:rPr>
        <w:t>other elements of conservatism add</w:t>
      </w:r>
      <w:r w:rsidR="00437850">
        <w:rPr>
          <w:rFonts w:ascii="Cambria" w:hAnsi="Cambria"/>
        </w:rPr>
        <w:t>ed</w:t>
      </w:r>
      <w:r w:rsidR="00642C51">
        <w:rPr>
          <w:rFonts w:ascii="Cambria" w:hAnsi="Cambria"/>
        </w:rPr>
        <w:t xml:space="preserve"> to the risk-based standard. </w:t>
      </w:r>
    </w:p>
    <w:p w:rsidR="007D039F" w:rsidRDefault="007D039F" w:rsidP="007D039F">
      <w:pPr>
        <w:rPr>
          <w:rFonts w:ascii="Cambria" w:hAnsi="Cambria"/>
        </w:rPr>
      </w:pPr>
    </w:p>
    <w:p w:rsidR="00D9652A" w:rsidRPr="00B77BC1" w:rsidRDefault="00D9652A" w:rsidP="00D9652A">
      <w:pPr>
        <w:rPr>
          <w:rFonts w:ascii="Cambria" w:hAnsi="Cambria"/>
          <w:i/>
          <w:iCs/>
        </w:rPr>
      </w:pPr>
      <w:r w:rsidRPr="00B77BC1">
        <w:rPr>
          <w:rFonts w:ascii="Cambria" w:hAnsi="Cambria"/>
          <w:i/>
          <w:iCs/>
        </w:rPr>
        <w:t>Stress capital buffer</w:t>
      </w:r>
    </w:p>
    <w:p w:rsidR="00D9652A" w:rsidRDefault="00D9652A" w:rsidP="00D9652A">
      <w:pPr>
        <w:rPr>
          <w:rFonts w:ascii="Cambria" w:hAnsi="Cambria"/>
          <w:u w:val="single"/>
        </w:rPr>
      </w:pPr>
    </w:p>
    <w:p w:rsidR="00D50E59" w:rsidRPr="009E2FDA" w:rsidRDefault="00F57140" w:rsidP="00D50E59">
      <w:pPr>
        <w:rPr>
          <w:rFonts w:ascii="Cambria" w:hAnsi="Cambria"/>
        </w:rPr>
      </w:pPr>
      <w:r>
        <w:rPr>
          <w:rFonts w:ascii="Cambria" w:hAnsi="Cambria"/>
        </w:rPr>
        <w:t>A similar</w:t>
      </w:r>
      <w:r w:rsidR="00FC34E2">
        <w:rPr>
          <w:rFonts w:ascii="Cambria" w:hAnsi="Cambria"/>
        </w:rPr>
        <w:t xml:space="preserve"> point about</w:t>
      </w:r>
      <w:r w:rsidR="00690AAA">
        <w:rPr>
          <w:rFonts w:ascii="Cambria" w:hAnsi="Cambria"/>
        </w:rPr>
        <w:t xml:space="preserve"> ignore</w:t>
      </w:r>
      <w:r w:rsidR="00FC34E2">
        <w:rPr>
          <w:rFonts w:ascii="Cambria" w:hAnsi="Cambria"/>
        </w:rPr>
        <w:t>d guaranty fees applies to the stress capital buffer</w:t>
      </w:r>
      <w:r w:rsidR="0008169A">
        <w:rPr>
          <w:rFonts w:ascii="Cambria" w:hAnsi="Cambria"/>
        </w:rPr>
        <w:t xml:space="preserve">, which the </w:t>
      </w:r>
      <w:r w:rsidR="00FC34E2">
        <w:rPr>
          <w:rFonts w:ascii="Cambria" w:hAnsi="Cambria"/>
        </w:rPr>
        <w:t>ERCF also refers to as a “going concern buffer</w:t>
      </w:r>
      <w:r w:rsidR="0008169A">
        <w:rPr>
          <w:rFonts w:ascii="Cambria" w:hAnsi="Cambria"/>
        </w:rPr>
        <w:t>.</w:t>
      </w:r>
      <w:r w:rsidR="00FC34E2">
        <w:rPr>
          <w:rFonts w:ascii="Cambria" w:hAnsi="Cambria"/>
        </w:rPr>
        <w:t>”</w:t>
      </w:r>
      <w:r w:rsidR="009E2FDA">
        <w:rPr>
          <w:rFonts w:ascii="Cambria" w:hAnsi="Cambria"/>
        </w:rPr>
        <w:t xml:space="preserve"> </w:t>
      </w:r>
      <w:r w:rsidR="00973456">
        <w:rPr>
          <w:rFonts w:ascii="Cambria" w:hAnsi="Cambria"/>
        </w:rPr>
        <w:t>This buffer is</w:t>
      </w:r>
      <w:r w:rsidR="0008169A">
        <w:rPr>
          <w:rFonts w:ascii="Cambria" w:hAnsi="Cambria"/>
        </w:rPr>
        <w:t xml:space="preserve"> </w:t>
      </w:r>
      <w:r w:rsidR="00907F1B">
        <w:rPr>
          <w:rFonts w:ascii="Cambria" w:hAnsi="Cambria"/>
        </w:rPr>
        <w:t>75 basis points of adjusted total assets (</w:t>
      </w:r>
      <w:r w:rsidR="009E2FDA">
        <w:rPr>
          <w:rFonts w:ascii="Cambria" w:hAnsi="Cambria"/>
        </w:rPr>
        <w:t>79</w:t>
      </w:r>
      <w:r w:rsidR="00907F1B">
        <w:rPr>
          <w:rFonts w:ascii="Cambria" w:hAnsi="Cambria"/>
        </w:rPr>
        <w:t xml:space="preserve"> basis points of total assets</w:t>
      </w:r>
      <w:r w:rsidR="009E2FDA">
        <w:rPr>
          <w:rFonts w:ascii="Cambria" w:hAnsi="Cambria"/>
        </w:rPr>
        <w:t xml:space="preserve"> for Fanni</w:t>
      </w:r>
      <w:r w:rsidR="00973456">
        <w:rPr>
          <w:rFonts w:ascii="Cambria" w:hAnsi="Cambria"/>
        </w:rPr>
        <w:t>e</w:t>
      </w:r>
      <w:r w:rsidR="009E2FDA">
        <w:rPr>
          <w:rFonts w:ascii="Cambria" w:hAnsi="Cambria"/>
        </w:rPr>
        <w:t xml:space="preserve"> and </w:t>
      </w:r>
      <w:r w:rsidR="00907F1B">
        <w:rPr>
          <w:rFonts w:ascii="Cambria" w:hAnsi="Cambria"/>
        </w:rPr>
        <w:t>86 basis points</w:t>
      </w:r>
      <w:r w:rsidR="009E2FDA">
        <w:rPr>
          <w:rFonts w:ascii="Cambria" w:hAnsi="Cambria"/>
        </w:rPr>
        <w:t xml:space="preserve"> for Freddie</w:t>
      </w:r>
      <w:r w:rsidR="00973456">
        <w:rPr>
          <w:rFonts w:ascii="Cambria" w:hAnsi="Cambria"/>
        </w:rPr>
        <w:t xml:space="preserve"> at March 31, 2023</w:t>
      </w:r>
      <w:r w:rsidR="00907F1B">
        <w:rPr>
          <w:rFonts w:ascii="Cambria" w:hAnsi="Cambria"/>
        </w:rPr>
        <w:t>)</w:t>
      </w:r>
      <w:r w:rsidR="009E2FDA">
        <w:rPr>
          <w:rFonts w:ascii="Cambria" w:hAnsi="Cambria"/>
        </w:rPr>
        <w:t xml:space="preserve">, </w:t>
      </w:r>
      <w:r w:rsidR="00A4207C">
        <w:rPr>
          <w:rFonts w:ascii="Cambria" w:hAnsi="Cambria"/>
        </w:rPr>
        <w:t>and its</w:t>
      </w:r>
      <w:r w:rsidR="0008169A">
        <w:rPr>
          <w:rFonts w:ascii="Cambria" w:hAnsi="Cambria"/>
        </w:rPr>
        <w:t xml:space="preserve"> intent is </w:t>
      </w:r>
      <w:r w:rsidR="009E2FDA">
        <w:rPr>
          <w:rFonts w:ascii="Cambria" w:hAnsi="Cambria"/>
        </w:rPr>
        <w:t>“</w:t>
      </w:r>
      <w:r w:rsidR="0008169A" w:rsidRPr="0008169A">
        <w:rPr>
          <w:rFonts w:ascii="Cambria" w:hAnsi="Cambria"/>
        </w:rPr>
        <w:t>to ensure that the Enterprise would, in ordinary times, maintain regulatory capital that could be drawn down during a financial stress and still be regarded as a viable going concern after that stress.</w:t>
      </w:r>
      <w:r w:rsidR="0008169A">
        <w:rPr>
          <w:sz w:val="23"/>
          <w:szCs w:val="23"/>
        </w:rPr>
        <w:t>”</w:t>
      </w:r>
      <w:r w:rsidR="009E2FDA">
        <w:rPr>
          <w:rFonts w:ascii="Cambria" w:hAnsi="Cambria"/>
        </w:rPr>
        <w:t xml:space="preserve"> </w:t>
      </w:r>
    </w:p>
    <w:p w:rsidR="00E62496" w:rsidRDefault="00E62496" w:rsidP="00D9652A">
      <w:pPr>
        <w:rPr>
          <w:rFonts w:ascii="Cambria" w:hAnsi="Cambria"/>
        </w:rPr>
      </w:pPr>
    </w:p>
    <w:p w:rsidR="00A77DA5" w:rsidRDefault="00E62496" w:rsidP="00D9652A">
      <w:pPr>
        <w:rPr>
          <w:rFonts w:ascii="Cambria" w:hAnsi="Cambria"/>
        </w:rPr>
      </w:pPr>
      <w:r>
        <w:rPr>
          <w:rFonts w:ascii="Cambria" w:hAnsi="Cambria"/>
        </w:rPr>
        <w:t>T</w:t>
      </w:r>
      <w:r w:rsidR="009E2FDA">
        <w:rPr>
          <w:rFonts w:ascii="Cambria" w:hAnsi="Cambria"/>
        </w:rPr>
        <w:t>he</w:t>
      </w:r>
      <w:r w:rsidR="00D9652A">
        <w:rPr>
          <w:rFonts w:ascii="Cambria" w:hAnsi="Cambria"/>
        </w:rPr>
        <w:t xml:space="preserve"> </w:t>
      </w:r>
      <w:r w:rsidR="009E2FDA">
        <w:rPr>
          <w:rFonts w:ascii="Cambria" w:hAnsi="Cambria"/>
        </w:rPr>
        <w:t>concept of a going concern buffer is</w:t>
      </w:r>
      <w:r w:rsidR="0008169A">
        <w:rPr>
          <w:rFonts w:ascii="Cambria" w:hAnsi="Cambria"/>
        </w:rPr>
        <w:t xml:space="preserve"> a</w:t>
      </w:r>
      <w:r w:rsidR="009E2FDA">
        <w:rPr>
          <w:rFonts w:ascii="Cambria" w:hAnsi="Cambria"/>
        </w:rPr>
        <w:t xml:space="preserve"> valid</w:t>
      </w:r>
      <w:r w:rsidR="0008169A">
        <w:rPr>
          <w:rFonts w:ascii="Cambria" w:hAnsi="Cambria"/>
        </w:rPr>
        <w:t xml:space="preserve"> one</w:t>
      </w:r>
      <w:r w:rsidR="009E2FDA">
        <w:rPr>
          <w:rFonts w:ascii="Cambria" w:hAnsi="Cambria"/>
        </w:rPr>
        <w:t xml:space="preserve">, </w:t>
      </w:r>
      <w:r>
        <w:rPr>
          <w:rFonts w:ascii="Cambria" w:hAnsi="Cambria"/>
        </w:rPr>
        <w:t xml:space="preserve">but </w:t>
      </w:r>
      <w:r w:rsidR="007E1EA8">
        <w:rPr>
          <w:rFonts w:ascii="Cambria" w:hAnsi="Cambria"/>
        </w:rPr>
        <w:t>the ER</w:t>
      </w:r>
      <w:r w:rsidR="00A77DA5">
        <w:rPr>
          <w:rFonts w:ascii="Cambria" w:hAnsi="Cambria"/>
        </w:rPr>
        <w:t xml:space="preserve">CF misapplies it. If Fannie and Freddie are to be capitalized </w:t>
      </w:r>
      <w:r w:rsidR="00E86727">
        <w:rPr>
          <w:rFonts w:ascii="Cambria" w:hAnsi="Cambria"/>
        </w:rPr>
        <w:t>so as to remain</w:t>
      </w:r>
      <w:r w:rsidR="00A77DA5">
        <w:rPr>
          <w:rFonts w:ascii="Cambria" w:hAnsi="Cambria"/>
        </w:rPr>
        <w:t xml:space="preserve"> going concerns—and they should be—</w:t>
      </w:r>
      <w:r w:rsidR="00E86727">
        <w:rPr>
          <w:rFonts w:ascii="Cambria" w:hAnsi="Cambria"/>
        </w:rPr>
        <w:t xml:space="preserve">then the ERCF needs to reflect the fact that their required capital has been determined on the basis of a liquidating book, without the replacement business a going concern will have. In an analysis </w:t>
      </w:r>
      <w:r w:rsidR="0093047F">
        <w:rPr>
          <w:rFonts w:ascii="Cambria" w:hAnsi="Cambria"/>
        </w:rPr>
        <w:t>I did of Fannie’s 2008-2012 stress experience, the company needed almost 100 basis points</w:t>
      </w:r>
      <w:r w:rsidR="008E3A5A">
        <w:rPr>
          <w:rFonts w:ascii="Cambria" w:hAnsi="Cambria"/>
        </w:rPr>
        <w:t xml:space="preserve"> less</w:t>
      </w:r>
      <w:r w:rsidR="0093047F">
        <w:rPr>
          <w:rFonts w:ascii="Cambria" w:hAnsi="Cambria"/>
        </w:rPr>
        <w:t xml:space="preserve"> initial capital to survive a going concern stress test compared with a liquidating book stress test, because the going concern stress period </w:t>
      </w:r>
      <w:r w:rsidR="00CE1254">
        <w:rPr>
          <w:rFonts w:ascii="Cambria" w:hAnsi="Cambria"/>
        </w:rPr>
        <w:t>lasted</w:t>
      </w:r>
      <w:r w:rsidR="0093047F">
        <w:rPr>
          <w:rFonts w:ascii="Cambria" w:hAnsi="Cambria"/>
        </w:rPr>
        <w:t xml:space="preserve"> only five years (until going-concern annual revenues exceeded annual losses)</w:t>
      </w:r>
      <w:r w:rsidR="008E3A5A">
        <w:rPr>
          <w:rFonts w:ascii="Cambria" w:hAnsi="Cambria"/>
        </w:rPr>
        <w:t>,</w:t>
      </w:r>
      <w:r w:rsidR="0093047F">
        <w:rPr>
          <w:rFonts w:ascii="Cambria" w:hAnsi="Cambria"/>
        </w:rPr>
        <w:t xml:space="preserve"> rather than thirty. And of course in a going-concern stress test guaranty fees must count as offsets to credit losses,</w:t>
      </w:r>
      <w:r w:rsidR="008277E8">
        <w:rPr>
          <w:rFonts w:ascii="Cambria" w:hAnsi="Cambria"/>
        </w:rPr>
        <w:t xml:space="preserve"> since</w:t>
      </w:r>
      <w:r w:rsidR="0093047F">
        <w:rPr>
          <w:rFonts w:ascii="Cambria" w:hAnsi="Cambria"/>
        </w:rPr>
        <w:t xml:space="preserve"> those fees </w:t>
      </w:r>
      <w:r w:rsidR="0093047F">
        <w:rPr>
          <w:rFonts w:ascii="Cambria" w:hAnsi="Cambria"/>
          <w:u w:val="single"/>
        </w:rPr>
        <w:t>will</w:t>
      </w:r>
      <w:r w:rsidR="0093047F">
        <w:rPr>
          <w:rFonts w:ascii="Cambria" w:hAnsi="Cambria"/>
        </w:rPr>
        <w:t xml:space="preserve"> be there. </w:t>
      </w:r>
      <w:r w:rsidR="00382CF5">
        <w:rPr>
          <w:rFonts w:ascii="Cambria" w:hAnsi="Cambria"/>
        </w:rPr>
        <w:t>Stating this point somewhat differently, because Fan</w:t>
      </w:r>
      <w:r w:rsidR="0094267A">
        <w:rPr>
          <w:rFonts w:ascii="Cambria" w:hAnsi="Cambria"/>
        </w:rPr>
        <w:t>nie and Freddie’s</w:t>
      </w:r>
      <w:r w:rsidR="00382CF5">
        <w:rPr>
          <w:rFonts w:ascii="Cambria" w:hAnsi="Cambria"/>
        </w:rPr>
        <w:t xml:space="preserve"> risk-based capital requirement is based on a liquidating book of business, it already has a </w:t>
      </w:r>
      <w:r w:rsidR="008E3A5A">
        <w:rPr>
          <w:rFonts w:ascii="Cambria" w:hAnsi="Cambria"/>
        </w:rPr>
        <w:t>“stress capital buffer”</w:t>
      </w:r>
      <w:r w:rsidR="00382CF5">
        <w:rPr>
          <w:rFonts w:ascii="Cambria" w:hAnsi="Cambria"/>
        </w:rPr>
        <w:t xml:space="preserve"> built into it.</w:t>
      </w:r>
      <w:r w:rsidR="0094267A">
        <w:rPr>
          <w:rFonts w:ascii="Cambria" w:hAnsi="Cambria"/>
        </w:rPr>
        <w:t xml:space="preserve"> There is no justification for a second one.</w:t>
      </w:r>
    </w:p>
    <w:p w:rsidR="007D039F" w:rsidRDefault="007D039F" w:rsidP="007D039F">
      <w:pPr>
        <w:rPr>
          <w:rFonts w:ascii="Cambria" w:hAnsi="Cambria"/>
        </w:rPr>
      </w:pPr>
    </w:p>
    <w:p w:rsidR="007D039F" w:rsidRPr="00B77BC1" w:rsidRDefault="004E4DAB" w:rsidP="007D039F">
      <w:pPr>
        <w:rPr>
          <w:rFonts w:ascii="Cambria" w:hAnsi="Cambria"/>
          <w:i/>
          <w:iCs/>
        </w:rPr>
      </w:pPr>
      <w:r>
        <w:rPr>
          <w:rFonts w:ascii="Cambria" w:hAnsi="Cambria"/>
          <w:i/>
          <w:iCs/>
        </w:rPr>
        <w:t>Capital m</w:t>
      </w:r>
      <w:r w:rsidR="007D039F" w:rsidRPr="00B77BC1">
        <w:rPr>
          <w:rFonts w:ascii="Cambria" w:hAnsi="Cambria"/>
          <w:i/>
          <w:iCs/>
        </w:rPr>
        <w:t>inimums for low</w:t>
      </w:r>
      <w:r w:rsidR="00CA1269">
        <w:rPr>
          <w:rFonts w:ascii="Cambria" w:hAnsi="Cambria"/>
          <w:i/>
          <w:iCs/>
        </w:rPr>
        <w:t>er</w:t>
      </w:r>
      <w:r w:rsidR="007D039F" w:rsidRPr="00B77BC1">
        <w:rPr>
          <w:rFonts w:ascii="Cambria" w:hAnsi="Cambria"/>
          <w:i/>
          <w:iCs/>
        </w:rPr>
        <w:t>-risk loans</w:t>
      </w:r>
    </w:p>
    <w:p w:rsidR="007D039F" w:rsidRDefault="007D039F" w:rsidP="007D039F">
      <w:pPr>
        <w:rPr>
          <w:rFonts w:ascii="Cambria" w:hAnsi="Cambria"/>
          <w:u w:val="single"/>
        </w:rPr>
      </w:pPr>
    </w:p>
    <w:p w:rsidR="00813EE6" w:rsidRDefault="007D039F" w:rsidP="007D039F">
      <w:pPr>
        <w:rPr>
          <w:rFonts w:ascii="Cambria" w:hAnsi="Cambria"/>
        </w:rPr>
      </w:pPr>
      <w:r>
        <w:rPr>
          <w:rFonts w:ascii="Cambria" w:hAnsi="Cambria"/>
        </w:rPr>
        <w:t>Th</w:t>
      </w:r>
      <w:r w:rsidR="00DA3663">
        <w:rPr>
          <w:rFonts w:ascii="Cambria" w:hAnsi="Cambria"/>
        </w:rPr>
        <w:t xml:space="preserve">e </w:t>
      </w:r>
      <w:r w:rsidR="006046F8">
        <w:rPr>
          <w:rFonts w:ascii="Cambria" w:hAnsi="Cambria"/>
        </w:rPr>
        <w:t>application</w:t>
      </w:r>
      <w:r w:rsidR="00DA3663">
        <w:rPr>
          <w:rFonts w:ascii="Cambria" w:hAnsi="Cambria"/>
        </w:rPr>
        <w:t xml:space="preserve"> in the ERCF </w:t>
      </w:r>
      <w:r w:rsidR="006046F8">
        <w:rPr>
          <w:rFonts w:ascii="Cambria" w:hAnsi="Cambria"/>
        </w:rPr>
        <w:t xml:space="preserve">of </w:t>
      </w:r>
      <w:r w:rsidR="00DA3663">
        <w:rPr>
          <w:rFonts w:ascii="Cambria" w:hAnsi="Cambria"/>
        </w:rPr>
        <w:t>a minimum</w:t>
      </w:r>
      <w:r w:rsidR="006046F8">
        <w:rPr>
          <w:rFonts w:ascii="Cambria" w:hAnsi="Cambria"/>
        </w:rPr>
        <w:t xml:space="preserve"> capital requirement</w:t>
      </w:r>
      <w:r w:rsidR="00DA3663">
        <w:rPr>
          <w:rFonts w:ascii="Cambria" w:hAnsi="Cambria"/>
        </w:rPr>
        <w:t xml:space="preserve"> of 1.</w:t>
      </w:r>
      <w:r w:rsidR="00AF2512">
        <w:rPr>
          <w:rFonts w:ascii="Cambria" w:hAnsi="Cambria"/>
        </w:rPr>
        <w:t>6</w:t>
      </w:r>
      <w:r w:rsidR="00DA3663">
        <w:rPr>
          <w:rFonts w:ascii="Cambria" w:hAnsi="Cambria"/>
        </w:rPr>
        <w:t xml:space="preserve"> percent to all loans, no matter how little credit risk they have</w:t>
      </w:r>
      <w:r w:rsidR="00BB23DB">
        <w:rPr>
          <w:rFonts w:ascii="Cambria" w:hAnsi="Cambria"/>
        </w:rPr>
        <w:t xml:space="preserve">, </w:t>
      </w:r>
      <w:r w:rsidR="006046F8">
        <w:rPr>
          <w:rFonts w:ascii="Cambria" w:hAnsi="Cambria"/>
        </w:rPr>
        <w:t xml:space="preserve">is </w:t>
      </w:r>
      <w:r w:rsidR="00BB23DB">
        <w:rPr>
          <w:rFonts w:ascii="Cambria" w:hAnsi="Cambria"/>
        </w:rPr>
        <w:t xml:space="preserve">not </w:t>
      </w:r>
      <w:r w:rsidR="00B65C0F">
        <w:rPr>
          <w:rFonts w:ascii="Cambria" w:hAnsi="Cambria"/>
        </w:rPr>
        <w:t>only</w:t>
      </w:r>
      <w:r w:rsidR="00BB23DB">
        <w:rPr>
          <w:rFonts w:ascii="Cambria" w:hAnsi="Cambria"/>
        </w:rPr>
        <w:t xml:space="preserve"> </w:t>
      </w:r>
      <w:r w:rsidR="006046F8">
        <w:rPr>
          <w:rFonts w:ascii="Cambria" w:hAnsi="Cambria"/>
        </w:rPr>
        <w:t>unjustified</w:t>
      </w:r>
      <w:r w:rsidR="00BB23DB">
        <w:rPr>
          <w:rFonts w:ascii="Cambria" w:hAnsi="Cambria"/>
        </w:rPr>
        <w:t xml:space="preserve"> (in light of all </w:t>
      </w:r>
      <w:r w:rsidR="006046F8">
        <w:rPr>
          <w:rFonts w:ascii="Cambria" w:hAnsi="Cambria"/>
        </w:rPr>
        <w:t xml:space="preserve">of the other </w:t>
      </w:r>
      <w:r w:rsidR="0016781C">
        <w:rPr>
          <w:rFonts w:ascii="Cambria" w:hAnsi="Cambria"/>
        </w:rPr>
        <w:t>conservative elements</w:t>
      </w:r>
      <w:r w:rsidR="006046F8">
        <w:rPr>
          <w:rFonts w:ascii="Cambria" w:hAnsi="Cambria"/>
        </w:rPr>
        <w:t xml:space="preserve"> </w:t>
      </w:r>
      <w:r w:rsidR="0016781C">
        <w:rPr>
          <w:rFonts w:ascii="Cambria" w:hAnsi="Cambria"/>
        </w:rPr>
        <w:t>in</w:t>
      </w:r>
      <w:r w:rsidR="006046F8">
        <w:rPr>
          <w:rFonts w:ascii="Cambria" w:hAnsi="Cambria"/>
        </w:rPr>
        <w:t xml:space="preserve"> the standard), it is </w:t>
      </w:r>
      <w:r w:rsidR="004D567C">
        <w:rPr>
          <w:rFonts w:ascii="Cambria" w:hAnsi="Cambria"/>
        </w:rPr>
        <w:t>particularly</w:t>
      </w:r>
      <w:r w:rsidR="006046F8">
        <w:rPr>
          <w:rFonts w:ascii="Cambria" w:hAnsi="Cambria"/>
        </w:rPr>
        <w:t xml:space="preserve"> </w:t>
      </w:r>
      <w:r w:rsidR="00B27477">
        <w:rPr>
          <w:rFonts w:ascii="Cambria" w:hAnsi="Cambria"/>
        </w:rPr>
        <w:t xml:space="preserve">damaging to Fannie and Freddie’s abilities to assist low- and moderate-income homebuyers through </w:t>
      </w:r>
      <w:r>
        <w:rPr>
          <w:rFonts w:ascii="Cambria" w:hAnsi="Cambria"/>
        </w:rPr>
        <w:t>cross-subsidization</w:t>
      </w:r>
      <w:r w:rsidR="00B27477">
        <w:rPr>
          <w:rFonts w:ascii="Cambria" w:hAnsi="Cambria"/>
        </w:rPr>
        <w:t xml:space="preserve">. </w:t>
      </w:r>
    </w:p>
    <w:p w:rsidR="00813EE6" w:rsidRDefault="00813EE6" w:rsidP="007D039F">
      <w:pPr>
        <w:rPr>
          <w:rFonts w:ascii="Cambria" w:hAnsi="Cambria"/>
        </w:rPr>
      </w:pPr>
    </w:p>
    <w:p w:rsidR="00FC38BD" w:rsidRDefault="00FC38BD" w:rsidP="00FC38BD">
      <w:pPr>
        <w:rPr>
          <w:rFonts w:ascii="Cambria" w:hAnsi="Cambria"/>
        </w:rPr>
      </w:pPr>
      <w:r>
        <w:rPr>
          <w:rFonts w:ascii="Cambria" w:hAnsi="Cambria"/>
        </w:rPr>
        <w:t xml:space="preserve">Without this minimum, the guaranty fees on the companies’ lowest-risk mortgages would have expected returns much higher than their overall target ROE, and those excess returns could be used to (invisibly) cross-subsidize higher-risk loans. But a capital minimum of 1.6 percent raises the required ROEs on lower-risk loans to the point where virtually all of the possibilities for effective cross-subsidization disappear. Cross-subsidization works very well when there is a close relationship between mortgage credit risk and required capital: the overall level of guaranty fees is reasonable, and a moderate degree of overpricing of lower-risk loans generates surplus fees that can be deployed to reduce the fees on certain higher-risk loans by significant amounts. But all of the non-risk-based cushions in the ERCF (including this minimum) cause guaranty fees on the lowest-risk loans to be set very high to begin with, which makes raising them further to cross-subsidize higher-risk loans much more likely to be </w:t>
      </w:r>
      <w:r w:rsidR="0016781C">
        <w:rPr>
          <w:rFonts w:ascii="Cambria" w:hAnsi="Cambria"/>
        </w:rPr>
        <w:t>perceived</w:t>
      </w:r>
      <w:r>
        <w:rPr>
          <w:rFonts w:ascii="Cambria" w:hAnsi="Cambria"/>
        </w:rPr>
        <w:t>, and criticized, as happened with FHFA’s recent LLPA changes.</w:t>
      </w:r>
    </w:p>
    <w:p w:rsidR="007D039F" w:rsidRPr="00B645BB" w:rsidRDefault="007D039F" w:rsidP="007D039F">
      <w:pPr>
        <w:rPr>
          <w:rFonts w:ascii="Cambria" w:hAnsi="Cambria"/>
        </w:rPr>
      </w:pPr>
    </w:p>
    <w:p w:rsidR="007D039F" w:rsidRPr="00B77BC1" w:rsidRDefault="007D039F" w:rsidP="007D039F">
      <w:pPr>
        <w:rPr>
          <w:rFonts w:ascii="Cambria" w:hAnsi="Cambria"/>
          <w:i/>
          <w:iCs/>
        </w:rPr>
      </w:pPr>
      <w:r w:rsidRPr="00B77BC1">
        <w:rPr>
          <w:rFonts w:ascii="Cambria" w:hAnsi="Cambria"/>
          <w:i/>
          <w:iCs/>
        </w:rPr>
        <w:t>Stability capital buffer</w:t>
      </w:r>
    </w:p>
    <w:p w:rsidR="007D039F" w:rsidRDefault="007D039F" w:rsidP="007D039F">
      <w:pPr>
        <w:rPr>
          <w:rFonts w:ascii="Cambria" w:hAnsi="Cambria"/>
          <w:u w:val="single"/>
        </w:rPr>
      </w:pPr>
    </w:p>
    <w:p w:rsidR="00EF41D4" w:rsidRDefault="0033756C" w:rsidP="007D039F">
      <w:pPr>
        <w:rPr>
          <w:rFonts w:ascii="Cambria" w:hAnsi="Cambria"/>
        </w:rPr>
      </w:pPr>
      <w:r>
        <w:rPr>
          <w:rFonts w:ascii="Cambria" w:hAnsi="Cambria"/>
        </w:rPr>
        <w:t>The stability buffer</w:t>
      </w:r>
      <w:r w:rsidR="00A1027E">
        <w:rPr>
          <w:rFonts w:ascii="Cambria" w:hAnsi="Cambria"/>
        </w:rPr>
        <w:t xml:space="preserve"> is a non-risk-based, undisguised</w:t>
      </w:r>
      <w:r w:rsidR="00970DB9">
        <w:rPr>
          <w:rFonts w:ascii="Cambria" w:hAnsi="Cambria"/>
        </w:rPr>
        <w:t>,</w:t>
      </w:r>
      <w:r w:rsidR="00A1027E">
        <w:rPr>
          <w:rFonts w:ascii="Cambria" w:hAnsi="Cambria"/>
        </w:rPr>
        <w:t xml:space="preserve"> capital penalty on</w:t>
      </w:r>
      <w:r w:rsidR="00EF41D4">
        <w:rPr>
          <w:rFonts w:ascii="Cambria" w:hAnsi="Cambria"/>
        </w:rPr>
        <w:t xml:space="preserve"> Fannie and Freddie</w:t>
      </w:r>
      <w:r w:rsidR="00A1027E">
        <w:rPr>
          <w:rFonts w:ascii="Cambria" w:hAnsi="Cambria"/>
        </w:rPr>
        <w:t xml:space="preserve"> for doing more than a </w:t>
      </w:r>
      <w:r w:rsidR="00A91B59">
        <w:rPr>
          <w:rFonts w:ascii="Cambria" w:hAnsi="Cambria"/>
        </w:rPr>
        <w:t>minor</w:t>
      </w:r>
      <w:r w:rsidR="00A1027E">
        <w:rPr>
          <w:rFonts w:ascii="Cambria" w:hAnsi="Cambria"/>
        </w:rPr>
        <w:t xml:space="preserve"> amount of business. It increases their</w:t>
      </w:r>
      <w:r w:rsidR="00EF41D4">
        <w:rPr>
          <w:rFonts w:ascii="Cambria" w:hAnsi="Cambria"/>
        </w:rPr>
        <w:t xml:space="preserve"> capital by 5 basis points of adjusted total assets “</w:t>
      </w:r>
      <w:r w:rsidR="00EF41D4" w:rsidRPr="00104B4F">
        <w:rPr>
          <w:rFonts w:ascii="Cambria" w:hAnsi="Cambria"/>
        </w:rPr>
        <w:t>for each percentage point of market share exceeding th</w:t>
      </w:r>
      <w:r w:rsidR="00EF41D4">
        <w:rPr>
          <w:rFonts w:ascii="Cambria" w:hAnsi="Cambria"/>
        </w:rPr>
        <w:t>e</w:t>
      </w:r>
      <w:r w:rsidR="00EF41D4" w:rsidRPr="00104B4F">
        <w:rPr>
          <w:rFonts w:ascii="Cambria" w:hAnsi="Cambria"/>
        </w:rPr>
        <w:t xml:space="preserve"> threshold</w:t>
      </w:r>
      <w:r w:rsidR="00EF41D4">
        <w:rPr>
          <w:rFonts w:ascii="Cambria" w:hAnsi="Cambria"/>
        </w:rPr>
        <w:t xml:space="preserve"> </w:t>
      </w:r>
      <w:r w:rsidR="00EF41D4">
        <w:rPr>
          <w:rFonts w:ascii="Cambria" w:hAnsi="Cambria"/>
        </w:rPr>
        <w:lastRenderedPageBreak/>
        <w:t>of 5 percent of total residential mortgage debt outstanding</w:t>
      </w:r>
      <w:r w:rsidR="00EF41D4" w:rsidRPr="00104B4F">
        <w:rPr>
          <w:rFonts w:ascii="Cambria" w:hAnsi="Cambria"/>
        </w:rPr>
        <w:t>.</w:t>
      </w:r>
      <w:r w:rsidR="00EF41D4">
        <w:rPr>
          <w:rFonts w:ascii="Cambria" w:hAnsi="Cambria"/>
        </w:rPr>
        <w:t xml:space="preserve">” </w:t>
      </w:r>
      <w:r w:rsidR="00A1027E">
        <w:rPr>
          <w:rFonts w:ascii="Cambria" w:hAnsi="Cambria"/>
        </w:rPr>
        <w:t>T</w:t>
      </w:r>
      <w:r w:rsidR="00EF41D4">
        <w:rPr>
          <w:rFonts w:ascii="Cambria" w:hAnsi="Cambria"/>
        </w:rPr>
        <w:t>h</w:t>
      </w:r>
      <w:r w:rsidR="00A1027E">
        <w:rPr>
          <w:rFonts w:ascii="Cambria" w:hAnsi="Cambria"/>
        </w:rPr>
        <w:t>e stability</w:t>
      </w:r>
      <w:r w:rsidR="00EF41D4">
        <w:rPr>
          <w:rFonts w:ascii="Cambria" w:hAnsi="Cambria"/>
        </w:rPr>
        <w:t xml:space="preserve"> buffer </w:t>
      </w:r>
      <w:r w:rsidR="000A2861">
        <w:rPr>
          <w:rFonts w:ascii="Cambria" w:hAnsi="Cambria"/>
        </w:rPr>
        <w:t>added</w:t>
      </w:r>
      <w:r w:rsidR="00EF41D4">
        <w:rPr>
          <w:rFonts w:ascii="Cambria" w:hAnsi="Cambria"/>
        </w:rPr>
        <w:t xml:space="preserve"> </w:t>
      </w:r>
      <w:r w:rsidR="000A2861">
        <w:rPr>
          <w:rFonts w:ascii="Cambria" w:hAnsi="Cambria"/>
        </w:rPr>
        <w:t>104</w:t>
      </w:r>
      <w:r w:rsidR="00EF41D4">
        <w:rPr>
          <w:rFonts w:ascii="Cambria" w:hAnsi="Cambria"/>
        </w:rPr>
        <w:t xml:space="preserve"> basis</w:t>
      </w:r>
      <w:r w:rsidR="000A2861">
        <w:rPr>
          <w:rFonts w:ascii="Cambria" w:hAnsi="Cambria"/>
        </w:rPr>
        <w:t xml:space="preserve"> points</w:t>
      </w:r>
      <w:r w:rsidR="00EF41D4">
        <w:rPr>
          <w:rFonts w:ascii="Cambria" w:hAnsi="Cambria"/>
        </w:rPr>
        <w:t xml:space="preserve"> of total assets (</w:t>
      </w:r>
      <w:r w:rsidR="000A2861">
        <w:rPr>
          <w:rFonts w:ascii="Cambria" w:hAnsi="Cambria"/>
        </w:rPr>
        <w:t>or 99 basis points of adjusted total assets) to Fannie’s capital requirement, and 71 basis points of total assets (66 basis points of adjusted total assets) to Freddie’s</w:t>
      </w:r>
      <w:r w:rsidR="00A1027E">
        <w:rPr>
          <w:rFonts w:ascii="Cambria" w:hAnsi="Cambria"/>
        </w:rPr>
        <w:t>, as of March 31, 2023.</w:t>
      </w:r>
    </w:p>
    <w:p w:rsidR="00EF41D4" w:rsidRDefault="00EF41D4" w:rsidP="007D039F">
      <w:pPr>
        <w:rPr>
          <w:rFonts w:ascii="Cambria" w:hAnsi="Cambria"/>
        </w:rPr>
      </w:pPr>
    </w:p>
    <w:p w:rsidR="007D039F" w:rsidRDefault="00A1027E" w:rsidP="007D039F">
      <w:pPr>
        <w:rPr>
          <w:rFonts w:ascii="Cambria" w:hAnsi="Cambria"/>
        </w:rPr>
      </w:pPr>
      <w:r>
        <w:rPr>
          <w:rFonts w:ascii="Cambria" w:hAnsi="Cambria"/>
        </w:rPr>
        <w:t>Fannie and Freddie are the only two companies in America who guarant</w:t>
      </w:r>
      <w:r w:rsidR="003921B1">
        <w:rPr>
          <w:rFonts w:ascii="Cambria" w:hAnsi="Cambria"/>
        </w:rPr>
        <w:t>ee</w:t>
      </w:r>
      <w:r>
        <w:rPr>
          <w:rFonts w:ascii="Cambria" w:hAnsi="Cambria"/>
        </w:rPr>
        <w:t xml:space="preserve"> the credit of conventional residential mortgages.</w:t>
      </w:r>
      <w:r w:rsidR="00746D3C">
        <w:rPr>
          <w:rFonts w:ascii="Cambria" w:hAnsi="Cambria"/>
        </w:rPr>
        <w:t xml:space="preserve"> </w:t>
      </w:r>
      <w:r w:rsidR="00CE1254">
        <w:rPr>
          <w:rFonts w:ascii="Cambria" w:hAnsi="Cambria"/>
        </w:rPr>
        <w:t>T</w:t>
      </w:r>
      <w:r w:rsidR="00746D3C">
        <w:rPr>
          <w:rFonts w:ascii="Cambria" w:hAnsi="Cambria"/>
        </w:rPr>
        <w:t>heir guaranty makes residential mortgages attractive to contractual investors like mutual funds, pension funds and insurance companies, who</w:t>
      </w:r>
      <w:r w:rsidR="00FC0CA4">
        <w:rPr>
          <w:rFonts w:ascii="Cambria" w:hAnsi="Cambria"/>
        </w:rPr>
        <w:t xml:space="preserve"> </w:t>
      </w:r>
      <w:r w:rsidR="00AB2676">
        <w:rPr>
          <w:rFonts w:ascii="Cambria" w:hAnsi="Cambria"/>
        </w:rPr>
        <w:t>lack the</w:t>
      </w:r>
      <w:r w:rsidR="00FC0CA4">
        <w:rPr>
          <w:rFonts w:ascii="Cambria" w:hAnsi="Cambria"/>
        </w:rPr>
        <w:t xml:space="preserve"> ability to manage the credit risk of individual mortgages</w:t>
      </w:r>
      <w:r w:rsidR="00C960A5">
        <w:rPr>
          <w:rFonts w:ascii="Cambria" w:hAnsi="Cambria"/>
        </w:rPr>
        <w:t xml:space="preserve"> </w:t>
      </w:r>
      <w:r w:rsidR="00FC0CA4">
        <w:rPr>
          <w:rFonts w:ascii="Cambria" w:hAnsi="Cambria"/>
        </w:rPr>
        <w:t>but</w:t>
      </w:r>
      <w:r w:rsidR="00746D3C">
        <w:rPr>
          <w:rFonts w:ascii="Cambria" w:hAnsi="Cambria"/>
        </w:rPr>
        <w:t xml:space="preserve"> are well suited to manage </w:t>
      </w:r>
      <w:r w:rsidR="00A45AF2">
        <w:rPr>
          <w:rFonts w:ascii="Cambria" w:hAnsi="Cambria"/>
        </w:rPr>
        <w:t>the</w:t>
      </w:r>
      <w:r w:rsidR="0063499A">
        <w:rPr>
          <w:rFonts w:ascii="Cambria" w:hAnsi="Cambria"/>
        </w:rPr>
        <w:t xml:space="preserve"> interest-rate</w:t>
      </w:r>
      <w:r w:rsidR="00746D3C">
        <w:rPr>
          <w:rFonts w:ascii="Cambria" w:hAnsi="Cambria"/>
        </w:rPr>
        <w:t xml:space="preserve"> risk</w:t>
      </w:r>
      <w:r w:rsidR="00314041">
        <w:rPr>
          <w:rFonts w:ascii="Cambria" w:hAnsi="Cambria"/>
        </w:rPr>
        <w:t xml:space="preserve"> of 30-year fixed-rate mortgages in</w:t>
      </w:r>
      <w:r w:rsidR="00A45AF2">
        <w:rPr>
          <w:rFonts w:ascii="Cambria" w:hAnsi="Cambria"/>
        </w:rPr>
        <w:t xml:space="preserve"> MBS</w:t>
      </w:r>
      <w:r w:rsidR="00746D3C">
        <w:rPr>
          <w:rFonts w:ascii="Cambria" w:hAnsi="Cambria"/>
        </w:rPr>
        <w:t xml:space="preserve"> because</w:t>
      </w:r>
      <w:r w:rsidR="00F73224" w:rsidRPr="00F73224">
        <w:rPr>
          <w:rFonts w:ascii="Cambria" w:hAnsi="Cambria"/>
        </w:rPr>
        <w:t xml:space="preserve"> </w:t>
      </w:r>
      <w:r w:rsidR="00F73224">
        <w:rPr>
          <w:rFonts w:ascii="Cambria" w:hAnsi="Cambria"/>
        </w:rPr>
        <w:t>they do not use leverage;</w:t>
      </w:r>
      <w:r w:rsidR="003921B1">
        <w:rPr>
          <w:rFonts w:ascii="Cambria" w:hAnsi="Cambria"/>
        </w:rPr>
        <w:t xml:space="preserve"> </w:t>
      </w:r>
      <w:r w:rsidR="00746D3C">
        <w:rPr>
          <w:rFonts w:ascii="Cambria" w:hAnsi="Cambria"/>
        </w:rPr>
        <w:t>the</w:t>
      </w:r>
      <w:r w:rsidR="00314041">
        <w:rPr>
          <w:rFonts w:ascii="Cambria" w:hAnsi="Cambria"/>
        </w:rPr>
        <w:t xml:space="preserve"> sources of their</w:t>
      </w:r>
      <w:r w:rsidR="00746D3C">
        <w:rPr>
          <w:rFonts w:ascii="Cambria" w:hAnsi="Cambria"/>
        </w:rPr>
        <w:t xml:space="preserve"> funding are stable and predictable</w:t>
      </w:r>
      <w:r w:rsidR="00E92411">
        <w:rPr>
          <w:rFonts w:ascii="Cambria" w:hAnsi="Cambria"/>
        </w:rPr>
        <w:t>.</w:t>
      </w:r>
      <w:r w:rsidR="00746D3C">
        <w:rPr>
          <w:rFonts w:ascii="Cambria" w:hAnsi="Cambria"/>
        </w:rPr>
        <w:t xml:space="preserve"> </w:t>
      </w:r>
      <w:r w:rsidR="003921B1">
        <w:rPr>
          <w:rFonts w:ascii="Cambria" w:hAnsi="Cambria"/>
        </w:rPr>
        <w:t>The main alternative to a contractual investor manag</w:t>
      </w:r>
      <w:r w:rsidR="0063499A">
        <w:rPr>
          <w:rFonts w:ascii="Cambria" w:hAnsi="Cambria"/>
        </w:rPr>
        <w:t>ing</w:t>
      </w:r>
      <w:r w:rsidR="003921B1">
        <w:rPr>
          <w:rFonts w:ascii="Cambria" w:hAnsi="Cambria"/>
        </w:rPr>
        <w:t xml:space="preserve"> the interest-rate risk of a Fannie or Freddie-guaranteed </w:t>
      </w:r>
      <w:r w:rsidR="00A45AF2">
        <w:rPr>
          <w:rFonts w:ascii="Cambria" w:hAnsi="Cambria"/>
        </w:rPr>
        <w:t>MBS</w:t>
      </w:r>
      <w:r w:rsidR="003921B1">
        <w:rPr>
          <w:rFonts w:ascii="Cambria" w:hAnsi="Cambria"/>
        </w:rPr>
        <w:t xml:space="preserve"> is a commercial bank hol</w:t>
      </w:r>
      <w:r w:rsidR="00A45AF2">
        <w:rPr>
          <w:rFonts w:ascii="Cambria" w:hAnsi="Cambria"/>
        </w:rPr>
        <w:t>ding an unsecuritized</w:t>
      </w:r>
      <w:r w:rsidR="003921B1">
        <w:rPr>
          <w:rFonts w:ascii="Cambria" w:hAnsi="Cambria"/>
        </w:rPr>
        <w:t xml:space="preserve"> mortgage in</w:t>
      </w:r>
      <w:r w:rsidR="00EC44AC">
        <w:rPr>
          <w:rFonts w:ascii="Cambria" w:hAnsi="Cambria"/>
        </w:rPr>
        <w:t xml:space="preserve"> its</w:t>
      </w:r>
      <w:r w:rsidR="003921B1">
        <w:rPr>
          <w:rFonts w:ascii="Cambria" w:hAnsi="Cambria"/>
        </w:rPr>
        <w:t xml:space="preserve"> portfolio. F</w:t>
      </w:r>
      <w:r w:rsidR="00CE1254">
        <w:rPr>
          <w:rFonts w:ascii="Cambria" w:hAnsi="Cambria"/>
        </w:rPr>
        <w:t>or</w:t>
      </w:r>
      <w:r w:rsidR="003921B1">
        <w:rPr>
          <w:rFonts w:ascii="Cambria" w:hAnsi="Cambria"/>
        </w:rPr>
        <w:t xml:space="preserve"> at least the past three decades,</w:t>
      </w:r>
      <w:r w:rsidR="00CE1254">
        <w:rPr>
          <w:rFonts w:ascii="Cambria" w:hAnsi="Cambria"/>
        </w:rPr>
        <w:t xml:space="preserve"> FDIC data show that</w:t>
      </w:r>
      <w:r w:rsidR="003921B1">
        <w:rPr>
          <w:rFonts w:ascii="Cambria" w:hAnsi="Cambria"/>
        </w:rPr>
        <w:t xml:space="preserve"> banks’ serious delinquency and default rates on residential mortgages average about triple those of Fannie and Freddie, and periodically many banks fail because of funding 30-year fixed-rate mortgages and other long-term assets with short-term consumer deposits and purchased funds—</w:t>
      </w:r>
      <w:r w:rsidR="00A45AF2">
        <w:rPr>
          <w:rFonts w:ascii="Cambria" w:hAnsi="Cambria"/>
        </w:rPr>
        <w:t xml:space="preserve">most recently, </w:t>
      </w:r>
      <w:r w:rsidR="003921B1">
        <w:rPr>
          <w:rFonts w:ascii="Cambria" w:hAnsi="Cambria"/>
        </w:rPr>
        <w:t xml:space="preserve">Silicon Valley Bank, Signature Bank and Republic Bank. It </w:t>
      </w:r>
      <w:r w:rsidR="00A45AF2">
        <w:rPr>
          <w:rFonts w:ascii="Cambria" w:hAnsi="Cambria"/>
        </w:rPr>
        <w:t>simply</w:t>
      </w:r>
      <w:r w:rsidR="00C960A5">
        <w:rPr>
          <w:rFonts w:ascii="Cambria" w:hAnsi="Cambria"/>
        </w:rPr>
        <w:t xml:space="preserve"> is</w:t>
      </w:r>
      <w:r w:rsidR="00A45AF2">
        <w:rPr>
          <w:rFonts w:ascii="Cambria" w:hAnsi="Cambria"/>
        </w:rPr>
        <w:t xml:space="preserve"> incorrect</w:t>
      </w:r>
      <w:r w:rsidR="003921B1">
        <w:rPr>
          <w:rFonts w:ascii="Cambria" w:hAnsi="Cambria"/>
        </w:rPr>
        <w:t xml:space="preserve"> to assert that higher “market shares” of Fannie and Freddie increase systemic risk, and must be discouraged </w:t>
      </w:r>
      <w:r w:rsidR="00E338EC">
        <w:rPr>
          <w:rFonts w:ascii="Cambria" w:hAnsi="Cambria"/>
        </w:rPr>
        <w:t>by</w:t>
      </w:r>
      <w:r w:rsidR="001114E8">
        <w:rPr>
          <w:rFonts w:ascii="Cambria" w:hAnsi="Cambria"/>
        </w:rPr>
        <w:t xml:space="preserve"> </w:t>
      </w:r>
      <w:r w:rsidR="00E338EC">
        <w:rPr>
          <w:rFonts w:ascii="Cambria" w:hAnsi="Cambria"/>
        </w:rPr>
        <w:t xml:space="preserve">imposing </w:t>
      </w:r>
      <w:r w:rsidR="001114E8">
        <w:rPr>
          <w:rFonts w:ascii="Cambria" w:hAnsi="Cambria"/>
        </w:rPr>
        <w:t xml:space="preserve">a capital penalty linked to their size. The </w:t>
      </w:r>
      <w:r w:rsidR="00E338EC">
        <w:rPr>
          <w:rFonts w:ascii="Cambria" w:hAnsi="Cambria"/>
        </w:rPr>
        <w:t>mis</w:t>
      </w:r>
      <w:r w:rsidR="001114E8">
        <w:rPr>
          <w:rFonts w:ascii="Cambria" w:hAnsi="Cambria"/>
        </w:rPr>
        <w:t>named “stability</w:t>
      </w:r>
      <w:r w:rsidR="00FC0CA4">
        <w:rPr>
          <w:rFonts w:ascii="Cambria" w:hAnsi="Cambria"/>
        </w:rPr>
        <w:t xml:space="preserve"> capital</w:t>
      </w:r>
      <w:r w:rsidR="001114E8">
        <w:rPr>
          <w:rFonts w:ascii="Cambria" w:hAnsi="Cambria"/>
        </w:rPr>
        <w:t xml:space="preserve"> buffer” in fact </w:t>
      </w:r>
      <w:r w:rsidR="003410EB">
        <w:rPr>
          <w:rFonts w:ascii="Cambria" w:hAnsi="Cambria"/>
        </w:rPr>
        <w:t>encourages</w:t>
      </w:r>
      <w:r w:rsidR="001114E8">
        <w:rPr>
          <w:rFonts w:ascii="Cambria" w:hAnsi="Cambria"/>
        </w:rPr>
        <w:t xml:space="preserve"> the opposite </w:t>
      </w:r>
      <w:r w:rsidR="002E7604">
        <w:rPr>
          <w:rFonts w:ascii="Cambria" w:hAnsi="Cambria"/>
        </w:rPr>
        <w:t>outcome</w:t>
      </w:r>
      <w:r w:rsidR="001114E8">
        <w:rPr>
          <w:rFonts w:ascii="Cambria" w:hAnsi="Cambria"/>
        </w:rPr>
        <w:t>.</w:t>
      </w:r>
      <w:r w:rsidR="0063499A">
        <w:rPr>
          <w:rFonts w:ascii="Cambria" w:hAnsi="Cambria"/>
        </w:rPr>
        <w:t xml:space="preserve"> </w:t>
      </w:r>
    </w:p>
    <w:p w:rsidR="007D039F" w:rsidRDefault="007D039F" w:rsidP="007D039F">
      <w:pPr>
        <w:rPr>
          <w:rFonts w:ascii="Cambria" w:hAnsi="Cambria"/>
          <w:b/>
          <w:bCs/>
        </w:rPr>
      </w:pPr>
    </w:p>
    <w:p w:rsidR="001A58C1" w:rsidRDefault="001A58C1" w:rsidP="001A58C1">
      <w:pPr>
        <w:rPr>
          <w:rFonts w:ascii="Cambria" w:hAnsi="Cambria"/>
          <w:b/>
          <w:bCs/>
        </w:rPr>
      </w:pPr>
      <w:r>
        <w:rPr>
          <w:rFonts w:ascii="Cambria" w:hAnsi="Cambria"/>
          <w:b/>
          <w:bCs/>
        </w:rPr>
        <w:t>Recommendation</w:t>
      </w:r>
    </w:p>
    <w:p w:rsidR="00226E76" w:rsidRPr="00226E76" w:rsidRDefault="00226E76" w:rsidP="001A58C1">
      <w:pPr>
        <w:rPr>
          <w:rFonts w:ascii="Cambria" w:hAnsi="Cambria"/>
          <w:b/>
          <w:bCs/>
        </w:rPr>
      </w:pPr>
    </w:p>
    <w:p w:rsidR="00FB2155" w:rsidRDefault="0022102A" w:rsidP="00DB2A57">
      <w:pPr>
        <w:rPr>
          <w:rFonts w:ascii="Cambria" w:hAnsi="Cambria"/>
        </w:rPr>
      </w:pPr>
      <w:r>
        <w:rPr>
          <w:rFonts w:ascii="Cambria" w:hAnsi="Cambria"/>
        </w:rPr>
        <w:t>Fannie Mae and Freddie Mac’s guaranty fees—particularly</w:t>
      </w:r>
      <w:r w:rsidR="004A4D76">
        <w:rPr>
          <w:rFonts w:ascii="Cambria" w:hAnsi="Cambria"/>
        </w:rPr>
        <w:t xml:space="preserve"> on</w:t>
      </w:r>
      <w:r>
        <w:rPr>
          <w:rFonts w:ascii="Cambria" w:hAnsi="Cambria"/>
        </w:rPr>
        <w:t xml:space="preserve"> loans to affordable housing borrowers—</w:t>
      </w:r>
      <w:r w:rsidR="004A4D76">
        <w:rPr>
          <w:rFonts w:ascii="Cambria" w:hAnsi="Cambria"/>
        </w:rPr>
        <w:t xml:space="preserve">are far too high, </w:t>
      </w:r>
      <w:r>
        <w:rPr>
          <w:rFonts w:ascii="Cambria" w:hAnsi="Cambria"/>
        </w:rPr>
        <w:t xml:space="preserve">and their current and prospective returns on equity are far too low, </w:t>
      </w:r>
      <w:r w:rsidR="00AE3240">
        <w:rPr>
          <w:rFonts w:ascii="Cambria" w:hAnsi="Cambria"/>
        </w:rPr>
        <w:t xml:space="preserve">for </w:t>
      </w:r>
      <w:r w:rsidR="00B649E4">
        <w:rPr>
          <w:rFonts w:ascii="Cambria" w:hAnsi="Cambria"/>
        </w:rPr>
        <w:t>one</w:t>
      </w:r>
      <w:r w:rsidR="00AE3240">
        <w:rPr>
          <w:rFonts w:ascii="Cambria" w:hAnsi="Cambria"/>
        </w:rPr>
        <w:t xml:space="preserve"> blatantly obvious reason: the</w:t>
      </w:r>
      <w:r w:rsidR="00B649E4">
        <w:rPr>
          <w:rFonts w:ascii="Cambria" w:hAnsi="Cambria"/>
        </w:rPr>
        <w:t>ir</w:t>
      </w:r>
      <w:r w:rsidR="00BF6E38">
        <w:rPr>
          <w:rFonts w:ascii="Cambria" w:hAnsi="Cambria"/>
        </w:rPr>
        <w:t xml:space="preserve"> “risk-based” </w:t>
      </w:r>
      <w:r w:rsidR="005A4494">
        <w:rPr>
          <w:rFonts w:ascii="Cambria" w:hAnsi="Cambria"/>
        </w:rPr>
        <w:t xml:space="preserve">capital </w:t>
      </w:r>
      <w:r w:rsidR="00BF6E38">
        <w:rPr>
          <w:rFonts w:ascii="Cambria" w:hAnsi="Cambria"/>
        </w:rPr>
        <w:t>require</w:t>
      </w:r>
      <w:r w:rsidR="00AE3240">
        <w:rPr>
          <w:rFonts w:ascii="Cambria" w:hAnsi="Cambria"/>
        </w:rPr>
        <w:t>d</w:t>
      </w:r>
      <w:r w:rsidR="00FA7147" w:rsidRPr="00FA7147">
        <w:rPr>
          <w:rFonts w:ascii="Cambria" w:hAnsi="Cambria"/>
        </w:rPr>
        <w:t xml:space="preserve"> </w:t>
      </w:r>
      <w:r w:rsidR="00AE3240">
        <w:rPr>
          <w:rFonts w:ascii="Cambria" w:hAnsi="Cambria"/>
        </w:rPr>
        <w:t xml:space="preserve">by the ERCF </w:t>
      </w:r>
      <w:r w:rsidR="00420E39">
        <w:rPr>
          <w:rFonts w:ascii="Cambria" w:hAnsi="Cambria"/>
        </w:rPr>
        <w:t>is</w:t>
      </w:r>
      <w:r w:rsidR="00FA7147">
        <w:rPr>
          <w:rFonts w:ascii="Cambria" w:hAnsi="Cambria"/>
        </w:rPr>
        <w:t xml:space="preserve"> </w:t>
      </w:r>
      <w:r w:rsidR="005A4494">
        <w:rPr>
          <w:rFonts w:ascii="Cambria" w:hAnsi="Cambria"/>
        </w:rPr>
        <w:t xml:space="preserve">in </w:t>
      </w:r>
      <w:r w:rsidR="00C02F81">
        <w:rPr>
          <w:rFonts w:ascii="Cambria" w:hAnsi="Cambria"/>
        </w:rPr>
        <w:t>no</w:t>
      </w:r>
      <w:r w:rsidR="005A4494">
        <w:rPr>
          <w:rFonts w:ascii="Cambria" w:hAnsi="Cambria"/>
        </w:rPr>
        <w:t xml:space="preserve"> sense risk-based</w:t>
      </w:r>
      <w:r w:rsidR="00BF6E38">
        <w:rPr>
          <w:rFonts w:ascii="Cambria" w:hAnsi="Cambria"/>
        </w:rPr>
        <w:t xml:space="preserve">. </w:t>
      </w:r>
      <w:r w:rsidR="00DB2A57">
        <w:rPr>
          <w:rFonts w:ascii="Cambria" w:hAnsi="Cambria"/>
        </w:rPr>
        <w:t xml:space="preserve">At some point, FHFA </w:t>
      </w:r>
      <w:r w:rsidR="00544058">
        <w:rPr>
          <w:rFonts w:ascii="Cambria" w:hAnsi="Cambria"/>
        </w:rPr>
        <w:t>must</w:t>
      </w:r>
      <w:r w:rsidR="00DB2A57">
        <w:rPr>
          <w:rFonts w:ascii="Cambria" w:hAnsi="Cambria"/>
        </w:rPr>
        <w:t xml:space="preserve"> scrap the overly complex ERCF</w:t>
      </w:r>
      <w:r w:rsidR="00CB47AE">
        <w:rPr>
          <w:rFonts w:ascii="Cambria" w:hAnsi="Cambria"/>
        </w:rPr>
        <w:t>,</w:t>
      </w:r>
      <w:r w:rsidR="00DB2A57">
        <w:rPr>
          <w:rFonts w:ascii="Cambria" w:hAnsi="Cambria"/>
        </w:rPr>
        <w:t xml:space="preserve"> and start over in a way that deals with the original weaknesses of the 2018 standard</w:t>
      </w:r>
      <w:r w:rsidR="00420E39">
        <w:rPr>
          <w:rFonts w:ascii="Cambria" w:hAnsi="Cambria"/>
        </w:rPr>
        <w:t xml:space="preserve"> (</w:t>
      </w:r>
      <w:r w:rsidR="00DB2A57">
        <w:rPr>
          <w:rFonts w:ascii="Cambria" w:hAnsi="Cambria"/>
        </w:rPr>
        <w:t xml:space="preserve">including not counting guaranty fees as offsets to credit losses, </w:t>
      </w:r>
      <w:r w:rsidR="00420E39">
        <w:rPr>
          <w:rFonts w:ascii="Cambria" w:hAnsi="Cambria"/>
        </w:rPr>
        <w:t>using</w:t>
      </w:r>
      <w:r w:rsidR="00167F69">
        <w:rPr>
          <w:rFonts w:ascii="Cambria" w:hAnsi="Cambria"/>
        </w:rPr>
        <w:t xml:space="preserve"> </w:t>
      </w:r>
      <w:r w:rsidR="00544058">
        <w:rPr>
          <w:rFonts w:ascii="Cambria" w:hAnsi="Cambria"/>
        </w:rPr>
        <w:t>current</w:t>
      </w:r>
      <w:r w:rsidR="00DB2A57">
        <w:rPr>
          <w:rFonts w:ascii="Cambria" w:hAnsi="Cambria"/>
        </w:rPr>
        <w:t xml:space="preserve"> rather than </w:t>
      </w:r>
      <w:r w:rsidR="00544058">
        <w:rPr>
          <w:rFonts w:ascii="Cambria" w:hAnsi="Cambria"/>
        </w:rPr>
        <w:t>original loan-to-value ratios</w:t>
      </w:r>
      <w:r w:rsidR="00420E39">
        <w:rPr>
          <w:rFonts w:ascii="Cambria" w:hAnsi="Cambria"/>
        </w:rPr>
        <w:t xml:space="preserve"> to determine risk-based capital</w:t>
      </w:r>
      <w:r w:rsidR="00544058">
        <w:rPr>
          <w:rFonts w:ascii="Cambria" w:hAnsi="Cambria"/>
        </w:rPr>
        <w:t>,</w:t>
      </w:r>
      <w:r w:rsidR="00DB2A57">
        <w:rPr>
          <w:rFonts w:ascii="Cambria" w:hAnsi="Cambria"/>
        </w:rPr>
        <w:t xml:space="preserve"> </w:t>
      </w:r>
      <w:r w:rsidR="00CB47AE">
        <w:rPr>
          <w:rFonts w:ascii="Cambria" w:hAnsi="Cambria"/>
        </w:rPr>
        <w:t xml:space="preserve">and </w:t>
      </w:r>
      <w:r w:rsidR="00DB2A57">
        <w:rPr>
          <w:rFonts w:ascii="Cambria" w:hAnsi="Cambria"/>
        </w:rPr>
        <w:t>treat</w:t>
      </w:r>
      <w:r w:rsidR="00C02F81">
        <w:rPr>
          <w:rFonts w:ascii="Cambria" w:hAnsi="Cambria"/>
        </w:rPr>
        <w:t xml:space="preserve">ing </w:t>
      </w:r>
      <w:r w:rsidR="00544058">
        <w:rPr>
          <w:rFonts w:ascii="Cambria" w:hAnsi="Cambria"/>
        </w:rPr>
        <w:t>credit-risk transfer securities</w:t>
      </w:r>
      <w:r w:rsidR="00CB47AE">
        <w:rPr>
          <w:rFonts w:ascii="Cambria" w:hAnsi="Cambria"/>
        </w:rPr>
        <w:t xml:space="preserve"> too </w:t>
      </w:r>
      <w:r w:rsidR="005E7796">
        <w:rPr>
          <w:rFonts w:ascii="Cambria" w:hAnsi="Cambria"/>
        </w:rPr>
        <w:t>generously</w:t>
      </w:r>
      <w:r w:rsidR="00420E39">
        <w:rPr>
          <w:rFonts w:ascii="Cambria" w:hAnsi="Cambria"/>
        </w:rPr>
        <w:t>)</w:t>
      </w:r>
      <w:r w:rsidR="00544058">
        <w:rPr>
          <w:rFonts w:ascii="Cambria" w:hAnsi="Cambria"/>
        </w:rPr>
        <w:t>. But</w:t>
      </w:r>
      <w:r w:rsidR="00CA6F4D">
        <w:rPr>
          <w:rFonts w:ascii="Cambria" w:hAnsi="Cambria"/>
        </w:rPr>
        <w:t xml:space="preserve"> in the</w:t>
      </w:r>
      <w:r w:rsidR="00E35BA0">
        <w:rPr>
          <w:rFonts w:ascii="Cambria" w:hAnsi="Cambria"/>
        </w:rPr>
        <w:t xml:space="preserve"> short term</w:t>
      </w:r>
      <w:r w:rsidR="00CA6F4D">
        <w:rPr>
          <w:rFonts w:ascii="Cambria" w:hAnsi="Cambria"/>
        </w:rPr>
        <w:t>,</w:t>
      </w:r>
      <w:r w:rsidR="00544058">
        <w:rPr>
          <w:rFonts w:ascii="Cambria" w:hAnsi="Cambria"/>
        </w:rPr>
        <w:t xml:space="preserve"> the two critical problems </w:t>
      </w:r>
      <w:r w:rsidR="00755F59">
        <w:rPr>
          <w:rFonts w:ascii="Cambria" w:hAnsi="Cambria"/>
        </w:rPr>
        <w:t>FHFA</w:t>
      </w:r>
      <w:r w:rsidR="00544058">
        <w:rPr>
          <w:rFonts w:ascii="Cambria" w:hAnsi="Cambria"/>
        </w:rPr>
        <w:t xml:space="preserve"> identifies in this RFI</w:t>
      </w:r>
      <w:r w:rsidR="00167F69">
        <w:rPr>
          <w:rFonts w:ascii="Cambria" w:hAnsi="Cambria"/>
        </w:rPr>
        <w:t xml:space="preserve"> </w:t>
      </w:r>
      <w:r w:rsidR="00CB0070">
        <w:rPr>
          <w:rFonts w:ascii="Cambria" w:hAnsi="Cambria"/>
        </w:rPr>
        <w:t xml:space="preserve">of unaffordable guaranty fees on higher-risk loans and an insufficient return on Fannie and Freddie’s capital </w:t>
      </w:r>
      <w:r w:rsidR="00755F59">
        <w:rPr>
          <w:rFonts w:ascii="Cambria" w:hAnsi="Cambria"/>
        </w:rPr>
        <w:t>can be</w:t>
      </w:r>
      <w:r w:rsidR="00C960A5">
        <w:rPr>
          <w:rFonts w:ascii="Cambria" w:hAnsi="Cambria"/>
        </w:rPr>
        <w:t xml:space="preserve"> solved</w:t>
      </w:r>
      <w:r w:rsidR="00CB47AE">
        <w:rPr>
          <w:rFonts w:ascii="Cambria" w:hAnsi="Cambria"/>
        </w:rPr>
        <w:t xml:space="preserve"> quickly and simply</w:t>
      </w:r>
      <w:r w:rsidR="00544058">
        <w:rPr>
          <w:rFonts w:ascii="Cambria" w:hAnsi="Cambria"/>
        </w:rPr>
        <w:t xml:space="preserve"> </w:t>
      </w:r>
      <w:r w:rsidR="00C960A5">
        <w:rPr>
          <w:rFonts w:ascii="Cambria" w:hAnsi="Cambria"/>
        </w:rPr>
        <w:t xml:space="preserve">if FHFA changes </w:t>
      </w:r>
      <w:r w:rsidR="00755F59">
        <w:rPr>
          <w:rFonts w:ascii="Cambria" w:hAnsi="Cambria"/>
        </w:rPr>
        <w:t>the ERCF to</w:t>
      </w:r>
      <w:r w:rsidR="00167F69">
        <w:rPr>
          <w:rFonts w:ascii="Cambria" w:hAnsi="Cambria"/>
        </w:rPr>
        <w:t>:</w:t>
      </w:r>
      <w:r w:rsidR="00544058">
        <w:rPr>
          <w:rFonts w:ascii="Cambria" w:hAnsi="Cambria"/>
        </w:rPr>
        <w:t xml:space="preserve"> </w:t>
      </w:r>
    </w:p>
    <w:p w:rsidR="00DB2A57" w:rsidRDefault="00152FE3" w:rsidP="00DB2A57">
      <w:pPr>
        <w:rPr>
          <w:rFonts w:ascii="Cambria" w:hAnsi="Cambria"/>
          <w:u w:val="single"/>
        </w:rPr>
      </w:pPr>
      <w:r>
        <w:rPr>
          <w:rFonts w:ascii="Cambria" w:hAnsi="Cambria"/>
          <w:u w:val="single"/>
        </w:rPr>
        <w:t xml:space="preserve"> </w:t>
      </w:r>
    </w:p>
    <w:p w:rsidR="00467982" w:rsidRPr="00E319D2" w:rsidRDefault="00CB47AE" w:rsidP="00E319D2">
      <w:pPr>
        <w:pStyle w:val="ListParagraph"/>
        <w:numPr>
          <w:ilvl w:val="0"/>
          <w:numId w:val="5"/>
        </w:numPr>
        <w:rPr>
          <w:rFonts w:ascii="Cambria" w:hAnsi="Cambria"/>
        </w:rPr>
      </w:pPr>
      <w:r w:rsidRPr="00E319D2">
        <w:rPr>
          <w:rFonts w:ascii="Cambria" w:hAnsi="Cambria"/>
        </w:rPr>
        <w:t>Eliminate the prescribed leverage buffe</w:t>
      </w:r>
      <w:r w:rsidR="00FB2155" w:rsidRPr="00E319D2">
        <w:rPr>
          <w:rFonts w:ascii="Cambria" w:hAnsi="Cambria"/>
        </w:rPr>
        <w:t>r</w:t>
      </w:r>
      <w:r w:rsidRPr="00E319D2">
        <w:rPr>
          <w:rFonts w:ascii="Cambria" w:hAnsi="Cambria"/>
        </w:rPr>
        <w:t xml:space="preserve"> </w:t>
      </w:r>
      <w:r w:rsidR="00420E39" w:rsidRPr="00E319D2">
        <w:rPr>
          <w:rFonts w:ascii="Cambria" w:hAnsi="Cambria"/>
        </w:rPr>
        <w:t>in</w:t>
      </w:r>
      <w:r w:rsidR="00467982" w:rsidRPr="00E319D2">
        <w:rPr>
          <w:rFonts w:ascii="Cambria" w:hAnsi="Cambria"/>
        </w:rPr>
        <w:t xml:space="preserve"> </w:t>
      </w:r>
      <w:r w:rsidR="00544058" w:rsidRPr="00E319D2">
        <w:rPr>
          <w:rFonts w:ascii="Cambria" w:hAnsi="Cambria"/>
        </w:rPr>
        <w:t>Fannie and Freddie’s</w:t>
      </w:r>
      <w:r w:rsidR="00420E39" w:rsidRPr="00E319D2">
        <w:rPr>
          <w:rFonts w:ascii="Cambria" w:hAnsi="Cambria"/>
        </w:rPr>
        <w:t xml:space="preserve"> </w:t>
      </w:r>
      <w:r w:rsidR="00544058" w:rsidRPr="00E319D2">
        <w:rPr>
          <w:rFonts w:ascii="Cambria" w:hAnsi="Cambria"/>
        </w:rPr>
        <w:t>minimum</w:t>
      </w:r>
      <w:r w:rsidR="00FB2155" w:rsidRPr="00E319D2">
        <w:rPr>
          <w:rFonts w:ascii="Cambria" w:hAnsi="Cambria"/>
        </w:rPr>
        <w:t xml:space="preserve"> capital</w:t>
      </w:r>
      <w:r w:rsidR="00420E39" w:rsidRPr="00E319D2">
        <w:rPr>
          <w:rFonts w:ascii="Cambria" w:hAnsi="Cambria"/>
        </w:rPr>
        <w:t xml:space="preserve"> requirement</w:t>
      </w:r>
      <w:r w:rsidR="00FF54D5">
        <w:rPr>
          <w:rFonts w:ascii="Cambria" w:hAnsi="Cambria"/>
        </w:rPr>
        <w:t>, reducing</w:t>
      </w:r>
      <w:r w:rsidR="00420E39" w:rsidRPr="00E319D2">
        <w:rPr>
          <w:rFonts w:ascii="Cambria" w:hAnsi="Cambria"/>
        </w:rPr>
        <w:t xml:space="preserve"> it </w:t>
      </w:r>
      <w:r w:rsidR="00467982" w:rsidRPr="00E319D2">
        <w:rPr>
          <w:rFonts w:ascii="Cambria" w:hAnsi="Cambria"/>
        </w:rPr>
        <w:t>to</w:t>
      </w:r>
      <w:r w:rsidR="00420E39" w:rsidRPr="00E319D2">
        <w:rPr>
          <w:rFonts w:ascii="Cambria" w:hAnsi="Cambria"/>
        </w:rPr>
        <w:t xml:space="preserve"> the</w:t>
      </w:r>
      <w:r w:rsidR="00467982" w:rsidRPr="00E319D2">
        <w:rPr>
          <w:rFonts w:ascii="Cambria" w:hAnsi="Cambria"/>
        </w:rPr>
        <w:t xml:space="preserve"> 2.5 percent in </w:t>
      </w:r>
      <w:r w:rsidR="00544058" w:rsidRPr="00E319D2">
        <w:rPr>
          <w:rFonts w:ascii="Cambria" w:hAnsi="Cambria"/>
        </w:rPr>
        <w:t>FHFA’s</w:t>
      </w:r>
      <w:r w:rsidR="00467982" w:rsidRPr="00E319D2">
        <w:rPr>
          <w:rFonts w:ascii="Cambria" w:hAnsi="Cambria"/>
        </w:rPr>
        <w:t xml:space="preserve"> 2018 </w:t>
      </w:r>
      <w:r w:rsidR="00544058" w:rsidRPr="00E319D2">
        <w:rPr>
          <w:rFonts w:ascii="Cambria" w:hAnsi="Cambria"/>
        </w:rPr>
        <w:t xml:space="preserve">capital </w:t>
      </w:r>
      <w:r w:rsidR="00467982" w:rsidRPr="00E319D2">
        <w:rPr>
          <w:rFonts w:ascii="Cambria" w:hAnsi="Cambria"/>
        </w:rPr>
        <w:t>proposal</w:t>
      </w:r>
      <w:r w:rsidR="00CA6F4D" w:rsidRPr="00E319D2">
        <w:rPr>
          <w:rFonts w:ascii="Cambria" w:hAnsi="Cambria"/>
        </w:rPr>
        <w:t xml:space="preserve">, </w:t>
      </w:r>
      <w:r w:rsidR="00FF54D5">
        <w:rPr>
          <w:rFonts w:ascii="Cambria" w:hAnsi="Cambria"/>
        </w:rPr>
        <w:t>but as a percent of total assets, and</w:t>
      </w:r>
    </w:p>
    <w:p w:rsidR="00544058" w:rsidRDefault="00544058" w:rsidP="00544058">
      <w:pPr>
        <w:rPr>
          <w:rFonts w:ascii="Cambria" w:hAnsi="Cambria"/>
        </w:rPr>
      </w:pPr>
    </w:p>
    <w:p w:rsidR="00582681" w:rsidRPr="00FF54D5" w:rsidRDefault="0007349D" w:rsidP="00FF54D5">
      <w:pPr>
        <w:pStyle w:val="ListParagraph"/>
        <w:numPr>
          <w:ilvl w:val="0"/>
          <w:numId w:val="5"/>
        </w:numPr>
        <w:rPr>
          <w:rFonts w:ascii="Cambria" w:hAnsi="Cambria"/>
        </w:rPr>
      </w:pPr>
      <w:r w:rsidRPr="00FF54D5">
        <w:rPr>
          <w:rFonts w:ascii="Cambria" w:hAnsi="Cambria"/>
        </w:rPr>
        <w:t>In</w:t>
      </w:r>
      <w:r w:rsidR="00C02F81" w:rsidRPr="00FF54D5">
        <w:rPr>
          <w:rFonts w:ascii="Cambria" w:hAnsi="Cambria"/>
        </w:rPr>
        <w:t xml:space="preserve"> the risk-based standard, eliminate</w:t>
      </w:r>
      <w:r w:rsidR="00544058" w:rsidRPr="00FF54D5">
        <w:rPr>
          <w:rFonts w:ascii="Cambria" w:hAnsi="Cambria"/>
        </w:rPr>
        <w:t xml:space="preserve"> the stability capital buffer</w:t>
      </w:r>
      <w:r w:rsidR="00167F69" w:rsidRPr="00FF54D5">
        <w:rPr>
          <w:rFonts w:ascii="Cambria" w:hAnsi="Cambria"/>
        </w:rPr>
        <w:t xml:space="preserve"> and the 1.6 percent capital </w:t>
      </w:r>
      <w:r w:rsidR="00CA6F4D" w:rsidRPr="00FF54D5">
        <w:rPr>
          <w:rFonts w:ascii="Cambria" w:hAnsi="Cambria"/>
        </w:rPr>
        <w:t>minimum</w:t>
      </w:r>
      <w:r w:rsidR="00CB0070" w:rsidRPr="00FF54D5">
        <w:rPr>
          <w:rFonts w:ascii="Cambria" w:hAnsi="Cambria"/>
        </w:rPr>
        <w:t>,</w:t>
      </w:r>
      <w:r w:rsidR="00CA6F4D" w:rsidRPr="00FF54D5">
        <w:rPr>
          <w:rFonts w:ascii="Cambria" w:hAnsi="Cambria"/>
        </w:rPr>
        <w:t xml:space="preserve"> and if necessary </w:t>
      </w:r>
      <w:r w:rsidR="00C02F81" w:rsidRPr="00FF54D5">
        <w:rPr>
          <w:rFonts w:ascii="Cambria" w:hAnsi="Cambria"/>
        </w:rPr>
        <w:t>lower</w:t>
      </w:r>
      <w:r w:rsidR="00CA6F4D" w:rsidRPr="00FF54D5">
        <w:rPr>
          <w:rFonts w:ascii="Cambria" w:hAnsi="Cambria"/>
        </w:rPr>
        <w:t xml:space="preserve"> the stress capital buffer by enough to </w:t>
      </w:r>
      <w:r w:rsidR="00C02F81" w:rsidRPr="00FF54D5">
        <w:rPr>
          <w:rFonts w:ascii="Cambria" w:hAnsi="Cambria"/>
        </w:rPr>
        <w:t>reduce</w:t>
      </w:r>
      <w:r w:rsidR="00CA6F4D" w:rsidRPr="00FF54D5">
        <w:rPr>
          <w:rFonts w:ascii="Cambria" w:hAnsi="Cambria"/>
        </w:rPr>
        <w:t xml:space="preserve"> Fannie and Freddie’s required risk-based capital</w:t>
      </w:r>
      <w:r w:rsidR="00C02F81" w:rsidRPr="00FF54D5">
        <w:rPr>
          <w:rFonts w:ascii="Cambria" w:hAnsi="Cambria"/>
        </w:rPr>
        <w:t xml:space="preserve"> </w:t>
      </w:r>
      <w:r w:rsidR="00CA6F4D" w:rsidRPr="00FF54D5">
        <w:rPr>
          <w:rFonts w:ascii="Cambria" w:hAnsi="Cambria"/>
        </w:rPr>
        <w:t>to or below the 2.5 percent minimum</w:t>
      </w:r>
      <w:r w:rsidR="00CB0070" w:rsidRPr="00FF54D5">
        <w:rPr>
          <w:rFonts w:ascii="Cambria" w:hAnsi="Cambria"/>
        </w:rPr>
        <w:t>, leaving</w:t>
      </w:r>
      <w:r w:rsidR="00420E39" w:rsidRPr="00FF54D5">
        <w:rPr>
          <w:rFonts w:ascii="Cambria" w:hAnsi="Cambria"/>
        </w:rPr>
        <w:t xml:space="preserve"> </w:t>
      </w:r>
      <w:r w:rsidR="00CB47AE" w:rsidRPr="00FF54D5">
        <w:rPr>
          <w:rFonts w:ascii="Cambria" w:hAnsi="Cambria"/>
        </w:rPr>
        <w:t xml:space="preserve">more than enough of the ERCF’s remaining conservatism </w:t>
      </w:r>
      <w:r w:rsidR="00FB2155" w:rsidRPr="00FF54D5">
        <w:rPr>
          <w:rFonts w:ascii="Cambria" w:hAnsi="Cambria"/>
        </w:rPr>
        <w:t>and cushions</w:t>
      </w:r>
      <w:r w:rsidR="00CB0070" w:rsidRPr="00FF54D5">
        <w:rPr>
          <w:rFonts w:ascii="Cambria" w:hAnsi="Cambria"/>
        </w:rPr>
        <w:t xml:space="preserve"> in place</w:t>
      </w:r>
      <w:r w:rsidR="00FB2155" w:rsidRPr="00FF54D5">
        <w:rPr>
          <w:rFonts w:ascii="Cambria" w:hAnsi="Cambria"/>
        </w:rPr>
        <w:t xml:space="preserve"> to ensure</w:t>
      </w:r>
      <w:r w:rsidR="00CB47AE" w:rsidRPr="00FF54D5">
        <w:rPr>
          <w:rFonts w:ascii="Cambria" w:hAnsi="Cambria"/>
        </w:rPr>
        <w:t xml:space="preserve"> an unquestionably high level of safety and soundness</w:t>
      </w:r>
      <w:r w:rsidR="00FB2155" w:rsidRPr="00FF54D5">
        <w:rPr>
          <w:rFonts w:ascii="Cambria" w:hAnsi="Cambria"/>
        </w:rPr>
        <w:t xml:space="preserve"> for taxpayers</w:t>
      </w:r>
      <w:r w:rsidR="00CB47AE" w:rsidRPr="00FF54D5">
        <w:rPr>
          <w:rFonts w:ascii="Cambria" w:hAnsi="Cambria"/>
        </w:rPr>
        <w:t>.</w:t>
      </w:r>
      <w:r w:rsidR="00C02F81" w:rsidRPr="00FF54D5">
        <w:rPr>
          <w:rFonts w:ascii="Cambria" w:hAnsi="Cambria"/>
        </w:rPr>
        <w:t xml:space="preserve"> </w:t>
      </w:r>
    </w:p>
    <w:p w:rsidR="00426809" w:rsidRPr="00420E39" w:rsidRDefault="00426809" w:rsidP="00420E39">
      <w:pPr>
        <w:rPr>
          <w:rFonts w:ascii="Cambria" w:hAnsi="Cambria"/>
        </w:rPr>
      </w:pPr>
    </w:p>
    <w:p w:rsidR="00426809" w:rsidRPr="00426809" w:rsidRDefault="00426809" w:rsidP="00426809">
      <w:pPr>
        <w:jc w:val="right"/>
        <w:rPr>
          <w:rFonts w:ascii="Cambria" w:hAnsi="Cambria"/>
        </w:rPr>
      </w:pPr>
      <w:r>
        <w:rPr>
          <w:rFonts w:ascii="Cambria" w:hAnsi="Cambria"/>
        </w:rPr>
        <w:t xml:space="preserve">June </w:t>
      </w:r>
      <w:r w:rsidR="008D6B6E">
        <w:rPr>
          <w:rFonts w:ascii="Cambria" w:hAnsi="Cambria"/>
        </w:rPr>
        <w:t>4</w:t>
      </w:r>
      <w:r>
        <w:rPr>
          <w:rFonts w:ascii="Cambria" w:hAnsi="Cambria"/>
        </w:rPr>
        <w:t>, 2023</w:t>
      </w:r>
      <w:r w:rsidR="00152FE3">
        <w:rPr>
          <w:rFonts w:ascii="Cambria" w:hAnsi="Cambria"/>
        </w:rPr>
        <w:t xml:space="preserve"> </w:t>
      </w:r>
      <w:r w:rsidR="00B05FD4">
        <w:rPr>
          <w:rFonts w:ascii="Cambria" w:hAnsi="Cambria"/>
        </w:rPr>
        <w:t xml:space="preserve"> </w:t>
      </w:r>
    </w:p>
    <w:sectPr w:rsidR="00426809" w:rsidRPr="00426809" w:rsidSect="00BC62E1">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42F" w:rsidRDefault="0020542F" w:rsidP="00BC62E1">
      <w:r>
        <w:separator/>
      </w:r>
    </w:p>
  </w:endnote>
  <w:endnote w:type="continuationSeparator" w:id="0">
    <w:p w:rsidR="0020542F" w:rsidRDefault="0020542F" w:rsidP="00BC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446933"/>
      <w:docPartObj>
        <w:docPartGallery w:val="Page Numbers (Bottom of Page)"/>
        <w:docPartUnique/>
      </w:docPartObj>
    </w:sdtPr>
    <w:sdtContent>
      <w:p w:rsidR="00BC62E1" w:rsidRDefault="00BC62E1" w:rsidP="00490B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62E1" w:rsidRDefault="00BC6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464187"/>
      <w:docPartObj>
        <w:docPartGallery w:val="Page Numbers (Bottom of Page)"/>
        <w:docPartUnique/>
      </w:docPartObj>
    </w:sdtPr>
    <w:sdtContent>
      <w:p w:rsidR="00BC62E1" w:rsidRDefault="00BC62E1" w:rsidP="00490B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C62E1" w:rsidRDefault="00BC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42F" w:rsidRDefault="0020542F" w:rsidP="00BC62E1">
      <w:r>
        <w:separator/>
      </w:r>
    </w:p>
  </w:footnote>
  <w:footnote w:type="continuationSeparator" w:id="0">
    <w:p w:rsidR="0020542F" w:rsidRDefault="0020542F" w:rsidP="00BC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38"/>
    <w:multiLevelType w:val="hybridMultilevel"/>
    <w:tmpl w:val="09AEA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431D0B"/>
    <w:multiLevelType w:val="hybridMultilevel"/>
    <w:tmpl w:val="A3A21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44B4F"/>
    <w:multiLevelType w:val="hybridMultilevel"/>
    <w:tmpl w:val="E5045AFE"/>
    <w:lvl w:ilvl="0" w:tplc="745C8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E0AF8"/>
    <w:multiLevelType w:val="hybridMultilevel"/>
    <w:tmpl w:val="11ECEF30"/>
    <w:lvl w:ilvl="0" w:tplc="773A730C">
      <w:start w:val="54"/>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055DB3"/>
    <w:multiLevelType w:val="hybridMultilevel"/>
    <w:tmpl w:val="B530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D0E48"/>
    <w:multiLevelType w:val="hybridMultilevel"/>
    <w:tmpl w:val="0224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679954">
    <w:abstractNumId w:val="5"/>
  </w:num>
  <w:num w:numId="2" w16cid:durableId="2017999330">
    <w:abstractNumId w:val="4"/>
  </w:num>
  <w:num w:numId="3" w16cid:durableId="1759521577">
    <w:abstractNumId w:val="0"/>
  </w:num>
  <w:num w:numId="4" w16cid:durableId="710881387">
    <w:abstractNumId w:val="1"/>
  </w:num>
  <w:num w:numId="5" w16cid:durableId="1458451300">
    <w:abstractNumId w:val="3"/>
  </w:num>
  <w:num w:numId="6" w16cid:durableId="18101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1C"/>
    <w:rsid w:val="000202C0"/>
    <w:rsid w:val="00024A02"/>
    <w:rsid w:val="00026CB7"/>
    <w:rsid w:val="00034AA6"/>
    <w:rsid w:val="00040972"/>
    <w:rsid w:val="000521B5"/>
    <w:rsid w:val="00052D44"/>
    <w:rsid w:val="00057A9D"/>
    <w:rsid w:val="00071159"/>
    <w:rsid w:val="0007195A"/>
    <w:rsid w:val="0007349D"/>
    <w:rsid w:val="0008169A"/>
    <w:rsid w:val="00083847"/>
    <w:rsid w:val="000855D3"/>
    <w:rsid w:val="00087AB7"/>
    <w:rsid w:val="00093223"/>
    <w:rsid w:val="00097B45"/>
    <w:rsid w:val="000A2861"/>
    <w:rsid w:val="000B36D4"/>
    <w:rsid w:val="000B3D7A"/>
    <w:rsid w:val="000B5F95"/>
    <w:rsid w:val="000B65A0"/>
    <w:rsid w:val="000C3CFC"/>
    <w:rsid w:val="000D4485"/>
    <w:rsid w:val="000D48C5"/>
    <w:rsid w:val="000D71EA"/>
    <w:rsid w:val="000E1A1A"/>
    <w:rsid w:val="000E1FDF"/>
    <w:rsid w:val="000E38C4"/>
    <w:rsid w:val="000F53AC"/>
    <w:rsid w:val="001114E8"/>
    <w:rsid w:val="0011467B"/>
    <w:rsid w:val="001153DB"/>
    <w:rsid w:val="00124B6E"/>
    <w:rsid w:val="00142B20"/>
    <w:rsid w:val="00142D0A"/>
    <w:rsid w:val="00152FE3"/>
    <w:rsid w:val="00164432"/>
    <w:rsid w:val="0016781C"/>
    <w:rsid w:val="00167F69"/>
    <w:rsid w:val="00184018"/>
    <w:rsid w:val="001A106B"/>
    <w:rsid w:val="001A3105"/>
    <w:rsid w:val="001A58C1"/>
    <w:rsid w:val="001C7B42"/>
    <w:rsid w:val="001D1069"/>
    <w:rsid w:val="001F22F3"/>
    <w:rsid w:val="001F69DF"/>
    <w:rsid w:val="0020390C"/>
    <w:rsid w:val="0020542F"/>
    <w:rsid w:val="0022102A"/>
    <w:rsid w:val="00226E76"/>
    <w:rsid w:val="00236C22"/>
    <w:rsid w:val="0023727B"/>
    <w:rsid w:val="00241690"/>
    <w:rsid w:val="002456B6"/>
    <w:rsid w:val="00257C45"/>
    <w:rsid w:val="00266521"/>
    <w:rsid w:val="00270473"/>
    <w:rsid w:val="00283AFC"/>
    <w:rsid w:val="00285430"/>
    <w:rsid w:val="00290025"/>
    <w:rsid w:val="002A06FE"/>
    <w:rsid w:val="002A3C7B"/>
    <w:rsid w:val="002A7785"/>
    <w:rsid w:val="002C7BD5"/>
    <w:rsid w:val="002D2DE0"/>
    <w:rsid w:val="002D601B"/>
    <w:rsid w:val="002E2550"/>
    <w:rsid w:val="002E7604"/>
    <w:rsid w:val="002E7D25"/>
    <w:rsid w:val="003037B1"/>
    <w:rsid w:val="00306EA7"/>
    <w:rsid w:val="00314041"/>
    <w:rsid w:val="00314494"/>
    <w:rsid w:val="00314EC3"/>
    <w:rsid w:val="0033756C"/>
    <w:rsid w:val="003410EB"/>
    <w:rsid w:val="00342F43"/>
    <w:rsid w:val="003535D6"/>
    <w:rsid w:val="003655B5"/>
    <w:rsid w:val="003759A0"/>
    <w:rsid w:val="00376954"/>
    <w:rsid w:val="003779FD"/>
    <w:rsid w:val="00382CF5"/>
    <w:rsid w:val="00383790"/>
    <w:rsid w:val="00383996"/>
    <w:rsid w:val="00383DFB"/>
    <w:rsid w:val="003864A0"/>
    <w:rsid w:val="003921B1"/>
    <w:rsid w:val="003B1F1D"/>
    <w:rsid w:val="003B6D74"/>
    <w:rsid w:val="003F20D4"/>
    <w:rsid w:val="003F70F2"/>
    <w:rsid w:val="004104B6"/>
    <w:rsid w:val="0041239B"/>
    <w:rsid w:val="00420AB6"/>
    <w:rsid w:val="00420E39"/>
    <w:rsid w:val="0042478D"/>
    <w:rsid w:val="004254D3"/>
    <w:rsid w:val="00426809"/>
    <w:rsid w:val="00437850"/>
    <w:rsid w:val="00441964"/>
    <w:rsid w:val="004445FF"/>
    <w:rsid w:val="00445CBE"/>
    <w:rsid w:val="0045521D"/>
    <w:rsid w:val="00467982"/>
    <w:rsid w:val="00473634"/>
    <w:rsid w:val="0047387E"/>
    <w:rsid w:val="00481E7D"/>
    <w:rsid w:val="00485EBC"/>
    <w:rsid w:val="004A00AD"/>
    <w:rsid w:val="004A09C1"/>
    <w:rsid w:val="004A4D76"/>
    <w:rsid w:val="004B12DF"/>
    <w:rsid w:val="004B2BED"/>
    <w:rsid w:val="004B423F"/>
    <w:rsid w:val="004B56E7"/>
    <w:rsid w:val="004D567C"/>
    <w:rsid w:val="004D614F"/>
    <w:rsid w:val="004E3271"/>
    <w:rsid w:val="004E4DAB"/>
    <w:rsid w:val="004F16B5"/>
    <w:rsid w:val="004F39FC"/>
    <w:rsid w:val="004F44A9"/>
    <w:rsid w:val="00513E26"/>
    <w:rsid w:val="0051584F"/>
    <w:rsid w:val="0052273C"/>
    <w:rsid w:val="00523834"/>
    <w:rsid w:val="00531878"/>
    <w:rsid w:val="00535AF6"/>
    <w:rsid w:val="00544058"/>
    <w:rsid w:val="005570F3"/>
    <w:rsid w:val="00582681"/>
    <w:rsid w:val="00585634"/>
    <w:rsid w:val="00587AA2"/>
    <w:rsid w:val="00592468"/>
    <w:rsid w:val="005A4494"/>
    <w:rsid w:val="005A530F"/>
    <w:rsid w:val="005B10EC"/>
    <w:rsid w:val="005B3C57"/>
    <w:rsid w:val="005C266B"/>
    <w:rsid w:val="005C5816"/>
    <w:rsid w:val="005D0867"/>
    <w:rsid w:val="005D4035"/>
    <w:rsid w:val="005D6E56"/>
    <w:rsid w:val="005E2475"/>
    <w:rsid w:val="005E4A01"/>
    <w:rsid w:val="005E7796"/>
    <w:rsid w:val="005F1D49"/>
    <w:rsid w:val="005F1DFC"/>
    <w:rsid w:val="00603CFE"/>
    <w:rsid w:val="006046F8"/>
    <w:rsid w:val="00610C49"/>
    <w:rsid w:val="0061251A"/>
    <w:rsid w:val="0063499A"/>
    <w:rsid w:val="00641A42"/>
    <w:rsid w:val="006429F7"/>
    <w:rsid w:val="00642C51"/>
    <w:rsid w:val="00647C02"/>
    <w:rsid w:val="006508CE"/>
    <w:rsid w:val="00654D79"/>
    <w:rsid w:val="00663754"/>
    <w:rsid w:val="006644D8"/>
    <w:rsid w:val="006669BD"/>
    <w:rsid w:val="00667B34"/>
    <w:rsid w:val="00674158"/>
    <w:rsid w:val="00684F2E"/>
    <w:rsid w:val="00690AAA"/>
    <w:rsid w:val="00695B19"/>
    <w:rsid w:val="006A65BA"/>
    <w:rsid w:val="006D1098"/>
    <w:rsid w:val="006D4FF7"/>
    <w:rsid w:val="006D7475"/>
    <w:rsid w:val="006E4646"/>
    <w:rsid w:val="006E4AE1"/>
    <w:rsid w:val="006F23C2"/>
    <w:rsid w:val="00701908"/>
    <w:rsid w:val="0070385C"/>
    <w:rsid w:val="00706258"/>
    <w:rsid w:val="00713A3F"/>
    <w:rsid w:val="007146AE"/>
    <w:rsid w:val="00723D35"/>
    <w:rsid w:val="00735B3F"/>
    <w:rsid w:val="007458DE"/>
    <w:rsid w:val="00746CE7"/>
    <w:rsid w:val="00746D3C"/>
    <w:rsid w:val="0075498D"/>
    <w:rsid w:val="00755055"/>
    <w:rsid w:val="00755F59"/>
    <w:rsid w:val="00762182"/>
    <w:rsid w:val="0076307A"/>
    <w:rsid w:val="00791025"/>
    <w:rsid w:val="007A66B7"/>
    <w:rsid w:val="007A6D09"/>
    <w:rsid w:val="007A73C1"/>
    <w:rsid w:val="007C0F01"/>
    <w:rsid w:val="007D039F"/>
    <w:rsid w:val="007E05C6"/>
    <w:rsid w:val="007E1EA8"/>
    <w:rsid w:val="007E4219"/>
    <w:rsid w:val="007E7052"/>
    <w:rsid w:val="007F1C3A"/>
    <w:rsid w:val="007F2E04"/>
    <w:rsid w:val="008007EC"/>
    <w:rsid w:val="008010CA"/>
    <w:rsid w:val="00813EE6"/>
    <w:rsid w:val="00821A6E"/>
    <w:rsid w:val="0082411C"/>
    <w:rsid w:val="00824752"/>
    <w:rsid w:val="008277E8"/>
    <w:rsid w:val="00831F92"/>
    <w:rsid w:val="008627EF"/>
    <w:rsid w:val="0086530B"/>
    <w:rsid w:val="00866DE0"/>
    <w:rsid w:val="00867041"/>
    <w:rsid w:val="00870143"/>
    <w:rsid w:val="00883CC4"/>
    <w:rsid w:val="008946E5"/>
    <w:rsid w:val="008969A3"/>
    <w:rsid w:val="00897582"/>
    <w:rsid w:val="008A2252"/>
    <w:rsid w:val="008A3CE6"/>
    <w:rsid w:val="008B4987"/>
    <w:rsid w:val="008B6703"/>
    <w:rsid w:val="008C1D52"/>
    <w:rsid w:val="008C5A29"/>
    <w:rsid w:val="008C60B7"/>
    <w:rsid w:val="008D6B6E"/>
    <w:rsid w:val="008D6CB6"/>
    <w:rsid w:val="008D7F7A"/>
    <w:rsid w:val="008E21E5"/>
    <w:rsid w:val="008E3A5A"/>
    <w:rsid w:val="008F153D"/>
    <w:rsid w:val="008F7786"/>
    <w:rsid w:val="00900A37"/>
    <w:rsid w:val="009038D1"/>
    <w:rsid w:val="00907F1B"/>
    <w:rsid w:val="00911260"/>
    <w:rsid w:val="009127E7"/>
    <w:rsid w:val="0092528D"/>
    <w:rsid w:val="0093047F"/>
    <w:rsid w:val="0093372B"/>
    <w:rsid w:val="00935A8D"/>
    <w:rsid w:val="0094267A"/>
    <w:rsid w:val="00944756"/>
    <w:rsid w:val="00957FA1"/>
    <w:rsid w:val="00970DB9"/>
    <w:rsid w:val="00972A0B"/>
    <w:rsid w:val="00973456"/>
    <w:rsid w:val="00973E8A"/>
    <w:rsid w:val="00973F7E"/>
    <w:rsid w:val="00980E96"/>
    <w:rsid w:val="00997548"/>
    <w:rsid w:val="009A0ADB"/>
    <w:rsid w:val="009B1923"/>
    <w:rsid w:val="009C262A"/>
    <w:rsid w:val="009C481D"/>
    <w:rsid w:val="009D0DD2"/>
    <w:rsid w:val="009D5CF7"/>
    <w:rsid w:val="009E2FDA"/>
    <w:rsid w:val="009F1D04"/>
    <w:rsid w:val="00A00F1B"/>
    <w:rsid w:val="00A0494C"/>
    <w:rsid w:val="00A06F45"/>
    <w:rsid w:val="00A07258"/>
    <w:rsid w:val="00A1027E"/>
    <w:rsid w:val="00A23025"/>
    <w:rsid w:val="00A311BC"/>
    <w:rsid w:val="00A31D3E"/>
    <w:rsid w:val="00A367EF"/>
    <w:rsid w:val="00A36B42"/>
    <w:rsid w:val="00A4207C"/>
    <w:rsid w:val="00A45AF2"/>
    <w:rsid w:val="00A66C0F"/>
    <w:rsid w:val="00A673C9"/>
    <w:rsid w:val="00A70480"/>
    <w:rsid w:val="00A76F30"/>
    <w:rsid w:val="00A77DA5"/>
    <w:rsid w:val="00A84AAF"/>
    <w:rsid w:val="00A91B59"/>
    <w:rsid w:val="00A94127"/>
    <w:rsid w:val="00AA3A57"/>
    <w:rsid w:val="00AA693E"/>
    <w:rsid w:val="00AA74D5"/>
    <w:rsid w:val="00AB2676"/>
    <w:rsid w:val="00AB4DFD"/>
    <w:rsid w:val="00AC4669"/>
    <w:rsid w:val="00AC7382"/>
    <w:rsid w:val="00AE3240"/>
    <w:rsid w:val="00AE4D7E"/>
    <w:rsid w:val="00AF0736"/>
    <w:rsid w:val="00AF2512"/>
    <w:rsid w:val="00B03413"/>
    <w:rsid w:val="00B05FD4"/>
    <w:rsid w:val="00B11EAD"/>
    <w:rsid w:val="00B216D1"/>
    <w:rsid w:val="00B27477"/>
    <w:rsid w:val="00B335A7"/>
    <w:rsid w:val="00B344AB"/>
    <w:rsid w:val="00B37ABA"/>
    <w:rsid w:val="00B41AB3"/>
    <w:rsid w:val="00B60C0D"/>
    <w:rsid w:val="00B61354"/>
    <w:rsid w:val="00B645BB"/>
    <w:rsid w:val="00B649E4"/>
    <w:rsid w:val="00B65C0F"/>
    <w:rsid w:val="00B76096"/>
    <w:rsid w:val="00B77BC1"/>
    <w:rsid w:val="00B81325"/>
    <w:rsid w:val="00BA2978"/>
    <w:rsid w:val="00BB23DB"/>
    <w:rsid w:val="00BC62E1"/>
    <w:rsid w:val="00BC6B37"/>
    <w:rsid w:val="00BC7155"/>
    <w:rsid w:val="00BD6287"/>
    <w:rsid w:val="00BE5E01"/>
    <w:rsid w:val="00BF644D"/>
    <w:rsid w:val="00BF6E38"/>
    <w:rsid w:val="00C02F81"/>
    <w:rsid w:val="00C36CCF"/>
    <w:rsid w:val="00C37C2D"/>
    <w:rsid w:val="00C41B33"/>
    <w:rsid w:val="00C44B25"/>
    <w:rsid w:val="00C56EC9"/>
    <w:rsid w:val="00C64B15"/>
    <w:rsid w:val="00C66F37"/>
    <w:rsid w:val="00C67C15"/>
    <w:rsid w:val="00C76818"/>
    <w:rsid w:val="00C8644A"/>
    <w:rsid w:val="00C87659"/>
    <w:rsid w:val="00C931F5"/>
    <w:rsid w:val="00C952CA"/>
    <w:rsid w:val="00C960A5"/>
    <w:rsid w:val="00CA0185"/>
    <w:rsid w:val="00CA1269"/>
    <w:rsid w:val="00CA6F4D"/>
    <w:rsid w:val="00CB0070"/>
    <w:rsid w:val="00CB47AE"/>
    <w:rsid w:val="00CB6FCC"/>
    <w:rsid w:val="00CE03B8"/>
    <w:rsid w:val="00CE1254"/>
    <w:rsid w:val="00CF45C6"/>
    <w:rsid w:val="00CF6BB8"/>
    <w:rsid w:val="00D03047"/>
    <w:rsid w:val="00D03849"/>
    <w:rsid w:val="00D04AA6"/>
    <w:rsid w:val="00D0682B"/>
    <w:rsid w:val="00D14E3F"/>
    <w:rsid w:val="00D20640"/>
    <w:rsid w:val="00D22934"/>
    <w:rsid w:val="00D27B1C"/>
    <w:rsid w:val="00D50E59"/>
    <w:rsid w:val="00D52FDF"/>
    <w:rsid w:val="00D5348A"/>
    <w:rsid w:val="00D537C0"/>
    <w:rsid w:val="00D570CA"/>
    <w:rsid w:val="00D71CFB"/>
    <w:rsid w:val="00D76D16"/>
    <w:rsid w:val="00D90A44"/>
    <w:rsid w:val="00D943D4"/>
    <w:rsid w:val="00D9652A"/>
    <w:rsid w:val="00DA3663"/>
    <w:rsid w:val="00DA7A4D"/>
    <w:rsid w:val="00DB0B5F"/>
    <w:rsid w:val="00DB2A57"/>
    <w:rsid w:val="00DC063D"/>
    <w:rsid w:val="00DC170A"/>
    <w:rsid w:val="00DC30AE"/>
    <w:rsid w:val="00DD1CE6"/>
    <w:rsid w:val="00DE7F24"/>
    <w:rsid w:val="00DF1FC0"/>
    <w:rsid w:val="00E0766C"/>
    <w:rsid w:val="00E25333"/>
    <w:rsid w:val="00E31841"/>
    <w:rsid w:val="00E319D2"/>
    <w:rsid w:val="00E338EC"/>
    <w:rsid w:val="00E346F3"/>
    <w:rsid w:val="00E35BA0"/>
    <w:rsid w:val="00E37675"/>
    <w:rsid w:val="00E37711"/>
    <w:rsid w:val="00E411F2"/>
    <w:rsid w:val="00E45505"/>
    <w:rsid w:val="00E50FCE"/>
    <w:rsid w:val="00E54D16"/>
    <w:rsid w:val="00E62496"/>
    <w:rsid w:val="00E65980"/>
    <w:rsid w:val="00E82F29"/>
    <w:rsid w:val="00E86727"/>
    <w:rsid w:val="00E8693C"/>
    <w:rsid w:val="00E92411"/>
    <w:rsid w:val="00E928A2"/>
    <w:rsid w:val="00E93E3C"/>
    <w:rsid w:val="00EB3CB1"/>
    <w:rsid w:val="00EC44AC"/>
    <w:rsid w:val="00EC6516"/>
    <w:rsid w:val="00ED1E2C"/>
    <w:rsid w:val="00EE6482"/>
    <w:rsid w:val="00EF41D4"/>
    <w:rsid w:val="00EF63C9"/>
    <w:rsid w:val="00F01444"/>
    <w:rsid w:val="00F03E25"/>
    <w:rsid w:val="00F11324"/>
    <w:rsid w:val="00F11BF3"/>
    <w:rsid w:val="00F1258D"/>
    <w:rsid w:val="00F25679"/>
    <w:rsid w:val="00F30255"/>
    <w:rsid w:val="00F340C6"/>
    <w:rsid w:val="00F47DEE"/>
    <w:rsid w:val="00F47F20"/>
    <w:rsid w:val="00F57140"/>
    <w:rsid w:val="00F63042"/>
    <w:rsid w:val="00F65025"/>
    <w:rsid w:val="00F73224"/>
    <w:rsid w:val="00F81395"/>
    <w:rsid w:val="00FA3A57"/>
    <w:rsid w:val="00FA466E"/>
    <w:rsid w:val="00FA7147"/>
    <w:rsid w:val="00FB17EA"/>
    <w:rsid w:val="00FB2155"/>
    <w:rsid w:val="00FC0CA4"/>
    <w:rsid w:val="00FC29C0"/>
    <w:rsid w:val="00FC29ED"/>
    <w:rsid w:val="00FC34E2"/>
    <w:rsid w:val="00FC3522"/>
    <w:rsid w:val="00FC38BD"/>
    <w:rsid w:val="00FC5C51"/>
    <w:rsid w:val="00FD6E12"/>
    <w:rsid w:val="00FE2964"/>
    <w:rsid w:val="00FF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83157E"/>
  <w15:chartTrackingRefBased/>
  <w15:docId w15:val="{FFAAE997-4A44-3840-985F-9E9F8933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9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3996"/>
    <w:rPr>
      <w:color w:val="0000FF"/>
      <w:u w:val="single"/>
    </w:rPr>
  </w:style>
  <w:style w:type="paragraph" w:styleId="Date">
    <w:name w:val="Date"/>
    <w:basedOn w:val="Normal"/>
    <w:next w:val="Normal"/>
    <w:link w:val="DateChar"/>
    <w:uiPriority w:val="99"/>
    <w:semiHidden/>
    <w:unhideWhenUsed/>
    <w:rsid w:val="00034AA6"/>
  </w:style>
  <w:style w:type="character" w:customStyle="1" w:styleId="DateChar">
    <w:name w:val="Date Char"/>
    <w:basedOn w:val="DefaultParagraphFont"/>
    <w:link w:val="Date"/>
    <w:uiPriority w:val="99"/>
    <w:semiHidden/>
    <w:rsid w:val="00034AA6"/>
  </w:style>
  <w:style w:type="paragraph" w:styleId="ListParagraph">
    <w:name w:val="List Paragraph"/>
    <w:basedOn w:val="Normal"/>
    <w:uiPriority w:val="34"/>
    <w:qFormat/>
    <w:rsid w:val="00544058"/>
    <w:pPr>
      <w:ind w:left="720"/>
      <w:contextualSpacing/>
    </w:pPr>
  </w:style>
  <w:style w:type="paragraph" w:styleId="Footer">
    <w:name w:val="footer"/>
    <w:basedOn w:val="Normal"/>
    <w:link w:val="FooterChar"/>
    <w:uiPriority w:val="99"/>
    <w:unhideWhenUsed/>
    <w:rsid w:val="00BC62E1"/>
    <w:pPr>
      <w:tabs>
        <w:tab w:val="center" w:pos="4680"/>
        <w:tab w:val="right" w:pos="9360"/>
      </w:tabs>
    </w:pPr>
  </w:style>
  <w:style w:type="character" w:customStyle="1" w:styleId="FooterChar">
    <w:name w:val="Footer Char"/>
    <w:basedOn w:val="DefaultParagraphFont"/>
    <w:link w:val="Footer"/>
    <w:uiPriority w:val="99"/>
    <w:rsid w:val="00BC62E1"/>
  </w:style>
  <w:style w:type="character" w:styleId="PageNumber">
    <w:name w:val="page number"/>
    <w:basedOn w:val="DefaultParagraphFont"/>
    <w:uiPriority w:val="99"/>
    <w:semiHidden/>
    <w:unhideWhenUsed/>
    <w:rsid w:val="00BC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384F6-9ACF-4B72-BA60-1643A1E73E57}"/>
</file>

<file path=customXml/itemProps2.xml><?xml version="1.0" encoding="utf-8"?>
<ds:datastoreItem xmlns:ds="http://schemas.openxmlformats.org/officeDocument/2006/customXml" ds:itemID="{347CF8C6-A107-47D7-9626-AED16758D838}"/>
</file>

<file path=customXml/itemProps3.xml><?xml version="1.0" encoding="utf-8"?>
<ds:datastoreItem xmlns:ds="http://schemas.openxmlformats.org/officeDocument/2006/customXml" ds:itemID="{76B377BB-64C1-4885-BE4B-596403DACED3}"/>
</file>

<file path=docProps/app.xml><?xml version="1.0" encoding="utf-8"?>
<Properties xmlns="http://schemas.openxmlformats.org/officeDocument/2006/extended-properties" xmlns:vt="http://schemas.openxmlformats.org/officeDocument/2006/docPropsVTypes">
  <Template>Normal.dotm</Template>
  <TotalTime>2231</TotalTime>
  <Pages>7</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Howard</dc:creator>
  <cp:keywords/>
  <dc:description/>
  <cp:lastModifiedBy>Timothy Howard</cp:lastModifiedBy>
  <cp:revision>340</cp:revision>
  <dcterms:created xsi:type="dcterms:W3CDTF">2023-05-22T20:06:00Z</dcterms:created>
  <dcterms:modified xsi:type="dcterms:W3CDTF">2023-06-06T12:22:00Z</dcterms:modified>
</cp:coreProperties>
</file>