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01ABB" w14:textId="77777777" w:rsidR="00615388" w:rsidRPr="00991F19" w:rsidRDefault="00615388" w:rsidP="00991F19">
      <w:pPr>
        <w:spacing w:after="0" w:line="240" w:lineRule="auto"/>
        <w:jc w:val="both"/>
        <w:rPr>
          <w:rFonts w:ascii="Times New Roman" w:hAnsi="Times New Roman" w:cs="Times New Roman"/>
        </w:rPr>
      </w:pPr>
    </w:p>
    <w:p w14:paraId="0CEC3845" w14:textId="6DACE372" w:rsidR="00031A4E" w:rsidRPr="00991F19" w:rsidRDefault="00031A4E" w:rsidP="00991F19">
      <w:pPr>
        <w:spacing w:after="0" w:line="240" w:lineRule="auto"/>
        <w:jc w:val="both"/>
        <w:rPr>
          <w:rFonts w:ascii="Times New Roman" w:hAnsi="Times New Roman" w:cs="Times New Roman"/>
        </w:rPr>
      </w:pPr>
    </w:p>
    <w:p w14:paraId="1C9E7F82" w14:textId="77FB6EF8" w:rsidR="00031A4E" w:rsidRPr="00991F19" w:rsidRDefault="00FE0CCA" w:rsidP="00991F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May 1</w:t>
      </w:r>
      <w:r w:rsidR="00A34C50">
        <w:rPr>
          <w:rFonts w:ascii="Times New Roman" w:eastAsia="Times New Roman" w:hAnsi="Times New Roman" w:cs="Times New Roman"/>
          <w:sz w:val="24"/>
          <w:szCs w:val="24"/>
        </w:rPr>
        <w:t>7</w:t>
      </w:r>
      <w:r w:rsidR="00031A4E" w:rsidRPr="00991F19">
        <w:rPr>
          <w:rFonts w:ascii="Times New Roman" w:eastAsia="Times New Roman" w:hAnsi="Times New Roman" w:cs="Times New Roman"/>
          <w:sz w:val="24"/>
          <w:szCs w:val="24"/>
        </w:rPr>
        <w:t>, 2023</w:t>
      </w:r>
    </w:p>
    <w:p w14:paraId="30C0C0B0" w14:textId="77777777" w:rsidR="00031A4E" w:rsidRPr="00991F19" w:rsidRDefault="00031A4E" w:rsidP="00991F19">
      <w:pPr>
        <w:spacing w:after="0" w:line="240" w:lineRule="auto"/>
        <w:jc w:val="both"/>
        <w:rPr>
          <w:rFonts w:ascii="Times New Roman" w:eastAsia="Times New Roman" w:hAnsi="Times New Roman" w:cs="Times New Roman"/>
          <w:sz w:val="24"/>
          <w:szCs w:val="24"/>
        </w:rPr>
      </w:pPr>
    </w:p>
    <w:p w14:paraId="1E9E6ABA" w14:textId="5D37623E" w:rsidR="00615388" w:rsidRPr="00991F19" w:rsidRDefault="00615388" w:rsidP="00991F19">
      <w:pPr>
        <w:spacing w:after="0" w:line="240" w:lineRule="auto"/>
        <w:jc w:val="both"/>
        <w:rPr>
          <w:rFonts w:ascii="Times New Roman" w:eastAsia="Times New Roman" w:hAnsi="Times New Roman" w:cs="Times New Roman"/>
          <w:sz w:val="24"/>
          <w:szCs w:val="24"/>
        </w:rPr>
      </w:pPr>
      <w:r w:rsidRPr="00991F19">
        <w:rPr>
          <w:rFonts w:ascii="Times New Roman" w:eastAsia="Times New Roman" w:hAnsi="Times New Roman" w:cs="Times New Roman"/>
          <w:sz w:val="24"/>
          <w:szCs w:val="24"/>
        </w:rPr>
        <w:t>Sandra L. Thompson</w:t>
      </w:r>
    </w:p>
    <w:p w14:paraId="3E711F89" w14:textId="77777777" w:rsidR="00615388" w:rsidRPr="00991F19" w:rsidRDefault="00615388" w:rsidP="00991F19">
      <w:pPr>
        <w:spacing w:after="0" w:line="240" w:lineRule="auto"/>
        <w:jc w:val="both"/>
        <w:rPr>
          <w:rFonts w:ascii="Times New Roman" w:eastAsia="Times New Roman" w:hAnsi="Times New Roman" w:cs="Times New Roman"/>
          <w:sz w:val="24"/>
          <w:szCs w:val="24"/>
        </w:rPr>
      </w:pPr>
      <w:r w:rsidRPr="00991F19">
        <w:rPr>
          <w:rFonts w:ascii="Times New Roman" w:eastAsia="Times New Roman" w:hAnsi="Times New Roman" w:cs="Times New Roman"/>
          <w:sz w:val="24"/>
          <w:szCs w:val="24"/>
        </w:rPr>
        <w:t>Director</w:t>
      </w:r>
    </w:p>
    <w:p w14:paraId="14D3ACEE" w14:textId="77777777" w:rsidR="00615388" w:rsidRPr="00991F19" w:rsidRDefault="00615388" w:rsidP="00991F19">
      <w:pPr>
        <w:spacing w:after="0" w:line="240" w:lineRule="auto"/>
        <w:jc w:val="both"/>
        <w:rPr>
          <w:rFonts w:ascii="Times New Roman" w:eastAsia="Times New Roman" w:hAnsi="Times New Roman" w:cs="Times New Roman"/>
          <w:sz w:val="24"/>
          <w:szCs w:val="24"/>
        </w:rPr>
      </w:pPr>
      <w:r w:rsidRPr="00991F19">
        <w:rPr>
          <w:rFonts w:ascii="Times New Roman" w:eastAsia="Times New Roman" w:hAnsi="Times New Roman" w:cs="Times New Roman"/>
          <w:sz w:val="24"/>
          <w:szCs w:val="24"/>
        </w:rPr>
        <w:t>Federal Housing Finance Agency</w:t>
      </w:r>
    </w:p>
    <w:p w14:paraId="179DD7FE" w14:textId="77777777" w:rsidR="00615388" w:rsidRPr="00991F19" w:rsidRDefault="00615388" w:rsidP="00991F19">
      <w:pPr>
        <w:spacing w:after="0" w:line="240" w:lineRule="auto"/>
        <w:jc w:val="both"/>
        <w:rPr>
          <w:rFonts w:ascii="Times New Roman" w:eastAsia="Times New Roman" w:hAnsi="Times New Roman" w:cs="Times New Roman"/>
          <w:sz w:val="24"/>
          <w:szCs w:val="24"/>
        </w:rPr>
      </w:pPr>
      <w:r w:rsidRPr="00991F19">
        <w:rPr>
          <w:rFonts w:ascii="Times New Roman" w:eastAsia="Times New Roman" w:hAnsi="Times New Roman" w:cs="Times New Roman"/>
          <w:sz w:val="24"/>
          <w:szCs w:val="24"/>
        </w:rPr>
        <w:t xml:space="preserve">400 7th Street, SW </w:t>
      </w:r>
    </w:p>
    <w:p w14:paraId="1D73E139" w14:textId="77777777" w:rsidR="00615388" w:rsidRPr="00991F19" w:rsidRDefault="00615388" w:rsidP="00991F19">
      <w:pPr>
        <w:spacing w:after="0" w:line="240" w:lineRule="auto"/>
        <w:jc w:val="both"/>
        <w:rPr>
          <w:rFonts w:ascii="Times New Roman" w:eastAsia="Times New Roman" w:hAnsi="Times New Roman" w:cs="Times New Roman"/>
          <w:sz w:val="24"/>
          <w:szCs w:val="24"/>
        </w:rPr>
      </w:pPr>
      <w:r w:rsidRPr="00991F19">
        <w:rPr>
          <w:rFonts w:ascii="Times New Roman" w:eastAsia="Times New Roman" w:hAnsi="Times New Roman" w:cs="Times New Roman"/>
          <w:sz w:val="24"/>
          <w:szCs w:val="24"/>
        </w:rPr>
        <w:t>Washington, D.C. 20219</w:t>
      </w:r>
    </w:p>
    <w:p w14:paraId="01941929" w14:textId="77777777" w:rsidR="00615388" w:rsidRPr="00991F19" w:rsidRDefault="00615388" w:rsidP="00991F19">
      <w:pPr>
        <w:spacing w:after="0" w:line="240" w:lineRule="auto"/>
        <w:jc w:val="both"/>
        <w:rPr>
          <w:rFonts w:ascii="Times New Roman" w:eastAsia="Times New Roman" w:hAnsi="Times New Roman" w:cs="Times New Roman"/>
          <w:sz w:val="24"/>
          <w:szCs w:val="24"/>
        </w:rPr>
      </w:pPr>
    </w:p>
    <w:p w14:paraId="2995D804" w14:textId="77777777" w:rsidR="00615388" w:rsidRPr="00991F19" w:rsidRDefault="00615388" w:rsidP="00991F19">
      <w:pPr>
        <w:spacing w:after="0" w:line="240" w:lineRule="auto"/>
        <w:jc w:val="both"/>
        <w:rPr>
          <w:rFonts w:ascii="Times New Roman" w:eastAsia="Times New Roman" w:hAnsi="Times New Roman" w:cs="Times New Roman"/>
          <w:sz w:val="24"/>
          <w:szCs w:val="24"/>
        </w:rPr>
      </w:pPr>
    </w:p>
    <w:p w14:paraId="223E6637" w14:textId="4EE4084D" w:rsidR="00031A4E" w:rsidRPr="00991F19" w:rsidRDefault="00615388" w:rsidP="00991F19">
      <w:pPr>
        <w:spacing w:after="0" w:line="240" w:lineRule="auto"/>
        <w:ind w:firstLine="720"/>
        <w:jc w:val="both"/>
        <w:rPr>
          <w:rFonts w:ascii="Times New Roman" w:eastAsia="Times New Roman" w:hAnsi="Times New Roman" w:cs="Times New Roman"/>
          <w:b/>
          <w:bCs/>
          <w:sz w:val="24"/>
          <w:szCs w:val="24"/>
        </w:rPr>
      </w:pPr>
      <w:r w:rsidRPr="00991F19">
        <w:rPr>
          <w:rFonts w:ascii="Times New Roman" w:eastAsia="Times New Roman" w:hAnsi="Times New Roman" w:cs="Times New Roman"/>
          <w:sz w:val="24"/>
          <w:szCs w:val="24"/>
        </w:rPr>
        <w:t xml:space="preserve">Re: </w:t>
      </w:r>
      <w:r w:rsidR="00031A4E" w:rsidRPr="00991F19">
        <w:rPr>
          <w:rFonts w:ascii="Times New Roman" w:eastAsia="Times New Roman" w:hAnsi="Times New Roman" w:cs="Times New Roman"/>
          <w:sz w:val="24"/>
          <w:szCs w:val="24"/>
        </w:rPr>
        <w:tab/>
      </w:r>
      <w:r w:rsidR="00031A4E" w:rsidRPr="00991F19">
        <w:rPr>
          <w:rFonts w:ascii="Times New Roman" w:eastAsia="Times New Roman" w:hAnsi="Times New Roman" w:cs="Times New Roman"/>
          <w:b/>
          <w:bCs/>
          <w:sz w:val="24"/>
          <w:szCs w:val="24"/>
        </w:rPr>
        <w:t xml:space="preserve">FHFA Request for Information on </w:t>
      </w:r>
    </w:p>
    <w:p w14:paraId="748CEC0A" w14:textId="0348FDD4" w:rsidR="00615388" w:rsidRPr="00991F19" w:rsidRDefault="00615388" w:rsidP="00991F19">
      <w:pPr>
        <w:spacing w:after="0" w:line="240" w:lineRule="auto"/>
        <w:ind w:left="720" w:firstLine="720"/>
        <w:jc w:val="both"/>
        <w:rPr>
          <w:rFonts w:ascii="Times New Roman" w:eastAsia="Times New Roman" w:hAnsi="Times New Roman" w:cs="Times New Roman"/>
          <w:sz w:val="24"/>
          <w:szCs w:val="24"/>
        </w:rPr>
      </w:pPr>
      <w:r w:rsidRPr="00991F19">
        <w:rPr>
          <w:rFonts w:ascii="Times New Roman" w:eastAsia="Times New Roman" w:hAnsi="Times New Roman" w:cs="Times New Roman"/>
          <w:b/>
          <w:bCs/>
          <w:sz w:val="24"/>
          <w:szCs w:val="24"/>
        </w:rPr>
        <w:t>Enterprise Single-Family Social Bond Policy</w:t>
      </w:r>
      <w:r w:rsidRPr="00991F19">
        <w:rPr>
          <w:rFonts w:ascii="Times New Roman" w:eastAsia="Times New Roman" w:hAnsi="Times New Roman" w:cs="Times New Roman"/>
          <w:sz w:val="24"/>
          <w:szCs w:val="24"/>
        </w:rPr>
        <w:t xml:space="preserve"> </w:t>
      </w:r>
    </w:p>
    <w:p w14:paraId="5D483820" w14:textId="77777777" w:rsidR="00615388" w:rsidRPr="00991F19" w:rsidRDefault="00615388" w:rsidP="00991F19">
      <w:pPr>
        <w:spacing w:after="0" w:line="240" w:lineRule="auto"/>
        <w:jc w:val="both"/>
        <w:rPr>
          <w:rFonts w:ascii="Times New Roman" w:eastAsia="Times New Roman" w:hAnsi="Times New Roman" w:cs="Times New Roman"/>
          <w:sz w:val="24"/>
          <w:szCs w:val="24"/>
        </w:rPr>
      </w:pPr>
    </w:p>
    <w:p w14:paraId="369E08DB" w14:textId="77777777" w:rsidR="00615388" w:rsidRPr="00991F19" w:rsidRDefault="00615388" w:rsidP="00991F19">
      <w:pPr>
        <w:spacing w:after="0" w:line="240" w:lineRule="auto"/>
        <w:jc w:val="both"/>
        <w:rPr>
          <w:rFonts w:ascii="Times New Roman" w:eastAsia="Times New Roman" w:hAnsi="Times New Roman" w:cs="Times New Roman"/>
          <w:sz w:val="24"/>
          <w:szCs w:val="24"/>
        </w:rPr>
      </w:pPr>
    </w:p>
    <w:p w14:paraId="67C67C3E" w14:textId="1B7797AB" w:rsidR="00615388" w:rsidRPr="00991F19" w:rsidRDefault="00615388" w:rsidP="00991F19">
      <w:pPr>
        <w:spacing w:after="0" w:line="240" w:lineRule="auto"/>
        <w:jc w:val="both"/>
        <w:rPr>
          <w:rFonts w:ascii="Times New Roman" w:hAnsi="Times New Roman" w:cs="Times New Roman"/>
        </w:rPr>
      </w:pPr>
      <w:r w:rsidRPr="00991F19">
        <w:rPr>
          <w:rFonts w:ascii="Times New Roman" w:hAnsi="Times New Roman" w:cs="Times New Roman"/>
        </w:rPr>
        <w:t>Dear Ms. Thompson</w:t>
      </w:r>
      <w:r w:rsidR="00031A4E" w:rsidRPr="00991F19">
        <w:rPr>
          <w:rFonts w:ascii="Times New Roman" w:hAnsi="Times New Roman" w:cs="Times New Roman"/>
        </w:rPr>
        <w:t>:</w:t>
      </w:r>
    </w:p>
    <w:p w14:paraId="47ACC5BF" w14:textId="0220E8FD" w:rsidR="00615388" w:rsidRPr="00991F19" w:rsidRDefault="00615388" w:rsidP="00991F19">
      <w:pPr>
        <w:pStyle w:val="NormalWeb"/>
        <w:jc w:val="both"/>
        <w:rPr>
          <w:rFonts w:eastAsiaTheme="minorHAnsi"/>
          <w:sz w:val="22"/>
          <w:szCs w:val="22"/>
        </w:rPr>
      </w:pPr>
      <w:r w:rsidRPr="00991F19">
        <w:rPr>
          <w:rFonts w:eastAsiaTheme="minorHAnsi"/>
          <w:sz w:val="22"/>
          <w:szCs w:val="22"/>
        </w:rPr>
        <w:t>PGIM</w:t>
      </w:r>
      <w:r w:rsidR="00B5491A" w:rsidRPr="00991F19">
        <w:rPr>
          <w:rFonts w:eastAsiaTheme="minorHAnsi"/>
          <w:sz w:val="22"/>
          <w:szCs w:val="22"/>
        </w:rPr>
        <w:t xml:space="preserve"> Fixed Income</w:t>
      </w:r>
      <w:r w:rsidRPr="00991F19">
        <w:rPr>
          <w:rFonts w:eastAsiaTheme="minorHAnsi"/>
          <w:sz w:val="22"/>
          <w:szCs w:val="22"/>
        </w:rPr>
        <w:t xml:space="preserve"> is pleased to respond to FHFA’s request for information (“RFI”) on the Enterprises single-family social bond policy and program design.  PGIM </w:t>
      </w:r>
      <w:r w:rsidR="00B5491A" w:rsidRPr="00991F19">
        <w:rPr>
          <w:rFonts w:eastAsiaTheme="minorHAnsi"/>
          <w:sz w:val="22"/>
          <w:szCs w:val="22"/>
        </w:rPr>
        <w:t xml:space="preserve">Fixed Income </w:t>
      </w:r>
      <w:r w:rsidRPr="00991F19">
        <w:rPr>
          <w:rFonts w:eastAsiaTheme="minorHAnsi"/>
          <w:sz w:val="22"/>
          <w:szCs w:val="22"/>
        </w:rPr>
        <w:t xml:space="preserve">is </w:t>
      </w:r>
      <w:r w:rsidR="00991F19" w:rsidRPr="00991F19">
        <w:rPr>
          <w:rFonts w:eastAsiaTheme="minorHAnsi"/>
          <w:sz w:val="22"/>
          <w:szCs w:val="22"/>
        </w:rPr>
        <w:t xml:space="preserve">the </w:t>
      </w:r>
      <w:r w:rsidR="00B5491A" w:rsidRPr="00991F19">
        <w:rPr>
          <w:rFonts w:eastAsiaTheme="minorHAnsi"/>
          <w:sz w:val="22"/>
          <w:szCs w:val="22"/>
        </w:rPr>
        <w:t xml:space="preserve">fixed income business of PGIM, the investment management enterprise of </w:t>
      </w:r>
      <w:r w:rsidRPr="00991F19">
        <w:rPr>
          <w:rFonts w:eastAsiaTheme="minorHAnsi"/>
          <w:sz w:val="22"/>
          <w:szCs w:val="22"/>
        </w:rPr>
        <w:t xml:space="preserve">Prudential Financial, Inc. with approximately $1.2 trillion in assets under management as of March 31, 2023. </w:t>
      </w:r>
    </w:p>
    <w:p w14:paraId="1F979D7D" w14:textId="1F08BF75" w:rsidR="00DC41EB" w:rsidRPr="00C6644E" w:rsidRDefault="00C6644E" w:rsidP="001D6CAF">
      <w:pPr>
        <w:jc w:val="both"/>
        <w:rPr>
          <w:rFonts w:ascii="Times New Roman" w:hAnsi="Times New Roman" w:cs="Times New Roman"/>
        </w:rPr>
      </w:pPr>
      <w:r w:rsidRPr="00C6644E">
        <w:rPr>
          <w:rFonts w:ascii="Times New Roman" w:hAnsi="Times New Roman" w:cs="Times New Roman"/>
        </w:rPr>
        <w:t xml:space="preserve">As an investment manager, PGIM Fixed Income is responsible for fulfilling investment mandates that include certain ESG/impact strategies. As part of our analysis, we need to be confident that there is impact generated from any Enterprise Single-Family Social Bond Program (the “Bond Program”).  This assessment is a crucial part of how we meet the objectives of our ESG strategies.  </w:t>
      </w:r>
      <w:r>
        <w:rPr>
          <w:rFonts w:ascii="Times New Roman" w:hAnsi="Times New Roman" w:cs="Times New Roman"/>
        </w:rPr>
        <w:t>To</w:t>
      </w:r>
      <w:r w:rsidR="00DC41EB" w:rsidRPr="00C6644E">
        <w:rPr>
          <w:rFonts w:ascii="Times New Roman" w:hAnsi="Times New Roman" w:cs="Times New Roman"/>
        </w:rPr>
        <w:t xml:space="preserve"> </w:t>
      </w:r>
      <w:r w:rsidR="000F4543" w:rsidRPr="00C6644E">
        <w:rPr>
          <w:rFonts w:ascii="Times New Roman" w:hAnsi="Times New Roman" w:cs="Times New Roman"/>
        </w:rPr>
        <w:t xml:space="preserve">assess </w:t>
      </w:r>
      <w:r w:rsidR="00615388" w:rsidRPr="00C6644E">
        <w:rPr>
          <w:rFonts w:ascii="Times New Roman" w:hAnsi="Times New Roman" w:cs="Times New Roman"/>
        </w:rPr>
        <w:t xml:space="preserve">social bonds </w:t>
      </w:r>
      <w:r w:rsidR="000F4543" w:rsidRPr="00C6644E">
        <w:rPr>
          <w:rFonts w:ascii="Times New Roman" w:hAnsi="Times New Roman" w:cs="Times New Roman"/>
        </w:rPr>
        <w:t xml:space="preserve">for inclusion </w:t>
      </w:r>
      <w:r w:rsidR="00615388" w:rsidRPr="00C6644E">
        <w:rPr>
          <w:rFonts w:ascii="Times New Roman" w:hAnsi="Times New Roman" w:cs="Times New Roman"/>
        </w:rPr>
        <w:t>in our ESG mandates</w:t>
      </w:r>
      <w:r w:rsidR="000F4543" w:rsidRPr="00C6644E">
        <w:rPr>
          <w:rFonts w:ascii="Times New Roman" w:hAnsi="Times New Roman" w:cs="Times New Roman"/>
        </w:rPr>
        <w:t xml:space="preserve"> (and to provide the ESG-related reporting that is increasingly required by our </w:t>
      </w:r>
      <w:r w:rsidR="0012355B" w:rsidRPr="00C6644E">
        <w:rPr>
          <w:rFonts w:ascii="Times New Roman" w:hAnsi="Times New Roman" w:cs="Times New Roman"/>
        </w:rPr>
        <w:t xml:space="preserve">ESG-focused </w:t>
      </w:r>
      <w:r w:rsidR="000F4543" w:rsidRPr="00C6644E">
        <w:rPr>
          <w:rFonts w:ascii="Times New Roman" w:hAnsi="Times New Roman" w:cs="Times New Roman"/>
        </w:rPr>
        <w:t>clients)</w:t>
      </w:r>
      <w:r w:rsidR="00615388" w:rsidRPr="00C6644E">
        <w:rPr>
          <w:rFonts w:ascii="Times New Roman" w:hAnsi="Times New Roman" w:cs="Times New Roman"/>
        </w:rPr>
        <w:t>, we will need to be able to clearly and easily identify the criteria used to categorize bonds under as “social”</w:t>
      </w:r>
      <w:r w:rsidR="001C6EDB">
        <w:rPr>
          <w:rFonts w:ascii="Times New Roman" w:hAnsi="Times New Roman" w:cs="Times New Roman"/>
        </w:rPr>
        <w:t xml:space="preserve"> – which includes consideration of borrower profiles as well as certain environmental considerations, as discussed more fully herein</w:t>
      </w:r>
      <w:r w:rsidR="00615388" w:rsidRPr="00C6644E">
        <w:rPr>
          <w:rFonts w:ascii="Times New Roman" w:hAnsi="Times New Roman" w:cs="Times New Roman"/>
        </w:rPr>
        <w:t xml:space="preserve">. We will also need to understand, with specificity, details related to application of specific social index categories. </w:t>
      </w:r>
    </w:p>
    <w:p w14:paraId="1ED7E8D9" w14:textId="2445AA01" w:rsidR="005D1349" w:rsidRPr="00991F19" w:rsidRDefault="005D1349" w:rsidP="00991F19">
      <w:pPr>
        <w:jc w:val="both"/>
        <w:rPr>
          <w:rFonts w:ascii="Times New Roman" w:hAnsi="Times New Roman" w:cs="Times New Roman"/>
          <w:b/>
          <w:bCs/>
        </w:rPr>
      </w:pPr>
      <w:r w:rsidRPr="00991F19">
        <w:rPr>
          <w:rFonts w:ascii="Times New Roman" w:hAnsi="Times New Roman" w:cs="Times New Roman"/>
          <w:b/>
          <w:bCs/>
        </w:rPr>
        <w:t>Outcomes, Borrower Benefits, and Reporting</w:t>
      </w:r>
    </w:p>
    <w:p w14:paraId="0498C0E8" w14:textId="2AD8D89F" w:rsidR="00615388" w:rsidRPr="00991F19" w:rsidRDefault="00615388" w:rsidP="00991F19">
      <w:pPr>
        <w:jc w:val="both"/>
        <w:rPr>
          <w:rFonts w:ascii="Times New Roman" w:hAnsi="Times New Roman" w:cs="Times New Roman"/>
          <w:b/>
          <w:bCs/>
          <w:i/>
          <w:iCs/>
          <w:color w:val="2E74B5" w:themeColor="accent5" w:themeShade="BF"/>
        </w:rPr>
      </w:pPr>
      <w:r w:rsidRPr="00991F19">
        <w:rPr>
          <w:rFonts w:ascii="Times New Roman" w:hAnsi="Times New Roman" w:cs="Times New Roman"/>
          <w:b/>
          <w:bCs/>
          <w:i/>
          <w:iCs/>
          <w:color w:val="2E74B5" w:themeColor="accent5" w:themeShade="BF"/>
        </w:rPr>
        <w:t>A-1: What program outcomes and borrower impacts should an Enterprise Single-Family Social Bond program seek to achieve? Which borrower benefit impact measures should be reported?</w:t>
      </w:r>
    </w:p>
    <w:p w14:paraId="020F1A12" w14:textId="67E88D3E" w:rsidR="00BA08E4" w:rsidRDefault="00BA08E4" w:rsidP="00C6644E">
      <w:pPr>
        <w:spacing w:after="0" w:line="240" w:lineRule="auto"/>
        <w:jc w:val="both"/>
        <w:rPr>
          <w:rFonts w:ascii="Times New Roman" w:hAnsi="Times New Roman" w:cs="Times New Roman"/>
        </w:rPr>
      </w:pPr>
      <w:r w:rsidRPr="00991F19">
        <w:rPr>
          <w:rFonts w:ascii="Times New Roman" w:hAnsi="Times New Roman" w:cs="Times New Roman"/>
        </w:rPr>
        <w:t xml:space="preserve">FHFA </w:t>
      </w:r>
      <w:r>
        <w:rPr>
          <w:rFonts w:ascii="Times New Roman" w:hAnsi="Times New Roman" w:cs="Times New Roman"/>
        </w:rPr>
        <w:t xml:space="preserve">should </w:t>
      </w:r>
      <w:r w:rsidRPr="00991F19">
        <w:rPr>
          <w:rFonts w:ascii="Times New Roman" w:hAnsi="Times New Roman" w:cs="Times New Roman"/>
        </w:rPr>
        <w:t xml:space="preserve">consider structuring social bonds in such a way that </w:t>
      </w:r>
      <w:r>
        <w:rPr>
          <w:rFonts w:ascii="Times New Roman" w:hAnsi="Times New Roman" w:cs="Times New Roman"/>
        </w:rPr>
        <w:t>any pay-up is directly allocated towards improv</w:t>
      </w:r>
      <w:r w:rsidR="00236CFB">
        <w:rPr>
          <w:rFonts w:ascii="Times New Roman" w:hAnsi="Times New Roman" w:cs="Times New Roman"/>
        </w:rPr>
        <w:t>ing</w:t>
      </w:r>
      <w:r>
        <w:rPr>
          <w:rFonts w:ascii="Times New Roman" w:hAnsi="Times New Roman" w:cs="Times New Roman"/>
        </w:rPr>
        <w:t xml:space="preserve"> housing affordability, housing sustainability and environmental outcomes for individual borrowers. </w:t>
      </w:r>
      <w:r w:rsidR="000F1E28">
        <w:rPr>
          <w:rFonts w:ascii="Times New Roman" w:hAnsi="Times New Roman" w:cs="Times New Roman"/>
        </w:rPr>
        <w:t xml:space="preserve">The Bond Program could improve housing affordability by lowering rates, offering down payment assistance </w:t>
      </w:r>
      <w:r w:rsidR="00AF701C">
        <w:rPr>
          <w:rFonts w:ascii="Times New Roman" w:hAnsi="Times New Roman" w:cs="Times New Roman"/>
        </w:rPr>
        <w:t>and/</w:t>
      </w:r>
      <w:r w:rsidR="000F1E28">
        <w:rPr>
          <w:rFonts w:ascii="Times New Roman" w:hAnsi="Times New Roman" w:cs="Times New Roman"/>
        </w:rPr>
        <w:t xml:space="preserve">or lowering mortgage insurance </w:t>
      </w:r>
      <w:r w:rsidR="00AF701C">
        <w:rPr>
          <w:rFonts w:ascii="Times New Roman" w:hAnsi="Times New Roman" w:cs="Times New Roman"/>
        </w:rPr>
        <w:t xml:space="preserve">requirements for target borrowers.  This will improve access </w:t>
      </w:r>
      <w:r w:rsidR="006E3309">
        <w:rPr>
          <w:rFonts w:ascii="Times New Roman" w:hAnsi="Times New Roman" w:cs="Times New Roman"/>
        </w:rPr>
        <w:t xml:space="preserve">to homeownership </w:t>
      </w:r>
      <w:r w:rsidR="00A91055">
        <w:rPr>
          <w:rFonts w:ascii="Times New Roman" w:hAnsi="Times New Roman" w:cs="Times New Roman"/>
        </w:rPr>
        <w:t xml:space="preserve">by tackling housing affordability, which has become an increasing challenge in this higher rate environment. </w:t>
      </w:r>
    </w:p>
    <w:p w14:paraId="5E1FBD1C" w14:textId="77777777" w:rsidR="00A91055" w:rsidRDefault="00A91055" w:rsidP="00C6644E">
      <w:pPr>
        <w:spacing w:after="0" w:line="240" w:lineRule="auto"/>
        <w:jc w:val="both"/>
        <w:rPr>
          <w:rFonts w:ascii="Times New Roman" w:hAnsi="Times New Roman" w:cs="Times New Roman"/>
        </w:rPr>
      </w:pPr>
    </w:p>
    <w:p w14:paraId="1E7CF614" w14:textId="39A03B08" w:rsidR="00A91055" w:rsidRDefault="00A91055" w:rsidP="00C6644E">
      <w:pPr>
        <w:spacing w:after="0" w:line="240" w:lineRule="auto"/>
        <w:jc w:val="both"/>
        <w:rPr>
          <w:rFonts w:ascii="Times New Roman" w:hAnsi="Times New Roman" w:cs="Times New Roman"/>
        </w:rPr>
      </w:pPr>
      <w:r>
        <w:rPr>
          <w:rFonts w:ascii="Times New Roman" w:hAnsi="Times New Roman" w:cs="Times New Roman"/>
        </w:rPr>
        <w:t>Any improvements in housing affordability should not come at the expense of housing sustainability.  W</w:t>
      </w:r>
      <w:r w:rsidRPr="00991F19">
        <w:rPr>
          <w:rFonts w:ascii="Times New Roman" w:hAnsi="Times New Roman" w:cs="Times New Roman"/>
        </w:rPr>
        <w:t>hile it’s crucial to tackle housing affordability through the established program</w:t>
      </w:r>
      <w:r>
        <w:rPr>
          <w:rFonts w:ascii="Times New Roman" w:hAnsi="Times New Roman" w:cs="Times New Roman"/>
        </w:rPr>
        <w:t xml:space="preserve"> given </w:t>
      </w:r>
      <w:r w:rsidR="00261BD5">
        <w:rPr>
          <w:rFonts w:ascii="Times New Roman" w:hAnsi="Times New Roman" w:cs="Times New Roman"/>
        </w:rPr>
        <w:t xml:space="preserve">that </w:t>
      </w:r>
      <w:r w:rsidR="00B906B2">
        <w:rPr>
          <w:rFonts w:ascii="Times New Roman" w:hAnsi="Times New Roman" w:cs="Times New Roman"/>
        </w:rPr>
        <w:t>it</w:t>
      </w:r>
      <w:r>
        <w:rPr>
          <w:rFonts w:ascii="Times New Roman" w:hAnsi="Times New Roman" w:cs="Times New Roman"/>
        </w:rPr>
        <w:t xml:space="preserve"> is the largest impediment to homeownership</w:t>
      </w:r>
      <w:r w:rsidRPr="00991F19">
        <w:rPr>
          <w:rFonts w:ascii="Times New Roman" w:hAnsi="Times New Roman" w:cs="Times New Roman"/>
        </w:rPr>
        <w:t>, it’s also important to do so in a way that promotes financial well-being for borrowers. It would be counterproductive to offer down payment assistance to low-income borrowers</w:t>
      </w:r>
      <w:r>
        <w:rPr>
          <w:rFonts w:ascii="Times New Roman" w:hAnsi="Times New Roman" w:cs="Times New Roman"/>
        </w:rPr>
        <w:t xml:space="preserve">, for </w:t>
      </w:r>
      <w:r>
        <w:rPr>
          <w:rFonts w:ascii="Times New Roman" w:hAnsi="Times New Roman" w:cs="Times New Roman"/>
        </w:rPr>
        <w:lastRenderedPageBreak/>
        <w:t>example,</w:t>
      </w:r>
      <w:r w:rsidRPr="00991F19">
        <w:rPr>
          <w:rFonts w:ascii="Times New Roman" w:hAnsi="Times New Roman" w:cs="Times New Roman"/>
        </w:rPr>
        <w:t xml:space="preserve"> if that ultimately increases the probability of delinquency/default.</w:t>
      </w:r>
      <w:r w:rsidR="003400EC">
        <w:rPr>
          <w:rFonts w:ascii="Times New Roman" w:hAnsi="Times New Roman" w:cs="Times New Roman"/>
        </w:rPr>
        <w:t xml:space="preserve"> </w:t>
      </w:r>
      <w:r w:rsidR="00D3064E">
        <w:rPr>
          <w:rFonts w:ascii="Times New Roman" w:hAnsi="Times New Roman" w:cs="Times New Roman"/>
        </w:rPr>
        <w:t>T</w:t>
      </w:r>
      <w:r w:rsidR="006875FE">
        <w:rPr>
          <w:rFonts w:ascii="Times New Roman" w:hAnsi="Times New Roman" w:cs="Times New Roman"/>
        </w:rPr>
        <w:t xml:space="preserve">o improve housing sustainability, </w:t>
      </w:r>
      <w:r w:rsidR="00A34C50">
        <w:rPr>
          <w:rFonts w:ascii="Times New Roman" w:hAnsi="Times New Roman" w:cs="Times New Roman"/>
        </w:rPr>
        <w:t>one potential option is</w:t>
      </w:r>
      <w:r w:rsidR="006875FE">
        <w:rPr>
          <w:rFonts w:ascii="Times New Roman" w:hAnsi="Times New Roman" w:cs="Times New Roman"/>
        </w:rPr>
        <w:t xml:space="preserve"> that </w:t>
      </w:r>
      <w:proofErr w:type="gramStart"/>
      <w:r w:rsidR="003400EC">
        <w:rPr>
          <w:rFonts w:ascii="Times New Roman" w:hAnsi="Times New Roman" w:cs="Times New Roman"/>
        </w:rPr>
        <w:t>pay</w:t>
      </w:r>
      <w:r w:rsidR="00A65412">
        <w:rPr>
          <w:rFonts w:ascii="Times New Roman" w:hAnsi="Times New Roman" w:cs="Times New Roman"/>
        </w:rPr>
        <w:t>-</w:t>
      </w:r>
      <w:r w:rsidR="003400EC">
        <w:rPr>
          <w:rFonts w:ascii="Times New Roman" w:hAnsi="Times New Roman" w:cs="Times New Roman"/>
        </w:rPr>
        <w:t>ups</w:t>
      </w:r>
      <w:proofErr w:type="gramEnd"/>
      <w:r w:rsidR="003400EC">
        <w:rPr>
          <w:rFonts w:ascii="Times New Roman" w:hAnsi="Times New Roman" w:cs="Times New Roman"/>
        </w:rPr>
        <w:t xml:space="preserve"> be used to broaden</w:t>
      </w:r>
      <w:r w:rsidR="006875FE">
        <w:rPr>
          <w:rFonts w:ascii="Times New Roman" w:hAnsi="Times New Roman" w:cs="Times New Roman"/>
        </w:rPr>
        <w:t xml:space="preserve"> </w:t>
      </w:r>
      <w:r w:rsidR="003400EC">
        <w:rPr>
          <w:rFonts w:ascii="Times New Roman" w:hAnsi="Times New Roman" w:cs="Times New Roman"/>
        </w:rPr>
        <w:t>access to borrow</w:t>
      </w:r>
      <w:r w:rsidR="00A65412">
        <w:rPr>
          <w:rFonts w:ascii="Times New Roman" w:hAnsi="Times New Roman" w:cs="Times New Roman"/>
        </w:rPr>
        <w:t>er</w:t>
      </w:r>
      <w:r w:rsidR="003400EC">
        <w:rPr>
          <w:rFonts w:ascii="Times New Roman" w:hAnsi="Times New Roman" w:cs="Times New Roman"/>
        </w:rPr>
        <w:t xml:space="preserve"> counseling, similar to what is already provided for HomeReady and Home Possible borrowers.</w:t>
      </w:r>
    </w:p>
    <w:p w14:paraId="275605DE" w14:textId="77777777" w:rsidR="00A91055" w:rsidRDefault="00A91055" w:rsidP="00C6644E">
      <w:pPr>
        <w:spacing w:after="0" w:line="240" w:lineRule="auto"/>
        <w:jc w:val="both"/>
        <w:rPr>
          <w:rFonts w:ascii="Times New Roman" w:hAnsi="Times New Roman" w:cs="Times New Roman"/>
        </w:rPr>
      </w:pPr>
    </w:p>
    <w:p w14:paraId="03768F62" w14:textId="145D7EDA" w:rsidR="008748B1" w:rsidRPr="00D7718C" w:rsidRDefault="00437CAE" w:rsidP="00C6644E">
      <w:pPr>
        <w:spacing w:after="0" w:line="240" w:lineRule="auto"/>
        <w:jc w:val="both"/>
        <w:rPr>
          <w:rFonts w:ascii="Times New Roman" w:hAnsi="Times New Roman" w:cs="Times New Roman"/>
        </w:rPr>
      </w:pPr>
      <w:r>
        <w:rPr>
          <w:rFonts w:ascii="Times New Roman" w:hAnsi="Times New Roman" w:cs="Times New Roman"/>
        </w:rPr>
        <w:t xml:space="preserve">Environmental factors are a crucial </w:t>
      </w:r>
      <w:r w:rsidR="009A4BD2">
        <w:rPr>
          <w:rFonts w:ascii="Times New Roman" w:hAnsi="Times New Roman" w:cs="Times New Roman"/>
        </w:rPr>
        <w:t xml:space="preserve">component of social lending.  Placing borrowers in homes with higher environmental risk factors potentially increases the </w:t>
      </w:r>
      <w:r w:rsidR="00DF66D3">
        <w:rPr>
          <w:rFonts w:ascii="Times New Roman" w:hAnsi="Times New Roman" w:cs="Times New Roman"/>
        </w:rPr>
        <w:t>ongoing</w:t>
      </w:r>
      <w:r w:rsidR="009A4BD2">
        <w:rPr>
          <w:rFonts w:ascii="Times New Roman" w:hAnsi="Times New Roman" w:cs="Times New Roman"/>
        </w:rPr>
        <w:t xml:space="preserve"> maintenance costs of such homes, making these homes less affordable and less sustainable.</w:t>
      </w:r>
      <w:r w:rsidR="00C340E6">
        <w:rPr>
          <w:rFonts w:ascii="Times New Roman" w:hAnsi="Times New Roman" w:cs="Times New Roman"/>
        </w:rPr>
        <w:t xml:space="preserve"> </w:t>
      </w:r>
      <w:r w:rsidR="00EE7429">
        <w:rPr>
          <w:rFonts w:ascii="Times New Roman" w:hAnsi="Times New Roman" w:cs="Times New Roman"/>
        </w:rPr>
        <w:t>A</w:t>
      </w:r>
      <w:r w:rsidR="000B3BFF">
        <w:rPr>
          <w:rFonts w:ascii="Times New Roman" w:hAnsi="Times New Roman" w:cs="Times New Roman"/>
        </w:rPr>
        <w:t xml:space="preserve">ny </w:t>
      </w:r>
      <w:r w:rsidR="00A17510">
        <w:rPr>
          <w:rFonts w:ascii="Times New Roman" w:hAnsi="Times New Roman" w:cs="Times New Roman"/>
        </w:rPr>
        <w:t xml:space="preserve">mortgages issued under </w:t>
      </w:r>
      <w:r w:rsidR="0013121B">
        <w:rPr>
          <w:rFonts w:ascii="Times New Roman" w:hAnsi="Times New Roman" w:cs="Times New Roman"/>
        </w:rPr>
        <w:t>the</w:t>
      </w:r>
      <w:r w:rsidR="00EC5D99">
        <w:rPr>
          <w:rFonts w:ascii="Times New Roman" w:hAnsi="Times New Roman" w:cs="Times New Roman"/>
        </w:rPr>
        <w:t xml:space="preserve"> </w:t>
      </w:r>
      <w:r w:rsidR="00A17510">
        <w:rPr>
          <w:rFonts w:ascii="Times New Roman" w:hAnsi="Times New Roman" w:cs="Times New Roman"/>
        </w:rPr>
        <w:t xml:space="preserve">Bond Program should be able to demonstrate consideration of environmental factors to ensure that </w:t>
      </w:r>
      <w:r w:rsidR="000B3BFF" w:rsidRPr="00991F19">
        <w:rPr>
          <w:rFonts w:ascii="Times New Roman" w:hAnsi="Times New Roman" w:cs="Times New Roman"/>
        </w:rPr>
        <w:t xml:space="preserve">no significant harm </w:t>
      </w:r>
      <w:r w:rsidR="00A17510">
        <w:rPr>
          <w:rFonts w:ascii="Times New Roman" w:hAnsi="Times New Roman" w:cs="Times New Roman"/>
        </w:rPr>
        <w:t xml:space="preserve">results as part of the </w:t>
      </w:r>
      <w:r w:rsidR="0013121B">
        <w:rPr>
          <w:rFonts w:ascii="Times New Roman" w:hAnsi="Times New Roman" w:cs="Times New Roman"/>
        </w:rPr>
        <w:t>Bond Program</w:t>
      </w:r>
      <w:r w:rsidR="00A17510">
        <w:rPr>
          <w:rFonts w:ascii="Times New Roman" w:hAnsi="Times New Roman" w:cs="Times New Roman"/>
        </w:rPr>
        <w:t xml:space="preserve">. </w:t>
      </w:r>
      <w:r w:rsidR="006F17E0">
        <w:rPr>
          <w:rFonts w:ascii="Times New Roman" w:hAnsi="Times New Roman" w:cs="Times New Roman"/>
        </w:rPr>
        <w:t xml:space="preserve">We recommend that </w:t>
      </w:r>
      <w:r w:rsidR="003C3C64">
        <w:rPr>
          <w:rFonts w:ascii="Times New Roman" w:hAnsi="Times New Roman" w:cs="Times New Roman"/>
        </w:rPr>
        <w:t xml:space="preserve">disclosures be added to help investors calibrate </w:t>
      </w:r>
      <w:r w:rsidR="003C3C64" w:rsidRPr="00D7718C">
        <w:rPr>
          <w:rFonts w:ascii="Times New Roman" w:hAnsi="Times New Roman" w:cs="Times New Roman"/>
        </w:rPr>
        <w:t>environment</w:t>
      </w:r>
      <w:r w:rsidR="00DF66D3" w:rsidRPr="00D7718C">
        <w:rPr>
          <w:rFonts w:ascii="Times New Roman" w:hAnsi="Times New Roman" w:cs="Times New Roman"/>
        </w:rPr>
        <w:t>al</w:t>
      </w:r>
      <w:r w:rsidR="003C3C64" w:rsidRPr="00D7718C">
        <w:rPr>
          <w:rFonts w:ascii="Times New Roman" w:hAnsi="Times New Roman" w:cs="Times New Roman"/>
        </w:rPr>
        <w:t xml:space="preserve"> risk</w:t>
      </w:r>
      <w:r w:rsidR="00DF66D3" w:rsidRPr="00D7718C">
        <w:rPr>
          <w:rFonts w:ascii="Times New Roman" w:hAnsi="Times New Roman" w:cs="Times New Roman"/>
        </w:rPr>
        <w:t xml:space="preserve"> factors</w:t>
      </w:r>
      <w:r w:rsidR="00DB02BB" w:rsidRPr="00D7718C">
        <w:rPr>
          <w:rFonts w:ascii="Times New Roman" w:hAnsi="Times New Roman" w:cs="Times New Roman"/>
        </w:rPr>
        <w:t xml:space="preserve">. </w:t>
      </w:r>
      <w:r w:rsidR="00F27E7F" w:rsidRPr="00F45209">
        <w:rPr>
          <w:rFonts w:ascii="Times New Roman" w:hAnsi="Times New Roman" w:cs="Times New Roman"/>
        </w:rPr>
        <w:t xml:space="preserve">FHFA might </w:t>
      </w:r>
      <w:r w:rsidR="0013121B">
        <w:rPr>
          <w:rFonts w:ascii="Times New Roman" w:hAnsi="Times New Roman" w:cs="Times New Roman"/>
        </w:rPr>
        <w:t xml:space="preserve">also </w:t>
      </w:r>
      <w:r w:rsidR="00F27E7F" w:rsidRPr="00F45209">
        <w:rPr>
          <w:rFonts w:ascii="Times New Roman" w:hAnsi="Times New Roman" w:cs="Times New Roman"/>
        </w:rPr>
        <w:t xml:space="preserve">consider allocating pay-ups towards environmental programs that help homeowners in the </w:t>
      </w:r>
      <w:r w:rsidR="00B906B2">
        <w:rPr>
          <w:rFonts w:ascii="Times New Roman" w:hAnsi="Times New Roman" w:cs="Times New Roman"/>
        </w:rPr>
        <w:t xml:space="preserve">Bond Program </w:t>
      </w:r>
      <w:r w:rsidR="00F27E7F" w:rsidRPr="00F45209">
        <w:rPr>
          <w:rFonts w:ascii="Times New Roman" w:hAnsi="Times New Roman" w:cs="Times New Roman"/>
        </w:rPr>
        <w:t xml:space="preserve">pool improve the energy efficiency of their homes. This could help mitigate environmental damage from these homes while also making </w:t>
      </w:r>
      <w:r w:rsidR="0013121B">
        <w:rPr>
          <w:rFonts w:ascii="Times New Roman" w:hAnsi="Times New Roman" w:cs="Times New Roman"/>
        </w:rPr>
        <w:t>them</w:t>
      </w:r>
      <w:r w:rsidR="00F27E7F" w:rsidRPr="00F45209">
        <w:rPr>
          <w:rFonts w:ascii="Times New Roman" w:hAnsi="Times New Roman" w:cs="Times New Roman"/>
        </w:rPr>
        <w:t xml:space="preserve"> more affordable for homeowners by lowering carrying costs.</w:t>
      </w:r>
      <w:r w:rsidR="00F27E7F" w:rsidRPr="00D7718C">
        <w:rPr>
          <w:rFonts w:ascii="Times New Roman" w:hAnsi="Times New Roman" w:cs="Times New Roman"/>
        </w:rPr>
        <w:t xml:space="preserve"> </w:t>
      </w:r>
      <w:r w:rsidR="00C6644E" w:rsidRPr="00D7718C">
        <w:rPr>
          <w:rFonts w:ascii="Times New Roman" w:hAnsi="Times New Roman" w:cs="Times New Roman"/>
        </w:rPr>
        <w:t>To the extent any environmental trade-offs can be minimized, the more useful the social bonds will be to ESG-oriented investors.</w:t>
      </w:r>
    </w:p>
    <w:p w14:paraId="3F1E7290" w14:textId="77777777" w:rsidR="00C6644E" w:rsidRPr="00D7718C" w:rsidRDefault="00C6644E" w:rsidP="00C6644E">
      <w:pPr>
        <w:spacing w:after="0" w:line="240" w:lineRule="auto"/>
        <w:jc w:val="both"/>
        <w:rPr>
          <w:rFonts w:ascii="Times New Roman" w:hAnsi="Times New Roman" w:cs="Times New Roman"/>
        </w:rPr>
      </w:pPr>
    </w:p>
    <w:p w14:paraId="775C3BA6" w14:textId="2BE0088C" w:rsidR="001C6EDB" w:rsidRPr="00D7718C" w:rsidRDefault="00261BD5" w:rsidP="00153DC5">
      <w:pPr>
        <w:jc w:val="both"/>
        <w:rPr>
          <w:rFonts w:ascii="Times New Roman" w:hAnsi="Times New Roman" w:cs="Times New Roman"/>
        </w:rPr>
      </w:pPr>
      <w:r w:rsidRPr="00D7718C">
        <w:rPr>
          <w:rFonts w:ascii="Times New Roman" w:hAnsi="Times New Roman" w:cs="Times New Roman"/>
        </w:rPr>
        <w:t>T</w:t>
      </w:r>
      <w:r w:rsidR="008F5352" w:rsidRPr="00D7718C">
        <w:rPr>
          <w:rFonts w:ascii="Times New Roman" w:hAnsi="Times New Roman" w:cs="Times New Roman"/>
        </w:rPr>
        <w:t xml:space="preserve">he FHFA </w:t>
      </w:r>
      <w:r w:rsidRPr="00D7718C">
        <w:rPr>
          <w:rFonts w:ascii="Times New Roman" w:hAnsi="Times New Roman" w:cs="Times New Roman"/>
        </w:rPr>
        <w:t xml:space="preserve">should </w:t>
      </w:r>
      <w:r w:rsidR="00784AD9" w:rsidRPr="00D7718C">
        <w:rPr>
          <w:rFonts w:ascii="Times New Roman" w:hAnsi="Times New Roman" w:cs="Times New Roman"/>
        </w:rPr>
        <w:t xml:space="preserve">use the </w:t>
      </w:r>
      <w:r w:rsidR="00D246F8">
        <w:rPr>
          <w:rFonts w:ascii="Times New Roman" w:hAnsi="Times New Roman" w:cs="Times New Roman"/>
        </w:rPr>
        <w:t>Bond Program</w:t>
      </w:r>
      <w:r w:rsidR="008F5352" w:rsidRPr="00D7718C">
        <w:rPr>
          <w:rFonts w:ascii="Times New Roman" w:hAnsi="Times New Roman" w:cs="Times New Roman"/>
        </w:rPr>
        <w:t xml:space="preserve"> </w:t>
      </w:r>
      <w:r w:rsidR="00784AD9" w:rsidRPr="00D7718C">
        <w:rPr>
          <w:rFonts w:ascii="Times New Roman" w:hAnsi="Times New Roman" w:cs="Times New Roman"/>
        </w:rPr>
        <w:t xml:space="preserve">to achieve a broad set of goals, </w:t>
      </w:r>
      <w:r w:rsidR="008F5352" w:rsidRPr="00D7718C">
        <w:rPr>
          <w:rFonts w:ascii="Times New Roman" w:hAnsi="Times New Roman" w:cs="Times New Roman"/>
        </w:rPr>
        <w:t xml:space="preserve">not restricting itself to simply lowering the cost of homeownership, but also </w:t>
      </w:r>
      <w:r w:rsidR="00880BB7" w:rsidRPr="00D7718C">
        <w:rPr>
          <w:rFonts w:ascii="Times New Roman" w:hAnsi="Times New Roman" w:cs="Times New Roman"/>
        </w:rPr>
        <w:t xml:space="preserve">improving sustainability and environmental outcomes. </w:t>
      </w:r>
      <w:r w:rsidR="00927F2C" w:rsidRPr="00D7718C">
        <w:rPr>
          <w:rFonts w:ascii="Times New Roman" w:hAnsi="Times New Roman" w:cs="Times New Roman"/>
        </w:rPr>
        <w:t xml:space="preserve">To achieve </w:t>
      </w:r>
      <w:r w:rsidR="00784AD9" w:rsidRPr="00D7718C">
        <w:rPr>
          <w:rFonts w:ascii="Times New Roman" w:hAnsi="Times New Roman" w:cs="Times New Roman"/>
        </w:rPr>
        <w:t>these</w:t>
      </w:r>
      <w:r w:rsidR="00927F2C" w:rsidRPr="00D7718C">
        <w:rPr>
          <w:rFonts w:ascii="Times New Roman" w:hAnsi="Times New Roman" w:cs="Times New Roman"/>
        </w:rPr>
        <w:t xml:space="preserve"> goals, </w:t>
      </w:r>
      <w:r w:rsidR="00375FEC" w:rsidRPr="00D7718C">
        <w:rPr>
          <w:rFonts w:ascii="Times New Roman" w:hAnsi="Times New Roman" w:cs="Times New Roman"/>
        </w:rPr>
        <w:t xml:space="preserve">the </w:t>
      </w:r>
      <w:r w:rsidR="00927F2C" w:rsidRPr="00D7718C">
        <w:rPr>
          <w:rFonts w:ascii="Times New Roman" w:hAnsi="Times New Roman" w:cs="Times New Roman"/>
        </w:rPr>
        <w:t xml:space="preserve">GSEs </w:t>
      </w:r>
      <w:r w:rsidR="00375FEC" w:rsidRPr="00D7718C">
        <w:rPr>
          <w:rFonts w:ascii="Times New Roman" w:hAnsi="Times New Roman" w:cs="Times New Roman"/>
        </w:rPr>
        <w:t xml:space="preserve">should </w:t>
      </w:r>
      <w:r w:rsidR="00927F2C" w:rsidRPr="00D7718C">
        <w:rPr>
          <w:rFonts w:ascii="Times New Roman" w:hAnsi="Times New Roman" w:cs="Times New Roman"/>
        </w:rPr>
        <w:t xml:space="preserve">direct the </w:t>
      </w:r>
      <w:r w:rsidR="005875B1" w:rsidRPr="00D7718C">
        <w:rPr>
          <w:rFonts w:ascii="Times New Roman" w:hAnsi="Times New Roman" w:cs="Times New Roman"/>
        </w:rPr>
        <w:t>use of any pay</w:t>
      </w:r>
      <w:r w:rsidR="00EC5D99" w:rsidRPr="00D7718C">
        <w:rPr>
          <w:rFonts w:ascii="Times New Roman" w:hAnsi="Times New Roman" w:cs="Times New Roman"/>
        </w:rPr>
        <w:t>-</w:t>
      </w:r>
      <w:r w:rsidR="005875B1" w:rsidRPr="00D7718C">
        <w:rPr>
          <w:rFonts w:ascii="Times New Roman" w:hAnsi="Times New Roman" w:cs="Times New Roman"/>
        </w:rPr>
        <w:t xml:space="preserve">ups associated with the </w:t>
      </w:r>
      <w:r w:rsidR="00A34C50">
        <w:rPr>
          <w:rFonts w:ascii="Times New Roman" w:hAnsi="Times New Roman" w:cs="Times New Roman"/>
        </w:rPr>
        <w:t>B</w:t>
      </w:r>
      <w:r w:rsidR="00671B2F" w:rsidRPr="00D7718C">
        <w:rPr>
          <w:rFonts w:ascii="Times New Roman" w:hAnsi="Times New Roman" w:cs="Times New Roman"/>
        </w:rPr>
        <w:t xml:space="preserve">ond </w:t>
      </w:r>
      <w:r w:rsidR="00A34C50">
        <w:rPr>
          <w:rFonts w:ascii="Times New Roman" w:hAnsi="Times New Roman" w:cs="Times New Roman"/>
        </w:rPr>
        <w:t>P</w:t>
      </w:r>
      <w:r w:rsidR="00671B2F" w:rsidRPr="00D7718C">
        <w:rPr>
          <w:rFonts w:ascii="Times New Roman" w:hAnsi="Times New Roman" w:cs="Times New Roman"/>
        </w:rPr>
        <w:t>rogram</w:t>
      </w:r>
      <w:r w:rsidR="000B5421" w:rsidRPr="00D7718C">
        <w:rPr>
          <w:rFonts w:ascii="Times New Roman" w:hAnsi="Times New Roman" w:cs="Times New Roman"/>
        </w:rPr>
        <w:t xml:space="preserve">, ideally through </w:t>
      </w:r>
      <w:r w:rsidR="008748B1" w:rsidRPr="00D7718C">
        <w:rPr>
          <w:rFonts w:ascii="Times New Roman" w:hAnsi="Times New Roman" w:cs="Times New Roman"/>
        </w:rPr>
        <w:t xml:space="preserve">the cash window. </w:t>
      </w:r>
      <w:r w:rsidR="000B5421" w:rsidRPr="00D7718C">
        <w:rPr>
          <w:rFonts w:ascii="Times New Roman" w:hAnsi="Times New Roman" w:cs="Times New Roman"/>
        </w:rPr>
        <w:t xml:space="preserve">Using the cash window </w:t>
      </w:r>
      <w:r w:rsidR="008748B1" w:rsidRPr="00D7718C">
        <w:rPr>
          <w:rFonts w:ascii="Times New Roman" w:hAnsi="Times New Roman" w:cs="Times New Roman"/>
        </w:rPr>
        <w:t xml:space="preserve">would not only ensure more control over the pay-ups but could conceivably make impact reporting/disclosure more straightforward. </w:t>
      </w:r>
      <w:r w:rsidR="009B35A2" w:rsidRPr="00D7718C">
        <w:rPr>
          <w:rFonts w:ascii="Times New Roman" w:hAnsi="Times New Roman" w:cs="Times New Roman"/>
        </w:rPr>
        <w:t xml:space="preserve">Such impact reporting should </w:t>
      </w:r>
      <w:r w:rsidR="00F11490">
        <w:rPr>
          <w:rFonts w:ascii="Times New Roman" w:hAnsi="Times New Roman" w:cs="Times New Roman"/>
        </w:rPr>
        <w:t xml:space="preserve">also </w:t>
      </w:r>
      <w:r w:rsidR="00C35B96" w:rsidRPr="00D7718C">
        <w:rPr>
          <w:rFonts w:ascii="Times New Roman" w:hAnsi="Times New Roman" w:cs="Times New Roman"/>
        </w:rPr>
        <w:t>disclose incremental positive outcome achieved versus what would have happened without the Bond Program.</w:t>
      </w:r>
      <w:r w:rsidR="00CE798C" w:rsidRPr="00D7718C">
        <w:rPr>
          <w:rFonts w:ascii="Times New Roman" w:hAnsi="Times New Roman" w:cs="Times New Roman"/>
        </w:rPr>
        <w:t xml:space="preserve"> </w:t>
      </w:r>
      <w:r w:rsidR="00482E16" w:rsidRPr="00D7718C">
        <w:rPr>
          <w:rFonts w:ascii="Times New Roman" w:hAnsi="Times New Roman" w:cs="Times New Roman"/>
        </w:rPr>
        <w:t xml:space="preserve">For example, </w:t>
      </w:r>
      <w:r w:rsidR="005F07D0" w:rsidRPr="00D7718C">
        <w:rPr>
          <w:rFonts w:ascii="Times New Roman" w:hAnsi="Times New Roman" w:cs="Times New Roman"/>
        </w:rPr>
        <w:t xml:space="preserve">metrics </w:t>
      </w:r>
      <w:r w:rsidR="00482E16" w:rsidRPr="00D7718C">
        <w:rPr>
          <w:rFonts w:ascii="Times New Roman" w:hAnsi="Times New Roman" w:cs="Times New Roman"/>
        </w:rPr>
        <w:t xml:space="preserve">on how many </w:t>
      </w:r>
      <w:r w:rsidR="005F07D0" w:rsidRPr="00D7718C">
        <w:rPr>
          <w:rFonts w:ascii="Times New Roman" w:hAnsi="Times New Roman" w:cs="Times New Roman"/>
        </w:rPr>
        <w:t xml:space="preserve">target </w:t>
      </w:r>
      <w:r w:rsidR="00482E16" w:rsidRPr="00D7718C">
        <w:rPr>
          <w:rFonts w:ascii="Times New Roman" w:hAnsi="Times New Roman" w:cs="Times New Roman"/>
        </w:rPr>
        <w:t>borrowers had lower rates</w:t>
      </w:r>
      <w:r w:rsidR="00522218" w:rsidRPr="00D7718C">
        <w:rPr>
          <w:rFonts w:ascii="Times New Roman" w:hAnsi="Times New Roman" w:cs="Times New Roman"/>
        </w:rPr>
        <w:t xml:space="preserve"> tha</w:t>
      </w:r>
      <w:r w:rsidR="00EC5D99" w:rsidRPr="00D7718C">
        <w:rPr>
          <w:rFonts w:ascii="Times New Roman" w:hAnsi="Times New Roman" w:cs="Times New Roman"/>
        </w:rPr>
        <w:t xml:space="preserve">n </w:t>
      </w:r>
      <w:r w:rsidR="00522218" w:rsidRPr="00D7718C">
        <w:rPr>
          <w:rFonts w:ascii="Times New Roman" w:hAnsi="Times New Roman" w:cs="Times New Roman"/>
        </w:rPr>
        <w:t>the cohort</w:t>
      </w:r>
      <w:r w:rsidR="005F07D0" w:rsidRPr="00D7718C">
        <w:rPr>
          <w:rFonts w:ascii="Times New Roman" w:hAnsi="Times New Roman" w:cs="Times New Roman"/>
        </w:rPr>
        <w:t>,</w:t>
      </w:r>
      <w:r w:rsidR="003E17D0" w:rsidRPr="00D7718C">
        <w:rPr>
          <w:rFonts w:ascii="Times New Roman" w:hAnsi="Times New Roman" w:cs="Times New Roman"/>
        </w:rPr>
        <w:t xml:space="preserve"> </w:t>
      </w:r>
      <w:r w:rsidR="00132921" w:rsidRPr="00D7718C">
        <w:rPr>
          <w:rFonts w:ascii="Times New Roman" w:hAnsi="Times New Roman" w:cs="Times New Roman"/>
        </w:rPr>
        <w:t>had greater access to borrower counseling,</w:t>
      </w:r>
      <w:r w:rsidR="00EC5D99" w:rsidRPr="00D7718C">
        <w:rPr>
          <w:rFonts w:ascii="Times New Roman" w:hAnsi="Times New Roman" w:cs="Times New Roman"/>
        </w:rPr>
        <w:t xml:space="preserve"> or had</w:t>
      </w:r>
      <w:r w:rsidR="00132921" w:rsidRPr="00D7718C">
        <w:rPr>
          <w:rFonts w:ascii="Times New Roman" w:hAnsi="Times New Roman" w:cs="Times New Roman"/>
        </w:rPr>
        <w:t xml:space="preserve"> improved the energy efficiency of their homes would all help give </w:t>
      </w:r>
      <w:proofErr w:type="spellStart"/>
      <w:r w:rsidR="00132921" w:rsidRPr="00D7718C">
        <w:rPr>
          <w:rFonts w:ascii="Times New Roman" w:hAnsi="Times New Roman" w:cs="Times New Roman"/>
        </w:rPr>
        <w:t>investors</w:t>
      </w:r>
      <w:proofErr w:type="spellEnd"/>
      <w:r w:rsidR="00132921" w:rsidRPr="00D7718C">
        <w:rPr>
          <w:rFonts w:ascii="Times New Roman" w:hAnsi="Times New Roman" w:cs="Times New Roman"/>
        </w:rPr>
        <w:t xml:space="preserve"> confidence that the Bond Program is achieving its stated goal.</w:t>
      </w:r>
      <w:r w:rsidR="008748B1" w:rsidRPr="00D7718C">
        <w:rPr>
          <w:rFonts w:ascii="Times New Roman" w:hAnsi="Times New Roman" w:cs="Times New Roman"/>
        </w:rPr>
        <w:t xml:space="preserve"> </w:t>
      </w:r>
    </w:p>
    <w:p w14:paraId="17711844" w14:textId="32634544" w:rsidR="00FF63A9" w:rsidRDefault="00777FB3" w:rsidP="008748B1">
      <w:pPr>
        <w:spacing w:after="0"/>
        <w:jc w:val="both"/>
        <w:rPr>
          <w:rFonts w:ascii="Times New Roman" w:hAnsi="Times New Roman" w:cs="Times New Roman"/>
        </w:rPr>
      </w:pPr>
      <w:r w:rsidRPr="00F45209">
        <w:rPr>
          <w:rFonts w:ascii="Times New Roman" w:hAnsi="Times New Roman" w:cs="Times New Roman"/>
        </w:rPr>
        <w:t xml:space="preserve">Lastly, </w:t>
      </w:r>
      <w:r w:rsidR="00B906B2">
        <w:rPr>
          <w:rFonts w:ascii="Times New Roman" w:hAnsi="Times New Roman" w:cs="Times New Roman"/>
        </w:rPr>
        <w:t>Credit Risk Transfer (“</w:t>
      </w:r>
      <w:r w:rsidRPr="00F45209">
        <w:rPr>
          <w:rFonts w:ascii="Times New Roman" w:hAnsi="Times New Roman" w:cs="Times New Roman"/>
        </w:rPr>
        <w:t>CRT</w:t>
      </w:r>
      <w:r w:rsidR="00B906B2">
        <w:rPr>
          <w:rFonts w:ascii="Times New Roman" w:hAnsi="Times New Roman" w:cs="Times New Roman"/>
        </w:rPr>
        <w:t>”)</w:t>
      </w:r>
      <w:r w:rsidRPr="00F45209">
        <w:rPr>
          <w:rFonts w:ascii="Times New Roman" w:hAnsi="Times New Roman" w:cs="Times New Roman"/>
        </w:rPr>
        <w:t xml:space="preserve"> investors should </w:t>
      </w:r>
      <w:r w:rsidR="00B906B2">
        <w:rPr>
          <w:rFonts w:ascii="Times New Roman" w:hAnsi="Times New Roman" w:cs="Times New Roman"/>
        </w:rPr>
        <w:t xml:space="preserve">be considered </w:t>
      </w:r>
      <w:r w:rsidRPr="00F45209">
        <w:rPr>
          <w:rFonts w:ascii="Times New Roman" w:hAnsi="Times New Roman" w:cs="Times New Roman"/>
        </w:rPr>
        <w:t xml:space="preserve">in the establishment of </w:t>
      </w:r>
      <w:r w:rsidR="00401AC0" w:rsidRPr="00F45209">
        <w:rPr>
          <w:rFonts w:ascii="Times New Roman" w:hAnsi="Times New Roman" w:cs="Times New Roman"/>
        </w:rPr>
        <w:t xml:space="preserve">the Bond Program. </w:t>
      </w:r>
      <w:r w:rsidR="00FF63A9" w:rsidRPr="00F45209">
        <w:rPr>
          <w:rFonts w:ascii="Times New Roman" w:hAnsi="Times New Roman" w:cs="Times New Roman"/>
        </w:rPr>
        <w:t xml:space="preserve">There is growing demand for ESG-focused funds across all asset classes and to that end, the Bond Program framework should </w:t>
      </w:r>
      <w:r w:rsidR="00B906B2">
        <w:rPr>
          <w:rFonts w:ascii="Times New Roman" w:hAnsi="Times New Roman" w:cs="Times New Roman"/>
        </w:rPr>
        <w:t xml:space="preserve">also </w:t>
      </w:r>
      <w:r w:rsidR="00FF63A9" w:rsidRPr="00F45209">
        <w:rPr>
          <w:rFonts w:ascii="Times New Roman" w:hAnsi="Times New Roman" w:cs="Times New Roman"/>
        </w:rPr>
        <w:t xml:space="preserve">be utilized to provide value to CRT investors. </w:t>
      </w:r>
      <w:r w:rsidR="00EC5D99" w:rsidRPr="00F45209">
        <w:rPr>
          <w:rFonts w:ascii="Times New Roman" w:hAnsi="Times New Roman" w:cs="Times New Roman"/>
        </w:rPr>
        <w:t>W</w:t>
      </w:r>
      <w:r w:rsidR="00FF63A9" w:rsidRPr="00F45209">
        <w:rPr>
          <w:rFonts w:ascii="Times New Roman" w:hAnsi="Times New Roman" w:cs="Times New Roman"/>
        </w:rPr>
        <w:t xml:space="preserve">e recommend that loans under the Bond Program framework that have higher loan-level social scores be referenced in separate CRT transactions.  As there are fewer such loans originated in each quarter than typical mortgage loans, there may need to be </w:t>
      </w:r>
      <w:r w:rsidR="001E54F5">
        <w:rPr>
          <w:rFonts w:ascii="Times New Roman" w:hAnsi="Times New Roman" w:cs="Times New Roman"/>
        </w:rPr>
        <w:t>a</w:t>
      </w:r>
      <w:r w:rsidR="00FF63A9" w:rsidRPr="00F45209">
        <w:rPr>
          <w:rFonts w:ascii="Times New Roman" w:hAnsi="Times New Roman" w:cs="Times New Roman"/>
        </w:rPr>
        <w:t xml:space="preserve"> lag between loan origination and CRT delivery. This will create the necessary cohort size for a CRT transaction, but also have the added benefit of building borrower payment history.  Such payment history may help offset the higher credit risk of these loans and keep CRT spreads for ESG CRTs in line with non-ESG CRTs.</w:t>
      </w:r>
    </w:p>
    <w:p w14:paraId="6D0C73AA" w14:textId="77777777" w:rsidR="008748B1" w:rsidRDefault="008748B1" w:rsidP="00C6644E">
      <w:pPr>
        <w:spacing w:after="0"/>
        <w:jc w:val="both"/>
        <w:rPr>
          <w:rFonts w:ascii="Times New Roman" w:hAnsi="Times New Roman" w:cs="Times New Roman"/>
        </w:rPr>
      </w:pPr>
    </w:p>
    <w:p w14:paraId="0873F90C" w14:textId="77777777" w:rsidR="00615388" w:rsidRPr="00991F19" w:rsidRDefault="00615388" w:rsidP="008748B1">
      <w:pPr>
        <w:spacing w:after="0" w:line="240" w:lineRule="auto"/>
        <w:jc w:val="both"/>
        <w:rPr>
          <w:rFonts w:ascii="Times New Roman" w:hAnsi="Times New Roman" w:cs="Times New Roman"/>
          <w:b/>
          <w:bCs/>
          <w:i/>
          <w:iCs/>
          <w:color w:val="2E74B5" w:themeColor="accent5" w:themeShade="BF"/>
        </w:rPr>
      </w:pPr>
      <w:r w:rsidRPr="00991F19">
        <w:rPr>
          <w:rFonts w:ascii="Times New Roman" w:hAnsi="Times New Roman" w:cs="Times New Roman"/>
          <w:b/>
          <w:bCs/>
          <w:i/>
          <w:iCs/>
          <w:color w:val="2E74B5" w:themeColor="accent5" w:themeShade="BF"/>
        </w:rPr>
        <w:t xml:space="preserve">A-2: Should pay-ups from social bonds that accrue to the Enterprises or lenders be deployed to maximize borrower benefit? For example, should funds be allocated for specific programs,[1] to provide financial or other benefits to the individual borrowers that comprise a given pool, or some combination of options? Would </w:t>
      </w:r>
      <w:proofErr w:type="spellStart"/>
      <w:r w:rsidRPr="00991F19">
        <w:rPr>
          <w:rFonts w:ascii="Times New Roman" w:hAnsi="Times New Roman" w:cs="Times New Roman"/>
          <w:b/>
          <w:bCs/>
          <w:i/>
          <w:iCs/>
          <w:color w:val="2E74B5" w:themeColor="accent5" w:themeShade="BF"/>
        </w:rPr>
        <w:t>improved</w:t>
      </w:r>
      <w:proofErr w:type="spellEnd"/>
      <w:r w:rsidRPr="00991F19">
        <w:rPr>
          <w:rFonts w:ascii="Times New Roman" w:hAnsi="Times New Roman" w:cs="Times New Roman"/>
          <w:b/>
          <w:bCs/>
          <w:i/>
          <w:iCs/>
          <w:color w:val="2E74B5" w:themeColor="accent5" w:themeShade="BF"/>
        </w:rPr>
        <w:t xml:space="preserve"> liquidity resulting from the issuance of MBS social bond pools generate a sufficient benefit to borrowers, or should borrowers whose loans are included in a social pool receive specific benefit(s)? What could those specific benefits be? </w:t>
      </w:r>
      <w:r w:rsidRPr="00991F19">
        <w:rPr>
          <w:rFonts w:ascii="Times New Roman" w:hAnsi="Times New Roman" w:cs="Times New Roman"/>
          <w:b/>
          <w:bCs/>
          <w:i/>
          <w:iCs/>
          <w:color w:val="2E74B5" w:themeColor="accent5" w:themeShade="BF"/>
        </w:rPr>
        <w:tab/>
      </w:r>
    </w:p>
    <w:p w14:paraId="7C243DF6" w14:textId="77777777" w:rsidR="00C92267" w:rsidRPr="00991F19" w:rsidRDefault="00C92267" w:rsidP="00991F19">
      <w:pPr>
        <w:spacing w:after="0" w:line="240" w:lineRule="auto"/>
        <w:ind w:right="429"/>
        <w:jc w:val="both"/>
        <w:rPr>
          <w:rFonts w:ascii="Times New Roman" w:hAnsi="Times New Roman" w:cs="Times New Roman"/>
          <w:b/>
          <w:bCs/>
        </w:rPr>
      </w:pPr>
    </w:p>
    <w:p w14:paraId="092D685E" w14:textId="35B8B382" w:rsidR="008748B1" w:rsidRDefault="008748B1" w:rsidP="008748B1">
      <w:pPr>
        <w:spacing w:after="0" w:line="240" w:lineRule="auto"/>
        <w:jc w:val="both"/>
        <w:rPr>
          <w:rFonts w:ascii="Times New Roman" w:hAnsi="Times New Roman" w:cs="Times New Roman"/>
        </w:rPr>
      </w:pPr>
      <w:r w:rsidRPr="00991F19">
        <w:rPr>
          <w:rFonts w:ascii="Times New Roman" w:hAnsi="Times New Roman" w:cs="Times New Roman"/>
        </w:rPr>
        <w:t>Transparency related to pay</w:t>
      </w:r>
      <w:r w:rsidR="001E54F5">
        <w:rPr>
          <w:rFonts w:ascii="Times New Roman" w:hAnsi="Times New Roman" w:cs="Times New Roman"/>
        </w:rPr>
        <w:t>-</w:t>
      </w:r>
      <w:r w:rsidRPr="00991F19">
        <w:rPr>
          <w:rFonts w:ascii="Times New Roman" w:hAnsi="Times New Roman" w:cs="Times New Roman"/>
        </w:rPr>
        <w:t>ups is critical for investor analysis. Demonstrable evidence that pay-ups</w:t>
      </w:r>
      <w:r>
        <w:rPr>
          <w:rFonts w:ascii="Times New Roman" w:hAnsi="Times New Roman" w:cs="Times New Roman"/>
        </w:rPr>
        <w:t>, and the GSE programs they are used to fund,</w:t>
      </w:r>
      <w:r w:rsidRPr="00991F19">
        <w:rPr>
          <w:rFonts w:ascii="Times New Roman" w:hAnsi="Times New Roman" w:cs="Times New Roman"/>
        </w:rPr>
        <w:t xml:space="preserve"> </w:t>
      </w:r>
      <w:r>
        <w:rPr>
          <w:rFonts w:ascii="Times New Roman" w:hAnsi="Times New Roman" w:cs="Times New Roman"/>
        </w:rPr>
        <w:t>directly benefit</w:t>
      </w:r>
      <w:r w:rsidRPr="00991F19">
        <w:rPr>
          <w:rFonts w:ascii="Times New Roman" w:hAnsi="Times New Roman" w:cs="Times New Roman"/>
        </w:rPr>
        <w:t xml:space="preserve"> the </w:t>
      </w:r>
      <w:r>
        <w:rPr>
          <w:rFonts w:ascii="Times New Roman" w:hAnsi="Times New Roman" w:cs="Times New Roman"/>
        </w:rPr>
        <w:t xml:space="preserve">borrowers </w:t>
      </w:r>
      <w:r w:rsidRPr="00682ABB">
        <w:rPr>
          <w:rFonts w:ascii="Times New Roman" w:hAnsi="Times New Roman" w:cs="Times New Roman"/>
        </w:rPr>
        <w:t xml:space="preserve">whose loans are included in a </w:t>
      </w:r>
      <w:r w:rsidR="00A17510">
        <w:rPr>
          <w:rFonts w:ascii="Times New Roman" w:hAnsi="Times New Roman" w:cs="Times New Roman"/>
        </w:rPr>
        <w:t xml:space="preserve">Bond Program pool </w:t>
      </w:r>
      <w:r w:rsidRPr="00991F19">
        <w:rPr>
          <w:rFonts w:ascii="Times New Roman" w:hAnsi="Times New Roman" w:cs="Times New Roman"/>
        </w:rPr>
        <w:t xml:space="preserve">would be a consideration. Critically, there should be </w:t>
      </w:r>
      <w:r>
        <w:rPr>
          <w:rFonts w:ascii="Times New Roman" w:hAnsi="Times New Roman" w:cs="Times New Roman"/>
        </w:rPr>
        <w:t xml:space="preserve">specific </w:t>
      </w:r>
      <w:r w:rsidRPr="00991F19">
        <w:rPr>
          <w:rFonts w:ascii="Times New Roman" w:hAnsi="Times New Roman" w:cs="Times New Roman"/>
        </w:rPr>
        <w:t xml:space="preserve">reporting on </w:t>
      </w:r>
      <w:r>
        <w:rPr>
          <w:rFonts w:ascii="Times New Roman" w:hAnsi="Times New Roman" w:cs="Times New Roman"/>
        </w:rPr>
        <w:t>not just how much money was allocated to GSE programs targeting housing affordability</w:t>
      </w:r>
      <w:r w:rsidR="002D452E">
        <w:rPr>
          <w:rFonts w:ascii="Times New Roman" w:hAnsi="Times New Roman" w:cs="Times New Roman"/>
        </w:rPr>
        <w:t xml:space="preserve">, </w:t>
      </w:r>
      <w:proofErr w:type="gramStart"/>
      <w:r w:rsidR="002D452E">
        <w:rPr>
          <w:rFonts w:ascii="Times New Roman" w:hAnsi="Times New Roman" w:cs="Times New Roman"/>
        </w:rPr>
        <w:t>sustainability</w:t>
      </w:r>
      <w:proofErr w:type="gramEnd"/>
      <w:r w:rsidR="002D452E">
        <w:rPr>
          <w:rFonts w:ascii="Times New Roman" w:hAnsi="Times New Roman" w:cs="Times New Roman"/>
        </w:rPr>
        <w:t xml:space="preserve"> and </w:t>
      </w:r>
      <w:r w:rsidR="00A856D0">
        <w:rPr>
          <w:rFonts w:ascii="Times New Roman" w:hAnsi="Times New Roman" w:cs="Times New Roman"/>
        </w:rPr>
        <w:t xml:space="preserve">environmental improvements </w:t>
      </w:r>
      <w:r>
        <w:rPr>
          <w:rFonts w:ascii="Times New Roman" w:hAnsi="Times New Roman" w:cs="Times New Roman"/>
        </w:rPr>
        <w:t xml:space="preserve">as a result of social bond pay-ups, </w:t>
      </w:r>
      <w:r w:rsidR="0032243C">
        <w:rPr>
          <w:rFonts w:ascii="Times New Roman" w:hAnsi="Times New Roman" w:cs="Times New Roman"/>
        </w:rPr>
        <w:t>but also</w:t>
      </w:r>
      <w:r w:rsidR="00604B83">
        <w:rPr>
          <w:rFonts w:ascii="Times New Roman" w:hAnsi="Times New Roman" w:cs="Times New Roman"/>
        </w:rPr>
        <w:t xml:space="preserve"> on </w:t>
      </w:r>
      <w:r w:rsidRPr="00991F19">
        <w:rPr>
          <w:rFonts w:ascii="Times New Roman" w:hAnsi="Times New Roman" w:cs="Times New Roman"/>
        </w:rPr>
        <w:t>how</w:t>
      </w:r>
      <w:r>
        <w:rPr>
          <w:rFonts w:ascii="Times New Roman" w:hAnsi="Times New Roman" w:cs="Times New Roman"/>
        </w:rPr>
        <w:t xml:space="preserve"> these programmatic investments catalyzed by</w:t>
      </w:r>
      <w:r w:rsidRPr="00991F19">
        <w:rPr>
          <w:rFonts w:ascii="Times New Roman" w:hAnsi="Times New Roman" w:cs="Times New Roman"/>
        </w:rPr>
        <w:t xml:space="preserve"> such pay-ups</w:t>
      </w:r>
      <w:r>
        <w:rPr>
          <w:rFonts w:ascii="Times New Roman" w:hAnsi="Times New Roman" w:cs="Times New Roman"/>
        </w:rPr>
        <w:t xml:space="preserve"> directly</w:t>
      </w:r>
      <w:r w:rsidRPr="00991F19">
        <w:rPr>
          <w:rFonts w:ascii="Times New Roman" w:hAnsi="Times New Roman" w:cs="Times New Roman"/>
        </w:rPr>
        <w:t xml:space="preserve"> impact</w:t>
      </w:r>
      <w:r w:rsidR="00604B83">
        <w:rPr>
          <w:rFonts w:ascii="Times New Roman" w:hAnsi="Times New Roman" w:cs="Times New Roman"/>
        </w:rPr>
        <w:t>ed</w:t>
      </w:r>
      <w:r w:rsidRPr="00991F19">
        <w:rPr>
          <w:rFonts w:ascii="Times New Roman" w:hAnsi="Times New Roman" w:cs="Times New Roman"/>
        </w:rPr>
        <w:t xml:space="preserve"> </w:t>
      </w:r>
      <w:r>
        <w:rPr>
          <w:rFonts w:ascii="Times New Roman" w:hAnsi="Times New Roman" w:cs="Times New Roman"/>
        </w:rPr>
        <w:t>eligible borrower outcomes</w:t>
      </w:r>
      <w:r w:rsidRPr="00991F19">
        <w:rPr>
          <w:rFonts w:ascii="Times New Roman" w:hAnsi="Times New Roman" w:cs="Times New Roman"/>
        </w:rPr>
        <w:t>.</w:t>
      </w:r>
      <w:r>
        <w:rPr>
          <w:rFonts w:ascii="Times New Roman" w:hAnsi="Times New Roman" w:cs="Times New Roman"/>
        </w:rPr>
        <w:t xml:space="preserve"> This might include, for example, how many </w:t>
      </w:r>
      <w:r>
        <w:rPr>
          <w:rFonts w:ascii="Times New Roman" w:hAnsi="Times New Roman" w:cs="Times New Roman"/>
        </w:rPr>
        <w:lastRenderedPageBreak/>
        <w:t xml:space="preserve">eligible borrowers were impacted by these specific programs and the quantifiable impact </w:t>
      </w:r>
      <w:r w:rsidR="00B906B2">
        <w:rPr>
          <w:rFonts w:ascii="Times New Roman" w:hAnsi="Times New Roman" w:cs="Times New Roman"/>
        </w:rPr>
        <w:t xml:space="preserve">on </w:t>
      </w:r>
      <w:r>
        <w:rPr>
          <w:rFonts w:ascii="Times New Roman" w:hAnsi="Times New Roman" w:cs="Times New Roman"/>
        </w:rPr>
        <w:t xml:space="preserve">borrowers, such as decreased </w:t>
      </w:r>
      <w:r w:rsidR="00B67140">
        <w:rPr>
          <w:rFonts w:ascii="Times New Roman" w:hAnsi="Times New Roman" w:cs="Times New Roman"/>
        </w:rPr>
        <w:t xml:space="preserve">delinquency </w:t>
      </w:r>
      <w:r>
        <w:rPr>
          <w:rFonts w:ascii="Times New Roman" w:hAnsi="Times New Roman" w:cs="Times New Roman"/>
        </w:rPr>
        <w:t xml:space="preserve">rates, lower mortgage interest rates, down payment assistance, etc. </w:t>
      </w:r>
      <w:r w:rsidRPr="00991F19">
        <w:rPr>
          <w:rFonts w:ascii="Times New Roman" w:hAnsi="Times New Roman" w:cs="Times New Roman"/>
        </w:rPr>
        <w:t xml:space="preserve">Ultimately, an established framework, as referenced in our response to A-1, is necessary to demonstrate measurable proof to show the intended borrower impact is being realized. </w:t>
      </w:r>
    </w:p>
    <w:p w14:paraId="2E098171" w14:textId="77777777" w:rsidR="008748B1" w:rsidRDefault="008748B1" w:rsidP="00C6644E">
      <w:pPr>
        <w:spacing w:after="0" w:line="240" w:lineRule="auto"/>
        <w:jc w:val="both"/>
        <w:rPr>
          <w:rFonts w:ascii="Times New Roman" w:hAnsi="Times New Roman" w:cs="Times New Roman"/>
        </w:rPr>
      </w:pPr>
    </w:p>
    <w:p w14:paraId="3DB794BB" w14:textId="463EB821" w:rsidR="008748B1" w:rsidRPr="00991F19" w:rsidRDefault="008748B1" w:rsidP="008748B1">
      <w:pPr>
        <w:spacing w:after="0" w:line="240" w:lineRule="auto"/>
        <w:jc w:val="both"/>
        <w:rPr>
          <w:rFonts w:ascii="Times New Roman" w:hAnsi="Times New Roman" w:cs="Times New Roman"/>
        </w:rPr>
      </w:pPr>
      <w:r>
        <w:rPr>
          <w:rFonts w:ascii="Times New Roman" w:hAnsi="Times New Roman" w:cs="Times New Roman"/>
        </w:rPr>
        <w:t xml:space="preserve">While improved liquidity resulting from the issuance of MBS social bond pools is certainly a significant benefit from this program (notably for lenders who sell eligible mortgages to the cash window, but also for lenders that originate and pool loans with high loan-level social scores given evidence of higher pay-ups for pools with better SCS and SDS scores), it is not sufficient for investors needing to report on the specific impact/outcomes from their investments. As such, borrowers whose loans are included in a </w:t>
      </w:r>
      <w:r w:rsidR="00CF763F">
        <w:rPr>
          <w:rFonts w:ascii="Times New Roman" w:hAnsi="Times New Roman" w:cs="Times New Roman"/>
        </w:rPr>
        <w:t xml:space="preserve">Bond Program </w:t>
      </w:r>
      <w:r>
        <w:rPr>
          <w:rFonts w:ascii="Times New Roman" w:hAnsi="Times New Roman" w:cs="Times New Roman"/>
        </w:rPr>
        <w:t>pool should receive specific benefits from the GSE programs being funded by any pay-ups.</w:t>
      </w:r>
    </w:p>
    <w:p w14:paraId="042D8BC6" w14:textId="77777777" w:rsidR="00FB11BD" w:rsidRPr="00991F19" w:rsidRDefault="00FB11BD" w:rsidP="00991F19">
      <w:pPr>
        <w:spacing w:after="0" w:line="240" w:lineRule="auto"/>
        <w:ind w:right="429"/>
        <w:jc w:val="both"/>
        <w:rPr>
          <w:rFonts w:ascii="Times New Roman" w:hAnsi="Times New Roman" w:cs="Times New Roman"/>
        </w:rPr>
      </w:pPr>
    </w:p>
    <w:p w14:paraId="063D03EC" w14:textId="77777777" w:rsidR="00615388" w:rsidRPr="00991F19" w:rsidRDefault="00615388" w:rsidP="00991F19">
      <w:pPr>
        <w:spacing w:after="0" w:line="240" w:lineRule="auto"/>
        <w:jc w:val="both"/>
        <w:rPr>
          <w:rFonts w:ascii="Times New Roman" w:hAnsi="Times New Roman" w:cs="Times New Roman"/>
          <w:b/>
          <w:bCs/>
          <w:i/>
          <w:iCs/>
          <w:color w:val="2E74B5" w:themeColor="accent5" w:themeShade="BF"/>
        </w:rPr>
      </w:pPr>
      <w:r w:rsidRPr="00991F19">
        <w:rPr>
          <w:rFonts w:ascii="Times New Roman" w:hAnsi="Times New Roman" w:cs="Times New Roman"/>
          <w:b/>
          <w:bCs/>
          <w:i/>
          <w:iCs/>
          <w:color w:val="2E74B5" w:themeColor="accent5" w:themeShade="BF"/>
        </w:rPr>
        <w:t>A-3: Should the Enterprises monitor ongoing borrower impacts and benefits? If so, how? How often should reporting on impacts be provided?</w:t>
      </w:r>
    </w:p>
    <w:p w14:paraId="6DCC2FB3" w14:textId="77777777" w:rsidR="00615388" w:rsidRPr="00991F19" w:rsidRDefault="00615388" w:rsidP="00991F19">
      <w:pPr>
        <w:spacing w:after="0" w:line="240" w:lineRule="auto"/>
        <w:ind w:left="90"/>
        <w:jc w:val="both"/>
        <w:rPr>
          <w:rFonts w:ascii="Times New Roman" w:hAnsi="Times New Roman" w:cs="Times New Roman"/>
        </w:rPr>
      </w:pPr>
    </w:p>
    <w:p w14:paraId="0240B381" w14:textId="67001D89" w:rsidR="002E417A" w:rsidRDefault="008748B1" w:rsidP="002F3C38">
      <w:pPr>
        <w:spacing w:after="0" w:line="240" w:lineRule="auto"/>
        <w:jc w:val="both"/>
        <w:rPr>
          <w:rFonts w:ascii="Times New Roman" w:hAnsi="Times New Roman" w:cs="Times New Roman"/>
        </w:rPr>
      </w:pPr>
      <w:r w:rsidRPr="00991F19">
        <w:rPr>
          <w:rFonts w:ascii="Times New Roman" w:hAnsi="Times New Roman" w:cs="Times New Roman"/>
        </w:rPr>
        <w:t>Yes</w:t>
      </w:r>
      <w:r w:rsidR="00CC3AB5">
        <w:rPr>
          <w:rFonts w:ascii="Times New Roman" w:hAnsi="Times New Roman" w:cs="Times New Roman"/>
        </w:rPr>
        <w:t xml:space="preserve"> – </w:t>
      </w:r>
      <w:r w:rsidR="002E417A">
        <w:rPr>
          <w:rFonts w:ascii="Times New Roman" w:hAnsi="Times New Roman" w:cs="Times New Roman"/>
        </w:rPr>
        <w:t>t</w:t>
      </w:r>
      <w:r w:rsidR="00CC3AB5">
        <w:rPr>
          <w:rFonts w:ascii="Times New Roman" w:hAnsi="Times New Roman" w:cs="Times New Roman"/>
        </w:rPr>
        <w:t xml:space="preserve">he </w:t>
      </w:r>
      <w:r w:rsidR="00F057EE">
        <w:rPr>
          <w:rFonts w:ascii="Times New Roman" w:hAnsi="Times New Roman" w:cs="Times New Roman"/>
        </w:rPr>
        <w:t xml:space="preserve">specific ways in which the pay-ups have been allocated to </w:t>
      </w:r>
      <w:r w:rsidR="008556BD">
        <w:rPr>
          <w:rFonts w:ascii="Times New Roman" w:hAnsi="Times New Roman" w:cs="Times New Roman"/>
        </w:rPr>
        <w:t>improve</w:t>
      </w:r>
      <w:r w:rsidR="00F057EE">
        <w:rPr>
          <w:rFonts w:ascii="Times New Roman" w:hAnsi="Times New Roman" w:cs="Times New Roman"/>
        </w:rPr>
        <w:t xml:space="preserve"> housing affordability, housing sustainability and </w:t>
      </w:r>
      <w:r w:rsidR="008556BD">
        <w:rPr>
          <w:rFonts w:ascii="Times New Roman" w:hAnsi="Times New Roman" w:cs="Times New Roman"/>
        </w:rPr>
        <w:t>environmental risks should be reported on an ongoing basis</w:t>
      </w:r>
      <w:r w:rsidR="00F50CF5">
        <w:rPr>
          <w:rFonts w:ascii="Times New Roman" w:hAnsi="Times New Roman" w:cs="Times New Roman"/>
        </w:rPr>
        <w:t>.</w:t>
      </w:r>
      <w:r w:rsidRPr="00991F19">
        <w:rPr>
          <w:rFonts w:ascii="Times New Roman" w:hAnsi="Times New Roman" w:cs="Times New Roman"/>
        </w:rPr>
        <w:t xml:space="preserve"> </w:t>
      </w:r>
      <w:r w:rsidR="002E417A">
        <w:rPr>
          <w:rFonts w:ascii="Times New Roman" w:hAnsi="Times New Roman" w:cs="Times New Roman"/>
        </w:rPr>
        <w:t>M</w:t>
      </w:r>
      <w:r w:rsidR="002E417A" w:rsidRPr="00991F19">
        <w:rPr>
          <w:rFonts w:ascii="Times New Roman" w:hAnsi="Times New Roman" w:cs="Times New Roman"/>
        </w:rPr>
        <w:t>onitoring is critical for ESG investors</w:t>
      </w:r>
      <w:r w:rsidR="002E417A">
        <w:rPr>
          <w:rFonts w:ascii="Times New Roman" w:hAnsi="Times New Roman" w:cs="Times New Roman"/>
        </w:rPr>
        <w:t xml:space="preserve"> who </w:t>
      </w:r>
      <w:r w:rsidR="002E417A" w:rsidRPr="00991F19">
        <w:rPr>
          <w:rFonts w:ascii="Times New Roman" w:hAnsi="Times New Roman" w:cs="Times New Roman"/>
        </w:rPr>
        <w:t>are increasingly requesting reporting on the impact of their investments</w:t>
      </w:r>
      <w:r w:rsidR="002E417A">
        <w:rPr>
          <w:rFonts w:ascii="Times New Roman" w:hAnsi="Times New Roman" w:cs="Times New Roman"/>
        </w:rPr>
        <w:t>.</w:t>
      </w:r>
      <w:r w:rsidR="002E417A" w:rsidRPr="00991F19">
        <w:rPr>
          <w:rFonts w:ascii="Times New Roman" w:hAnsi="Times New Roman" w:cs="Times New Roman"/>
        </w:rPr>
        <w:t xml:space="preserve">  To ensure that the programs would be broadly accepted by ESG investors, we believe that the standard minimum measure should be annual; however</w:t>
      </w:r>
      <w:r w:rsidR="00EC5D99">
        <w:rPr>
          <w:rFonts w:ascii="Times New Roman" w:hAnsi="Times New Roman" w:cs="Times New Roman"/>
        </w:rPr>
        <w:t>,</w:t>
      </w:r>
      <w:r w:rsidR="002E417A" w:rsidRPr="00991F19">
        <w:rPr>
          <w:rFonts w:ascii="Times New Roman" w:hAnsi="Times New Roman" w:cs="Times New Roman"/>
        </w:rPr>
        <w:t xml:space="preserve"> the specific frequency would depend on the specific impacts and benefits</w:t>
      </w:r>
      <w:r w:rsidR="0043560B">
        <w:rPr>
          <w:rFonts w:ascii="Times New Roman" w:hAnsi="Times New Roman" w:cs="Times New Roman"/>
        </w:rPr>
        <w:t xml:space="preserve"> targeted through the Bond Program</w:t>
      </w:r>
      <w:r w:rsidR="002E417A">
        <w:rPr>
          <w:rFonts w:ascii="Times New Roman" w:hAnsi="Times New Roman" w:cs="Times New Roman"/>
        </w:rPr>
        <w:t>.</w:t>
      </w:r>
    </w:p>
    <w:p w14:paraId="1244F9C8" w14:textId="77777777" w:rsidR="002E417A" w:rsidRDefault="002E417A" w:rsidP="002F3C38">
      <w:pPr>
        <w:spacing w:after="0" w:line="240" w:lineRule="auto"/>
        <w:jc w:val="both"/>
        <w:rPr>
          <w:rFonts w:ascii="Times New Roman" w:hAnsi="Times New Roman" w:cs="Times New Roman"/>
        </w:rPr>
      </w:pPr>
    </w:p>
    <w:p w14:paraId="6B80D65A" w14:textId="4F0C9DA3" w:rsidR="00C05642" w:rsidRDefault="008748B1" w:rsidP="002F3C38">
      <w:pPr>
        <w:spacing w:after="0" w:line="240" w:lineRule="auto"/>
        <w:jc w:val="both"/>
        <w:rPr>
          <w:rFonts w:ascii="Times New Roman" w:hAnsi="Times New Roman" w:cs="Times New Roman"/>
        </w:rPr>
      </w:pPr>
      <w:r w:rsidRPr="00991F19">
        <w:rPr>
          <w:rFonts w:ascii="Times New Roman" w:hAnsi="Times New Roman" w:cs="Times New Roman"/>
        </w:rPr>
        <w:t xml:space="preserve">The Enterprises should monitor ongoing borrower impacts and benefits. Some impacts and benefits that could be </w:t>
      </w:r>
      <w:r w:rsidR="001C6EDB">
        <w:rPr>
          <w:rFonts w:ascii="Times New Roman" w:hAnsi="Times New Roman" w:cs="Times New Roman"/>
        </w:rPr>
        <w:t>monitored</w:t>
      </w:r>
      <w:r w:rsidR="001C6EDB" w:rsidRPr="00991F19">
        <w:rPr>
          <w:rFonts w:ascii="Times New Roman" w:hAnsi="Times New Roman" w:cs="Times New Roman"/>
        </w:rPr>
        <w:t xml:space="preserve"> </w:t>
      </w:r>
      <w:r w:rsidRPr="00991F19">
        <w:rPr>
          <w:rFonts w:ascii="Times New Roman" w:hAnsi="Times New Roman" w:cs="Times New Roman"/>
        </w:rPr>
        <w:t>include</w:t>
      </w:r>
      <w:r w:rsidR="00C05642">
        <w:rPr>
          <w:rFonts w:ascii="Times New Roman" w:hAnsi="Times New Roman" w:cs="Times New Roman"/>
        </w:rPr>
        <w:t>:</w:t>
      </w:r>
    </w:p>
    <w:p w14:paraId="0470B60B" w14:textId="68AD90CD" w:rsidR="00C05642" w:rsidRPr="00F45209" w:rsidRDefault="00C05642" w:rsidP="00F45209">
      <w:pPr>
        <w:pStyle w:val="ListParagraph"/>
        <w:numPr>
          <w:ilvl w:val="0"/>
          <w:numId w:val="5"/>
        </w:numPr>
        <w:spacing w:after="0" w:line="240" w:lineRule="auto"/>
        <w:jc w:val="both"/>
        <w:rPr>
          <w:rFonts w:ascii="Times New Roman" w:hAnsi="Times New Roman" w:cs="Times New Roman"/>
        </w:rPr>
      </w:pPr>
      <w:r w:rsidRPr="00F45209">
        <w:rPr>
          <w:rFonts w:ascii="Times New Roman" w:hAnsi="Times New Roman" w:cs="Times New Roman"/>
        </w:rPr>
        <w:t>M</w:t>
      </w:r>
      <w:r w:rsidR="00F93A51" w:rsidRPr="00F45209">
        <w:rPr>
          <w:rFonts w:ascii="Times New Roman" w:hAnsi="Times New Roman" w:cs="Times New Roman"/>
        </w:rPr>
        <w:t xml:space="preserve">ortgage rates </w:t>
      </w:r>
      <w:r w:rsidR="00BD283F" w:rsidRPr="00F45209">
        <w:rPr>
          <w:rFonts w:ascii="Times New Roman" w:hAnsi="Times New Roman" w:cs="Times New Roman"/>
        </w:rPr>
        <w:t xml:space="preserve">for target borrowers relative to the </w:t>
      </w:r>
      <w:proofErr w:type="gramStart"/>
      <w:r w:rsidR="00BD283F" w:rsidRPr="00F45209">
        <w:rPr>
          <w:rFonts w:ascii="Times New Roman" w:hAnsi="Times New Roman" w:cs="Times New Roman"/>
        </w:rPr>
        <w:t>cohort</w:t>
      </w:r>
      <w:r w:rsidR="00EC5D99">
        <w:rPr>
          <w:rFonts w:ascii="Times New Roman" w:hAnsi="Times New Roman" w:cs="Times New Roman"/>
        </w:rPr>
        <w:t>;</w:t>
      </w:r>
      <w:proofErr w:type="gramEnd"/>
    </w:p>
    <w:p w14:paraId="12DB7C43" w14:textId="2318FE59" w:rsidR="00C05642" w:rsidRDefault="00C05642" w:rsidP="00C05642">
      <w:pPr>
        <w:pStyle w:val="ListParagraph"/>
        <w:numPr>
          <w:ilvl w:val="0"/>
          <w:numId w:val="5"/>
        </w:numPr>
        <w:spacing w:after="0" w:line="240" w:lineRule="auto"/>
        <w:jc w:val="both"/>
        <w:rPr>
          <w:rFonts w:ascii="Times New Roman" w:hAnsi="Times New Roman" w:cs="Times New Roman"/>
        </w:rPr>
      </w:pPr>
      <w:r w:rsidRPr="00F45209">
        <w:rPr>
          <w:rFonts w:ascii="Times New Roman" w:hAnsi="Times New Roman" w:cs="Times New Roman"/>
        </w:rPr>
        <w:t>S</w:t>
      </w:r>
      <w:r w:rsidR="008748B1" w:rsidRPr="00F45209">
        <w:rPr>
          <w:rFonts w:ascii="Times New Roman" w:hAnsi="Times New Roman" w:cs="Times New Roman"/>
        </w:rPr>
        <w:t>ustainability of homeownership</w:t>
      </w:r>
      <w:r w:rsidR="00BD283F" w:rsidRPr="00F45209">
        <w:rPr>
          <w:rFonts w:ascii="Times New Roman" w:hAnsi="Times New Roman" w:cs="Times New Roman"/>
        </w:rPr>
        <w:t xml:space="preserve"> in the form of </w:t>
      </w:r>
      <w:r w:rsidR="00B67140" w:rsidRPr="00F45209">
        <w:rPr>
          <w:rFonts w:ascii="Times New Roman" w:hAnsi="Times New Roman" w:cs="Times New Roman"/>
        </w:rPr>
        <w:t xml:space="preserve">delinquency </w:t>
      </w:r>
      <w:r w:rsidR="008748B1" w:rsidRPr="00F45209">
        <w:rPr>
          <w:rFonts w:ascii="Times New Roman" w:hAnsi="Times New Roman" w:cs="Times New Roman"/>
        </w:rPr>
        <w:t>rates</w:t>
      </w:r>
      <w:r w:rsidR="00F745E0">
        <w:rPr>
          <w:rFonts w:ascii="Times New Roman" w:hAnsi="Times New Roman" w:cs="Times New Roman"/>
        </w:rPr>
        <w:t xml:space="preserve"> and utilization of borrower counseling</w:t>
      </w:r>
      <w:r w:rsidR="00EC5D99">
        <w:rPr>
          <w:rFonts w:ascii="Times New Roman" w:hAnsi="Times New Roman" w:cs="Times New Roman"/>
        </w:rPr>
        <w:t>; and</w:t>
      </w:r>
    </w:p>
    <w:p w14:paraId="11EA6673" w14:textId="6CAFD619" w:rsidR="00C05642" w:rsidRPr="00F45209" w:rsidRDefault="00C05642" w:rsidP="00F45209">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Energy efficiency improvements</w:t>
      </w:r>
      <w:r w:rsidR="00F745E0">
        <w:rPr>
          <w:rFonts w:ascii="Times New Roman" w:hAnsi="Times New Roman" w:cs="Times New Roman"/>
        </w:rPr>
        <w:t xml:space="preserve"> </w:t>
      </w:r>
      <w:r>
        <w:rPr>
          <w:rFonts w:ascii="Times New Roman" w:hAnsi="Times New Roman" w:cs="Times New Roman"/>
        </w:rPr>
        <w:t>funded via pay-ups</w:t>
      </w:r>
      <w:r w:rsidR="00EC5D99">
        <w:rPr>
          <w:rFonts w:ascii="Times New Roman" w:hAnsi="Times New Roman" w:cs="Times New Roman"/>
        </w:rPr>
        <w:t>.</w:t>
      </w:r>
    </w:p>
    <w:p w14:paraId="56E25C32" w14:textId="77777777" w:rsidR="00C05642" w:rsidRDefault="00C05642" w:rsidP="002F3C38">
      <w:pPr>
        <w:spacing w:after="0" w:line="240" w:lineRule="auto"/>
        <w:jc w:val="both"/>
        <w:rPr>
          <w:rFonts w:ascii="Times New Roman" w:hAnsi="Times New Roman" w:cs="Times New Roman"/>
        </w:rPr>
      </w:pPr>
    </w:p>
    <w:p w14:paraId="53FE5379" w14:textId="2731639B" w:rsidR="00585D1F" w:rsidRPr="00991F19" w:rsidRDefault="00BD283F" w:rsidP="00F45209">
      <w:pPr>
        <w:spacing w:after="0" w:line="240" w:lineRule="auto"/>
        <w:jc w:val="both"/>
        <w:rPr>
          <w:rFonts w:ascii="Times New Roman" w:hAnsi="Times New Roman" w:cs="Times New Roman"/>
          <w:b/>
          <w:bCs/>
        </w:rPr>
      </w:pPr>
      <w:r>
        <w:rPr>
          <w:rFonts w:ascii="Times New Roman" w:hAnsi="Times New Roman" w:cs="Times New Roman"/>
        </w:rPr>
        <w:t xml:space="preserve"> </w:t>
      </w:r>
    </w:p>
    <w:p w14:paraId="6A04876D" w14:textId="16765096" w:rsidR="005D1349" w:rsidRPr="00991F19" w:rsidRDefault="005D1349" w:rsidP="00991F19">
      <w:pPr>
        <w:jc w:val="both"/>
        <w:rPr>
          <w:rFonts w:ascii="Times New Roman" w:hAnsi="Times New Roman" w:cs="Times New Roman"/>
          <w:b/>
          <w:bCs/>
        </w:rPr>
      </w:pPr>
      <w:r w:rsidRPr="00991F19">
        <w:rPr>
          <w:rFonts w:ascii="Times New Roman" w:hAnsi="Times New Roman" w:cs="Times New Roman"/>
          <w:b/>
          <w:bCs/>
        </w:rPr>
        <w:t>Eligible Loans</w:t>
      </w:r>
    </w:p>
    <w:p w14:paraId="6796FF6E" w14:textId="77777777" w:rsidR="00615388" w:rsidRPr="00991F19" w:rsidRDefault="00615388" w:rsidP="00991F19">
      <w:pPr>
        <w:spacing w:after="0" w:line="240" w:lineRule="auto"/>
        <w:jc w:val="both"/>
        <w:rPr>
          <w:rFonts w:ascii="Times New Roman" w:hAnsi="Times New Roman" w:cs="Times New Roman"/>
          <w:b/>
          <w:bCs/>
          <w:i/>
          <w:iCs/>
          <w:color w:val="2E74B5" w:themeColor="accent5" w:themeShade="BF"/>
        </w:rPr>
      </w:pPr>
      <w:r w:rsidRPr="00991F19">
        <w:rPr>
          <w:rFonts w:ascii="Times New Roman" w:hAnsi="Times New Roman" w:cs="Times New Roman"/>
          <w:b/>
          <w:bCs/>
          <w:i/>
          <w:iCs/>
          <w:color w:val="2E74B5" w:themeColor="accent5" w:themeShade="BF"/>
        </w:rPr>
        <w:t xml:space="preserve">B-1: What attributes should be used to determine whether a loan is eligible for a social bond pool (e.g., income, geography, down payment assistance, reduction in mortgage interest rate, buydown programs)? What are the advantages and disadvantages to identifying eligibility based on mortgage product versus some other methodology (e.g., minimum Social Index scores)? </w:t>
      </w:r>
      <w:r w:rsidRPr="00991F19">
        <w:rPr>
          <w:rFonts w:ascii="Times New Roman" w:hAnsi="Times New Roman" w:cs="Times New Roman"/>
          <w:b/>
          <w:bCs/>
          <w:i/>
          <w:iCs/>
          <w:color w:val="2E74B5" w:themeColor="accent5" w:themeShade="BF"/>
        </w:rPr>
        <w:tab/>
      </w:r>
    </w:p>
    <w:p w14:paraId="26D20E28" w14:textId="77777777" w:rsidR="00615388" w:rsidRPr="00991F19" w:rsidRDefault="00615388" w:rsidP="00991F19">
      <w:pPr>
        <w:spacing w:after="0" w:line="240" w:lineRule="auto"/>
        <w:jc w:val="both"/>
        <w:rPr>
          <w:rFonts w:ascii="Times New Roman" w:hAnsi="Times New Roman" w:cs="Times New Roman"/>
        </w:rPr>
      </w:pPr>
    </w:p>
    <w:p w14:paraId="613AF40A" w14:textId="67FB6564" w:rsidR="00DC41EB" w:rsidRPr="00991F19" w:rsidRDefault="00D043BD" w:rsidP="00991F19">
      <w:pPr>
        <w:spacing w:after="0" w:line="240" w:lineRule="auto"/>
        <w:jc w:val="both"/>
        <w:rPr>
          <w:rFonts w:ascii="Times New Roman" w:hAnsi="Times New Roman" w:cs="Times New Roman"/>
        </w:rPr>
      </w:pPr>
      <w:r w:rsidRPr="00991F19">
        <w:rPr>
          <w:rFonts w:ascii="Times New Roman" w:hAnsi="Times New Roman" w:cs="Times New Roman"/>
        </w:rPr>
        <w:t xml:space="preserve">A </w:t>
      </w:r>
      <w:r w:rsidR="00615388" w:rsidRPr="00991F19">
        <w:rPr>
          <w:rFonts w:ascii="Times New Roman" w:hAnsi="Times New Roman" w:cs="Times New Roman"/>
        </w:rPr>
        <w:t>variety of attributes could be used to determine whether a loan is eligible for a social bond pool</w:t>
      </w:r>
      <w:r w:rsidR="000F4543" w:rsidRPr="00991F19">
        <w:rPr>
          <w:rFonts w:ascii="Times New Roman" w:hAnsi="Times New Roman" w:cs="Times New Roman"/>
        </w:rPr>
        <w:t>; however, for ESG investors it is critical that the attributes used for eligibility clearly and directly relate to a socially</w:t>
      </w:r>
      <w:r w:rsidR="002F05A6" w:rsidRPr="00991F19">
        <w:rPr>
          <w:rFonts w:ascii="Times New Roman" w:hAnsi="Times New Roman" w:cs="Times New Roman"/>
        </w:rPr>
        <w:t xml:space="preserve"> </w:t>
      </w:r>
      <w:r w:rsidR="000F4543" w:rsidRPr="00991F19">
        <w:rPr>
          <w:rFonts w:ascii="Times New Roman" w:hAnsi="Times New Roman" w:cs="Times New Roman"/>
        </w:rPr>
        <w:t>beneficial goal</w:t>
      </w:r>
      <w:r w:rsidRPr="00991F19">
        <w:rPr>
          <w:rFonts w:ascii="Times New Roman" w:hAnsi="Times New Roman" w:cs="Times New Roman"/>
        </w:rPr>
        <w:t xml:space="preserve">.  In our view, investable social bond programs </w:t>
      </w:r>
      <w:r w:rsidR="00821D24" w:rsidRPr="00991F19">
        <w:rPr>
          <w:rFonts w:ascii="Times New Roman" w:hAnsi="Times New Roman" w:cs="Times New Roman"/>
        </w:rPr>
        <w:t xml:space="preserve">for ESG mandates </w:t>
      </w:r>
      <w:r w:rsidR="00020DA3">
        <w:rPr>
          <w:rFonts w:ascii="Times New Roman" w:hAnsi="Times New Roman" w:cs="Times New Roman"/>
        </w:rPr>
        <w:t xml:space="preserve">should </w:t>
      </w:r>
      <w:r w:rsidR="00821D24" w:rsidRPr="00991F19">
        <w:rPr>
          <w:rFonts w:ascii="Times New Roman" w:hAnsi="Times New Roman" w:cs="Times New Roman"/>
        </w:rPr>
        <w:t xml:space="preserve">include </w:t>
      </w:r>
      <w:r w:rsidR="00CE2D6C" w:rsidRPr="00991F19">
        <w:rPr>
          <w:rFonts w:ascii="Times New Roman" w:hAnsi="Times New Roman" w:cs="Times New Roman"/>
        </w:rPr>
        <w:t>borrowers</w:t>
      </w:r>
      <w:r w:rsidR="00020DA3">
        <w:rPr>
          <w:rFonts w:ascii="Times New Roman" w:hAnsi="Times New Roman" w:cs="Times New Roman"/>
        </w:rPr>
        <w:t xml:space="preserve"> with </w:t>
      </w:r>
      <w:r w:rsidR="00CE2D6C" w:rsidRPr="00991F19">
        <w:rPr>
          <w:rFonts w:ascii="Times New Roman" w:hAnsi="Times New Roman" w:cs="Times New Roman"/>
        </w:rPr>
        <w:t>lower homeownership rates relative to other borrowers</w:t>
      </w:r>
      <w:r w:rsidR="00B67116" w:rsidRPr="00991F19">
        <w:rPr>
          <w:rFonts w:ascii="Times New Roman" w:hAnsi="Times New Roman" w:cs="Times New Roman"/>
        </w:rPr>
        <w:t xml:space="preserve">. </w:t>
      </w:r>
    </w:p>
    <w:p w14:paraId="07953240" w14:textId="77777777" w:rsidR="002F05A6" w:rsidRPr="00991F19" w:rsidRDefault="002F05A6" w:rsidP="00991F19">
      <w:pPr>
        <w:spacing w:after="0" w:line="240" w:lineRule="auto"/>
        <w:jc w:val="both"/>
        <w:rPr>
          <w:rFonts w:ascii="Times New Roman" w:hAnsi="Times New Roman" w:cs="Times New Roman"/>
        </w:rPr>
      </w:pPr>
    </w:p>
    <w:p w14:paraId="5979CA5D" w14:textId="712C7048" w:rsidR="00C22463" w:rsidRPr="00991F19" w:rsidRDefault="00020DA3" w:rsidP="00991F19">
      <w:pPr>
        <w:jc w:val="both"/>
        <w:rPr>
          <w:rFonts w:ascii="Times New Roman" w:hAnsi="Times New Roman" w:cs="Times New Roman"/>
        </w:rPr>
      </w:pPr>
      <w:r>
        <w:rPr>
          <w:rFonts w:ascii="Times New Roman" w:hAnsi="Times New Roman" w:cs="Times New Roman"/>
        </w:rPr>
        <w:t xml:space="preserve">The Enterprises could consider eligible loans to borrowers that are </w:t>
      </w:r>
      <w:proofErr w:type="gramStart"/>
      <w:r>
        <w:rPr>
          <w:rFonts w:ascii="Times New Roman" w:hAnsi="Times New Roman" w:cs="Times New Roman"/>
        </w:rPr>
        <w:t>s</w:t>
      </w:r>
      <w:r w:rsidRPr="00991F19">
        <w:rPr>
          <w:rFonts w:ascii="Times New Roman" w:hAnsi="Times New Roman" w:cs="Times New Roman"/>
        </w:rPr>
        <w:t>imilar to</w:t>
      </w:r>
      <w:proofErr w:type="gramEnd"/>
      <w:r w:rsidRPr="00991F19">
        <w:rPr>
          <w:rFonts w:ascii="Times New Roman" w:hAnsi="Times New Roman" w:cs="Times New Roman"/>
        </w:rPr>
        <w:t xml:space="preserve"> what’s included in the Social Index</w:t>
      </w:r>
      <w:r>
        <w:rPr>
          <w:rFonts w:ascii="Times New Roman" w:hAnsi="Times New Roman" w:cs="Times New Roman"/>
        </w:rPr>
        <w:t xml:space="preserve">; however, </w:t>
      </w:r>
      <w:r w:rsidR="00FE71D1" w:rsidRPr="00991F19">
        <w:rPr>
          <w:rFonts w:ascii="Times New Roman" w:hAnsi="Times New Roman" w:cs="Times New Roman"/>
        </w:rPr>
        <w:t xml:space="preserve">Social Index Scores alone are not sufficient to form the basis of a Bond Program </w:t>
      </w:r>
      <w:r>
        <w:rPr>
          <w:rFonts w:ascii="Times New Roman" w:hAnsi="Times New Roman" w:cs="Times New Roman"/>
        </w:rPr>
        <w:t xml:space="preserve">without </w:t>
      </w:r>
      <w:r w:rsidR="00FE71D1" w:rsidRPr="00991F19">
        <w:rPr>
          <w:rFonts w:ascii="Times New Roman" w:hAnsi="Times New Roman" w:cs="Times New Roman"/>
        </w:rPr>
        <w:t xml:space="preserve">transparency related to underlying criteria. The Enterprises’ current Social Index scoring, where an overall score is given without providing detailed information on application </w:t>
      </w:r>
      <w:r w:rsidR="0012355B">
        <w:rPr>
          <w:rFonts w:ascii="Times New Roman" w:hAnsi="Times New Roman" w:cs="Times New Roman"/>
        </w:rPr>
        <w:t xml:space="preserve">of </w:t>
      </w:r>
      <w:r w:rsidR="00FE71D1" w:rsidRPr="00991F19">
        <w:rPr>
          <w:rFonts w:ascii="Times New Roman" w:hAnsi="Times New Roman" w:cs="Times New Roman"/>
        </w:rPr>
        <w:t xml:space="preserve">specific social index categories, is currently not sufficient to allow these bonds to fulfill </w:t>
      </w:r>
      <w:r w:rsidR="0012355B">
        <w:rPr>
          <w:rFonts w:ascii="Times New Roman" w:hAnsi="Times New Roman" w:cs="Times New Roman"/>
        </w:rPr>
        <w:t xml:space="preserve">ESG-focused </w:t>
      </w:r>
      <w:r w:rsidR="00FE71D1" w:rsidRPr="00991F19">
        <w:rPr>
          <w:rFonts w:ascii="Times New Roman" w:hAnsi="Times New Roman" w:cs="Times New Roman"/>
        </w:rPr>
        <w:t xml:space="preserve">mandates. </w:t>
      </w:r>
      <w:r w:rsidR="00C77554" w:rsidRPr="00991F19">
        <w:rPr>
          <w:rFonts w:ascii="Times New Roman" w:hAnsi="Times New Roman" w:cs="Times New Roman"/>
        </w:rPr>
        <w:t>In addition, p</w:t>
      </w:r>
      <w:r w:rsidR="000F0578" w:rsidRPr="00991F19">
        <w:rPr>
          <w:rFonts w:ascii="Times New Roman" w:hAnsi="Times New Roman" w:cs="Times New Roman"/>
        </w:rPr>
        <w:t>roperty level characteristics</w:t>
      </w:r>
      <w:r w:rsidR="00864246" w:rsidRPr="00991F19">
        <w:rPr>
          <w:rFonts w:ascii="Times New Roman" w:hAnsi="Times New Roman" w:cs="Times New Roman"/>
        </w:rPr>
        <w:t xml:space="preserve"> currently included in the </w:t>
      </w:r>
      <w:r w:rsidR="00943737" w:rsidRPr="00991F19">
        <w:rPr>
          <w:rFonts w:ascii="Times New Roman" w:hAnsi="Times New Roman" w:cs="Times New Roman"/>
        </w:rPr>
        <w:t>S</w:t>
      </w:r>
      <w:r w:rsidR="00864246" w:rsidRPr="00991F19">
        <w:rPr>
          <w:rFonts w:ascii="Times New Roman" w:hAnsi="Times New Roman" w:cs="Times New Roman"/>
        </w:rPr>
        <w:t xml:space="preserve">ocial </w:t>
      </w:r>
      <w:r w:rsidR="00943737" w:rsidRPr="00991F19">
        <w:rPr>
          <w:rFonts w:ascii="Times New Roman" w:hAnsi="Times New Roman" w:cs="Times New Roman"/>
        </w:rPr>
        <w:t>I</w:t>
      </w:r>
      <w:r w:rsidR="00864246" w:rsidRPr="00991F19">
        <w:rPr>
          <w:rFonts w:ascii="Times New Roman" w:hAnsi="Times New Roman" w:cs="Times New Roman"/>
        </w:rPr>
        <w:t>ndex</w:t>
      </w:r>
      <w:r w:rsidR="000F0578" w:rsidRPr="00991F19">
        <w:rPr>
          <w:rFonts w:ascii="Times New Roman" w:hAnsi="Times New Roman" w:cs="Times New Roman"/>
        </w:rPr>
        <w:t xml:space="preserve"> </w:t>
      </w:r>
      <w:r w:rsidR="00AC16EE" w:rsidRPr="00991F19">
        <w:rPr>
          <w:rFonts w:ascii="Times New Roman" w:hAnsi="Times New Roman" w:cs="Times New Roman"/>
        </w:rPr>
        <w:t xml:space="preserve">include considerations such as </w:t>
      </w:r>
      <w:r w:rsidR="000F0578" w:rsidRPr="00991F19">
        <w:rPr>
          <w:rFonts w:ascii="Times New Roman" w:hAnsi="Times New Roman" w:cs="Times New Roman"/>
        </w:rPr>
        <w:t xml:space="preserve">low-income areas, </w:t>
      </w:r>
      <w:r w:rsidR="00AC16EE" w:rsidRPr="00991F19">
        <w:rPr>
          <w:rFonts w:ascii="Times New Roman" w:hAnsi="Times New Roman" w:cs="Times New Roman"/>
        </w:rPr>
        <w:t xml:space="preserve">do not guarantee that </w:t>
      </w:r>
      <w:r w:rsidR="0035260E" w:rsidRPr="00991F19">
        <w:rPr>
          <w:rFonts w:ascii="Times New Roman" w:hAnsi="Times New Roman" w:cs="Times New Roman"/>
        </w:rPr>
        <w:t xml:space="preserve">the benefits accrue to </w:t>
      </w:r>
      <w:r w:rsidR="00AC16EE" w:rsidRPr="00991F19">
        <w:rPr>
          <w:rFonts w:ascii="Times New Roman" w:hAnsi="Times New Roman" w:cs="Times New Roman"/>
        </w:rPr>
        <w:t>certain targeted populations</w:t>
      </w:r>
      <w:r w:rsidR="0035260E" w:rsidRPr="00991F19">
        <w:rPr>
          <w:rFonts w:ascii="Times New Roman" w:hAnsi="Times New Roman" w:cs="Times New Roman"/>
        </w:rPr>
        <w:t>.</w:t>
      </w:r>
      <w:r w:rsidR="00FE71D1" w:rsidRPr="00991F19">
        <w:rPr>
          <w:rFonts w:ascii="Times New Roman" w:hAnsi="Times New Roman" w:cs="Times New Roman"/>
        </w:rPr>
        <w:t xml:space="preserve"> </w:t>
      </w:r>
      <w:r w:rsidR="00D7718C">
        <w:rPr>
          <w:rFonts w:ascii="Times New Roman" w:hAnsi="Times New Roman" w:cs="Times New Roman"/>
        </w:rPr>
        <w:t xml:space="preserve">As such, we recommend the Social </w:t>
      </w:r>
      <w:r w:rsidR="00D7718C">
        <w:rPr>
          <w:rFonts w:ascii="Times New Roman" w:hAnsi="Times New Roman" w:cs="Times New Roman"/>
        </w:rPr>
        <w:lastRenderedPageBreak/>
        <w:t>Index be disaggregated where possible, with eligibility for the Bond Framework based solely on income and borrower characteristics (and not property characteristics).</w:t>
      </w:r>
      <w:r w:rsidR="007701A8">
        <w:rPr>
          <w:rFonts w:ascii="Times New Roman" w:hAnsi="Times New Roman" w:cs="Times New Roman"/>
        </w:rPr>
        <w:t xml:space="preserve"> Furthermore, w</w:t>
      </w:r>
      <w:r w:rsidR="009B77B6" w:rsidRPr="00991F19">
        <w:rPr>
          <w:rFonts w:ascii="Times New Roman" w:hAnsi="Times New Roman" w:cs="Times New Roman"/>
        </w:rPr>
        <w:t>e recommend t</w:t>
      </w:r>
      <w:r w:rsidR="00943737" w:rsidRPr="00991F19">
        <w:rPr>
          <w:rFonts w:ascii="Times New Roman" w:hAnsi="Times New Roman" w:cs="Times New Roman"/>
        </w:rPr>
        <w:t>hat any program</w:t>
      </w:r>
      <w:r w:rsidR="009B77B6" w:rsidRPr="00991F19">
        <w:rPr>
          <w:rFonts w:ascii="Times New Roman" w:hAnsi="Times New Roman" w:cs="Times New Roman"/>
        </w:rPr>
        <w:t xml:space="preserve"> </w:t>
      </w:r>
      <w:r w:rsidR="00C22463" w:rsidRPr="00991F19">
        <w:rPr>
          <w:rFonts w:ascii="Times New Roman" w:hAnsi="Times New Roman" w:cs="Times New Roman"/>
        </w:rPr>
        <w:t>explicitly exclude loans where the loan purpose is identified as being for an investment property, second home or vacation property</w:t>
      </w:r>
      <w:r w:rsidR="00B67116" w:rsidRPr="00991F19">
        <w:rPr>
          <w:rFonts w:ascii="Times New Roman" w:hAnsi="Times New Roman" w:cs="Times New Roman"/>
        </w:rPr>
        <w:t xml:space="preserve">. </w:t>
      </w:r>
      <w:r w:rsidR="007521E3">
        <w:rPr>
          <w:rFonts w:ascii="Times New Roman" w:hAnsi="Times New Roman" w:cs="Times New Roman"/>
        </w:rPr>
        <w:t xml:space="preserve"> </w:t>
      </w:r>
    </w:p>
    <w:p w14:paraId="0F1EAC3B" w14:textId="43FF10E0" w:rsidR="00A06A76" w:rsidRDefault="000F0578" w:rsidP="00991F19">
      <w:pPr>
        <w:spacing w:after="0" w:line="240" w:lineRule="auto"/>
        <w:jc w:val="both"/>
        <w:rPr>
          <w:rFonts w:ascii="Times New Roman" w:hAnsi="Times New Roman" w:cs="Times New Roman"/>
        </w:rPr>
      </w:pPr>
      <w:r w:rsidRPr="00991F19">
        <w:rPr>
          <w:rFonts w:ascii="Times New Roman" w:hAnsi="Times New Roman" w:cs="Times New Roman"/>
        </w:rPr>
        <w:t xml:space="preserve">It’s </w:t>
      </w:r>
      <w:r w:rsidR="00C22463" w:rsidRPr="00991F19">
        <w:rPr>
          <w:rFonts w:ascii="Times New Roman" w:hAnsi="Times New Roman" w:cs="Times New Roman"/>
        </w:rPr>
        <w:t xml:space="preserve">also </w:t>
      </w:r>
      <w:r w:rsidRPr="00991F19">
        <w:rPr>
          <w:rFonts w:ascii="Times New Roman" w:hAnsi="Times New Roman" w:cs="Times New Roman"/>
        </w:rPr>
        <w:t>crucial</w:t>
      </w:r>
      <w:r w:rsidR="00C22463" w:rsidRPr="00991F19">
        <w:rPr>
          <w:rFonts w:ascii="Times New Roman" w:hAnsi="Times New Roman" w:cs="Times New Roman"/>
        </w:rPr>
        <w:t xml:space="preserve"> </w:t>
      </w:r>
      <w:r w:rsidR="00A06A76" w:rsidRPr="00991F19">
        <w:rPr>
          <w:rFonts w:ascii="Times New Roman" w:hAnsi="Times New Roman" w:cs="Times New Roman"/>
        </w:rPr>
        <w:t>that there be an element of “do no significant harm” built into the eligibility</w:t>
      </w:r>
      <w:r w:rsidR="00B67116" w:rsidRPr="00991F19">
        <w:rPr>
          <w:rFonts w:ascii="Times New Roman" w:hAnsi="Times New Roman" w:cs="Times New Roman"/>
        </w:rPr>
        <w:t xml:space="preserve"> </w:t>
      </w:r>
      <w:r w:rsidR="00A06A76" w:rsidRPr="00991F19">
        <w:rPr>
          <w:rFonts w:ascii="Times New Roman" w:hAnsi="Times New Roman" w:cs="Times New Roman"/>
        </w:rPr>
        <w:t>requirements</w:t>
      </w:r>
      <w:r w:rsidR="00C10D2D" w:rsidRPr="00991F19">
        <w:rPr>
          <w:rFonts w:ascii="Times New Roman" w:hAnsi="Times New Roman" w:cs="Times New Roman"/>
        </w:rPr>
        <w:t xml:space="preserve">. </w:t>
      </w:r>
      <w:r w:rsidR="00A06A76" w:rsidRPr="00991F19">
        <w:rPr>
          <w:rFonts w:ascii="Times New Roman" w:hAnsi="Times New Roman" w:cs="Times New Roman"/>
        </w:rPr>
        <w:t>Existing and proposed ESG-related regulations</w:t>
      </w:r>
      <w:r w:rsidR="00C10D2D" w:rsidRPr="00991F19">
        <w:rPr>
          <w:rFonts w:ascii="Times New Roman" w:hAnsi="Times New Roman" w:cs="Times New Roman"/>
        </w:rPr>
        <w:t xml:space="preserve">, such as the </w:t>
      </w:r>
      <w:r w:rsidR="00A06A76" w:rsidRPr="00991F19">
        <w:rPr>
          <w:rFonts w:ascii="Times New Roman" w:hAnsi="Times New Roman" w:cs="Times New Roman"/>
        </w:rPr>
        <w:t xml:space="preserve">EU’s </w:t>
      </w:r>
      <w:r w:rsidR="00943737" w:rsidRPr="00991F19">
        <w:rPr>
          <w:rFonts w:ascii="Times New Roman" w:hAnsi="Times New Roman" w:cs="Times New Roman"/>
        </w:rPr>
        <w:t>Regulation (EU) 2019/2088 (“SFDR”),</w:t>
      </w:r>
      <w:r w:rsidR="00943737" w:rsidRPr="00991F19">
        <w:rPr>
          <w:rFonts w:ascii="Times New Roman" w:hAnsi="Times New Roman" w:cs="Times New Roman"/>
          <w:vertAlign w:val="superscript"/>
        </w:rPr>
        <w:footnoteReference w:id="2"/>
      </w:r>
      <w:r w:rsidR="00A06A76" w:rsidRPr="00991F19">
        <w:rPr>
          <w:rFonts w:ascii="Times New Roman" w:hAnsi="Times New Roman" w:cs="Times New Roman"/>
        </w:rPr>
        <w:t xml:space="preserve"> often specify that</w:t>
      </w:r>
      <w:r w:rsidR="00C10D2D" w:rsidRPr="00991F19">
        <w:rPr>
          <w:rFonts w:ascii="Times New Roman" w:hAnsi="Times New Roman" w:cs="Times New Roman"/>
        </w:rPr>
        <w:t xml:space="preserve">, </w:t>
      </w:r>
      <w:proofErr w:type="gramStart"/>
      <w:r w:rsidR="00C10D2D" w:rsidRPr="00991F19">
        <w:rPr>
          <w:rFonts w:ascii="Times New Roman" w:hAnsi="Times New Roman" w:cs="Times New Roman"/>
        </w:rPr>
        <w:t xml:space="preserve">in order </w:t>
      </w:r>
      <w:r w:rsidR="00A06A76" w:rsidRPr="00991F19">
        <w:rPr>
          <w:rFonts w:ascii="Times New Roman" w:hAnsi="Times New Roman" w:cs="Times New Roman"/>
        </w:rPr>
        <w:t>for</w:t>
      </w:r>
      <w:proofErr w:type="gramEnd"/>
      <w:r w:rsidR="00A06A76" w:rsidRPr="00991F19">
        <w:rPr>
          <w:rFonts w:ascii="Times New Roman" w:hAnsi="Times New Roman" w:cs="Times New Roman"/>
        </w:rPr>
        <w:t xml:space="preserve"> investments to qualify as </w:t>
      </w:r>
      <w:r w:rsidR="00C10D2D" w:rsidRPr="00991F19">
        <w:rPr>
          <w:rFonts w:ascii="Times New Roman" w:hAnsi="Times New Roman" w:cs="Times New Roman"/>
        </w:rPr>
        <w:t>“</w:t>
      </w:r>
      <w:r w:rsidR="00A06A76" w:rsidRPr="00991F19">
        <w:rPr>
          <w:rFonts w:ascii="Times New Roman" w:hAnsi="Times New Roman" w:cs="Times New Roman"/>
        </w:rPr>
        <w:t>sustainable</w:t>
      </w:r>
      <w:r w:rsidR="00C10D2D" w:rsidRPr="00991F19">
        <w:rPr>
          <w:rFonts w:ascii="Times New Roman" w:hAnsi="Times New Roman" w:cs="Times New Roman"/>
        </w:rPr>
        <w:t xml:space="preserve">” </w:t>
      </w:r>
      <w:r w:rsidR="00A06A76" w:rsidRPr="00991F19">
        <w:rPr>
          <w:rFonts w:ascii="Times New Roman" w:hAnsi="Times New Roman" w:cs="Times New Roman"/>
        </w:rPr>
        <w:t xml:space="preserve">they must </w:t>
      </w:r>
      <w:r w:rsidR="00C10D2D" w:rsidRPr="00991F19">
        <w:rPr>
          <w:rFonts w:ascii="Times New Roman" w:hAnsi="Times New Roman" w:cs="Times New Roman"/>
        </w:rPr>
        <w:t xml:space="preserve">demonstrate that they </w:t>
      </w:r>
      <w:r w:rsidR="00A06A76" w:rsidRPr="00991F19">
        <w:rPr>
          <w:rFonts w:ascii="Times New Roman" w:hAnsi="Times New Roman" w:cs="Times New Roman"/>
        </w:rPr>
        <w:t xml:space="preserve">do no significant harm to </w:t>
      </w:r>
      <w:r w:rsidR="00C10D2D" w:rsidRPr="00991F19">
        <w:rPr>
          <w:rFonts w:ascii="Times New Roman" w:hAnsi="Times New Roman" w:cs="Times New Roman"/>
        </w:rPr>
        <w:t xml:space="preserve">certain environmental or social characteristics. Thus, as part </w:t>
      </w:r>
      <w:r w:rsidR="00C10D2D" w:rsidRPr="00081838">
        <w:rPr>
          <w:rFonts w:ascii="Times New Roman" w:hAnsi="Times New Roman" w:cs="Times New Roman"/>
        </w:rPr>
        <w:t xml:space="preserve">of our analysis it becomes critical to </w:t>
      </w:r>
      <w:r w:rsidR="00A06A76" w:rsidRPr="00081838">
        <w:rPr>
          <w:rFonts w:ascii="Times New Roman" w:hAnsi="Times New Roman" w:cs="Times New Roman"/>
        </w:rPr>
        <w:t xml:space="preserve">understand any potential </w:t>
      </w:r>
      <w:r w:rsidR="00C10D2D" w:rsidRPr="00081838">
        <w:rPr>
          <w:rFonts w:ascii="Times New Roman" w:hAnsi="Times New Roman" w:cs="Times New Roman"/>
        </w:rPr>
        <w:t xml:space="preserve">environmental or social </w:t>
      </w:r>
      <w:r w:rsidR="00A06A76" w:rsidRPr="00081838">
        <w:rPr>
          <w:rFonts w:ascii="Times New Roman" w:hAnsi="Times New Roman" w:cs="Times New Roman"/>
        </w:rPr>
        <w:t>trade-offs involved</w:t>
      </w:r>
      <w:r w:rsidR="00C10D2D" w:rsidRPr="00081838">
        <w:rPr>
          <w:rFonts w:ascii="Times New Roman" w:hAnsi="Times New Roman" w:cs="Times New Roman"/>
        </w:rPr>
        <w:t>.</w:t>
      </w:r>
      <w:r w:rsidR="00591AD2" w:rsidRPr="00081838">
        <w:rPr>
          <w:rFonts w:ascii="Times New Roman" w:hAnsi="Times New Roman" w:cs="Times New Roman"/>
        </w:rPr>
        <w:t xml:space="preserve"> For example, </w:t>
      </w:r>
      <w:r w:rsidR="00081838" w:rsidRPr="00F45209">
        <w:rPr>
          <w:rFonts w:ascii="Times New Roman" w:hAnsi="Times New Roman" w:cs="Times New Roman"/>
        </w:rPr>
        <w:t>th</w:t>
      </w:r>
      <w:r w:rsidR="00F11490">
        <w:rPr>
          <w:rFonts w:ascii="Times New Roman" w:hAnsi="Times New Roman" w:cs="Times New Roman"/>
        </w:rPr>
        <w:t>e</w:t>
      </w:r>
      <w:r w:rsidR="00081838" w:rsidRPr="00F45209">
        <w:rPr>
          <w:rFonts w:ascii="Times New Roman" w:hAnsi="Times New Roman" w:cs="Times New Roman"/>
        </w:rPr>
        <w:t xml:space="preserve"> Bond Program should not</w:t>
      </w:r>
      <w:r w:rsidR="00591AD2" w:rsidRPr="00081838">
        <w:rPr>
          <w:rFonts w:ascii="Times New Roman" w:hAnsi="Times New Roman" w:cs="Times New Roman"/>
        </w:rPr>
        <w:t xml:space="preserve"> encourage homebuilding in areas </w:t>
      </w:r>
      <w:r w:rsidR="00081838" w:rsidRPr="00081838">
        <w:rPr>
          <w:rFonts w:ascii="Times New Roman" w:hAnsi="Times New Roman" w:cs="Times New Roman"/>
        </w:rPr>
        <w:t xml:space="preserve">with known environmental risks (e.g., in FEMA-designated flood zones) or with significant environmental hazards to health and well-being (e.g., areas with contaminated groundwater; high levels of ambient pollution; severe noise pollution; </w:t>
      </w:r>
      <w:proofErr w:type="gramStart"/>
      <w:r w:rsidR="00081838" w:rsidRPr="00081838">
        <w:rPr>
          <w:rFonts w:ascii="Times New Roman" w:hAnsi="Times New Roman" w:cs="Times New Roman"/>
        </w:rPr>
        <w:t>in close proximity to</w:t>
      </w:r>
      <w:proofErr w:type="gramEnd"/>
      <w:r w:rsidR="00081838" w:rsidRPr="00081838">
        <w:rPr>
          <w:rFonts w:ascii="Times New Roman" w:hAnsi="Times New Roman" w:cs="Times New Roman"/>
        </w:rPr>
        <w:t xml:space="preserve"> potentially hazardous facilities such as refineries, chemical plants, landfills, etc.).</w:t>
      </w:r>
      <w:r w:rsidR="00591AD2" w:rsidRPr="00081838">
        <w:rPr>
          <w:rFonts w:ascii="Times New Roman" w:hAnsi="Times New Roman" w:cs="Times New Roman"/>
        </w:rPr>
        <w:t xml:space="preserve"> </w:t>
      </w:r>
      <w:r w:rsidR="00081838" w:rsidRPr="00F45209">
        <w:rPr>
          <w:rFonts w:ascii="Times New Roman" w:hAnsi="Times New Roman" w:cs="Times New Roman"/>
        </w:rPr>
        <w:t>Further</w:t>
      </w:r>
      <w:r w:rsidR="00591AD2" w:rsidRPr="00081838">
        <w:rPr>
          <w:rFonts w:ascii="Times New Roman" w:hAnsi="Times New Roman" w:cs="Times New Roman"/>
        </w:rPr>
        <w:t>,</w:t>
      </w:r>
      <w:r w:rsidR="00B906B2">
        <w:rPr>
          <w:rFonts w:ascii="Times New Roman" w:hAnsi="Times New Roman" w:cs="Times New Roman"/>
        </w:rPr>
        <w:t xml:space="preserve"> </w:t>
      </w:r>
      <w:r w:rsidR="00F11490">
        <w:rPr>
          <w:rFonts w:ascii="Times New Roman" w:hAnsi="Times New Roman" w:cs="Times New Roman"/>
        </w:rPr>
        <w:t xml:space="preserve">in our view, </w:t>
      </w:r>
      <w:r w:rsidR="00081838" w:rsidRPr="00F45209">
        <w:rPr>
          <w:rFonts w:ascii="Times New Roman" w:hAnsi="Times New Roman" w:cs="Times New Roman"/>
        </w:rPr>
        <w:t>th</w:t>
      </w:r>
      <w:r w:rsidR="00F11490">
        <w:rPr>
          <w:rFonts w:ascii="Times New Roman" w:hAnsi="Times New Roman" w:cs="Times New Roman"/>
        </w:rPr>
        <w:t>e</w:t>
      </w:r>
      <w:r w:rsidR="00081838" w:rsidRPr="00F45209">
        <w:rPr>
          <w:rFonts w:ascii="Times New Roman" w:hAnsi="Times New Roman" w:cs="Times New Roman"/>
        </w:rPr>
        <w:t xml:space="preserve"> Bond </w:t>
      </w:r>
      <w:r w:rsidR="00F11490">
        <w:rPr>
          <w:rFonts w:ascii="Times New Roman" w:hAnsi="Times New Roman" w:cs="Times New Roman"/>
        </w:rPr>
        <w:t xml:space="preserve">Program </w:t>
      </w:r>
      <w:r w:rsidR="00081838" w:rsidRPr="00F45209">
        <w:rPr>
          <w:rFonts w:ascii="Times New Roman" w:hAnsi="Times New Roman" w:cs="Times New Roman"/>
        </w:rPr>
        <w:t>should not encourage homeowners to buy homes they cannot afford</w:t>
      </w:r>
      <w:r w:rsidR="00591AD2" w:rsidRPr="00081838">
        <w:rPr>
          <w:rFonts w:ascii="Times New Roman" w:hAnsi="Times New Roman" w:cs="Times New Roman"/>
        </w:rPr>
        <w:t>.</w:t>
      </w:r>
      <w:r w:rsidR="00C10D2D" w:rsidRPr="00081838">
        <w:rPr>
          <w:rFonts w:ascii="Times New Roman" w:hAnsi="Times New Roman" w:cs="Times New Roman"/>
        </w:rPr>
        <w:t xml:space="preserve"> To the extent that </w:t>
      </w:r>
      <w:r w:rsidR="00A06A76" w:rsidRPr="00081838">
        <w:rPr>
          <w:rFonts w:ascii="Times New Roman" w:hAnsi="Times New Roman" w:cs="Times New Roman"/>
        </w:rPr>
        <w:t xml:space="preserve">trade-offs </w:t>
      </w:r>
      <w:r w:rsidR="00C10D2D" w:rsidRPr="00081838">
        <w:rPr>
          <w:rFonts w:ascii="Times New Roman" w:hAnsi="Times New Roman" w:cs="Times New Roman"/>
        </w:rPr>
        <w:t xml:space="preserve">can be </w:t>
      </w:r>
      <w:r w:rsidR="00A06A76" w:rsidRPr="00081838">
        <w:rPr>
          <w:rFonts w:ascii="Times New Roman" w:hAnsi="Times New Roman" w:cs="Times New Roman"/>
        </w:rPr>
        <w:t xml:space="preserve">minimized, the more useful the </w:t>
      </w:r>
      <w:r w:rsidR="00B906B2">
        <w:rPr>
          <w:rFonts w:ascii="Times New Roman" w:hAnsi="Times New Roman" w:cs="Times New Roman"/>
        </w:rPr>
        <w:t xml:space="preserve">Bond Program </w:t>
      </w:r>
      <w:r w:rsidR="00A06A76" w:rsidRPr="00081838">
        <w:rPr>
          <w:rFonts w:ascii="Times New Roman" w:hAnsi="Times New Roman" w:cs="Times New Roman"/>
        </w:rPr>
        <w:t>will be to ESG-oriented investors</w:t>
      </w:r>
      <w:r w:rsidR="00AC16EE" w:rsidRPr="00081838">
        <w:rPr>
          <w:rFonts w:ascii="Times New Roman" w:hAnsi="Times New Roman" w:cs="Times New Roman"/>
        </w:rPr>
        <w:t>.</w:t>
      </w:r>
      <w:r w:rsidR="00A93BB5" w:rsidRPr="00081838">
        <w:rPr>
          <w:rFonts w:ascii="Times New Roman" w:hAnsi="Times New Roman" w:cs="Times New Roman"/>
        </w:rPr>
        <w:t xml:space="preserve"> </w:t>
      </w:r>
      <w:proofErr w:type="gramStart"/>
      <w:r w:rsidR="00591AD2" w:rsidRPr="00081838">
        <w:rPr>
          <w:rFonts w:ascii="Times New Roman" w:hAnsi="Times New Roman" w:cs="Times New Roman"/>
        </w:rPr>
        <w:t>This is why</w:t>
      </w:r>
      <w:proofErr w:type="gramEnd"/>
      <w:r w:rsidR="00591AD2" w:rsidRPr="00081838">
        <w:rPr>
          <w:rFonts w:ascii="Times New Roman" w:hAnsi="Times New Roman" w:cs="Times New Roman"/>
        </w:rPr>
        <w:t xml:space="preserve"> environmental disclosure and </w:t>
      </w:r>
      <w:r w:rsidR="00D05D3F">
        <w:rPr>
          <w:rFonts w:ascii="Times New Roman" w:hAnsi="Times New Roman" w:cs="Times New Roman"/>
        </w:rPr>
        <w:t xml:space="preserve">programs such as </w:t>
      </w:r>
      <w:r w:rsidR="00591AD2" w:rsidRPr="00081838">
        <w:rPr>
          <w:rFonts w:ascii="Times New Roman" w:hAnsi="Times New Roman" w:cs="Times New Roman"/>
        </w:rPr>
        <w:t xml:space="preserve">homeowner counseling are so crucial to this framework. </w:t>
      </w:r>
      <w:r w:rsidR="00A93BB5" w:rsidRPr="00991F19">
        <w:rPr>
          <w:rFonts w:ascii="Times New Roman" w:hAnsi="Times New Roman" w:cs="Times New Roman"/>
        </w:rPr>
        <w:t xml:space="preserve">While PGIM </w:t>
      </w:r>
      <w:r w:rsidR="00991F19">
        <w:rPr>
          <w:rFonts w:ascii="Times New Roman" w:hAnsi="Times New Roman" w:cs="Times New Roman"/>
        </w:rPr>
        <w:t xml:space="preserve">Fixed Income </w:t>
      </w:r>
      <w:r w:rsidR="00A93BB5" w:rsidRPr="00991F19">
        <w:rPr>
          <w:rFonts w:ascii="Times New Roman" w:hAnsi="Times New Roman" w:cs="Times New Roman"/>
        </w:rPr>
        <w:t xml:space="preserve">does not aim to comment on policy-related issues, to classify an investment as “sustainable” under SFDR we are required to address </w:t>
      </w:r>
      <w:r w:rsidR="00FE71D1" w:rsidRPr="00991F19">
        <w:rPr>
          <w:rFonts w:ascii="Times New Roman" w:hAnsi="Times New Roman" w:cs="Times New Roman"/>
        </w:rPr>
        <w:t>the “do no significant harm” principl</w:t>
      </w:r>
      <w:r w:rsidR="0012355B">
        <w:rPr>
          <w:rFonts w:ascii="Times New Roman" w:hAnsi="Times New Roman" w:cs="Times New Roman"/>
        </w:rPr>
        <w:t>e</w:t>
      </w:r>
      <w:r w:rsidR="00FE71D1" w:rsidRPr="00991F19">
        <w:rPr>
          <w:rFonts w:ascii="Times New Roman" w:hAnsi="Times New Roman" w:cs="Times New Roman"/>
        </w:rPr>
        <w:t xml:space="preserve">. </w:t>
      </w:r>
      <w:r w:rsidR="00AC16EE" w:rsidRPr="00991F19">
        <w:rPr>
          <w:rFonts w:ascii="Times New Roman" w:hAnsi="Times New Roman" w:cs="Times New Roman"/>
        </w:rPr>
        <w:t xml:space="preserve"> </w:t>
      </w:r>
    </w:p>
    <w:p w14:paraId="6AB31856" w14:textId="77777777" w:rsidR="00A82E62" w:rsidRPr="00991F19" w:rsidRDefault="00A82E62" w:rsidP="00991F19">
      <w:pPr>
        <w:spacing w:after="0" w:line="240" w:lineRule="auto"/>
        <w:jc w:val="both"/>
        <w:rPr>
          <w:rFonts w:ascii="Times New Roman" w:hAnsi="Times New Roman" w:cs="Times New Roman"/>
        </w:rPr>
      </w:pPr>
    </w:p>
    <w:p w14:paraId="10751DCA" w14:textId="77777777" w:rsidR="00943737" w:rsidRPr="00991F19" w:rsidRDefault="00943737" w:rsidP="00991F19">
      <w:pPr>
        <w:spacing w:after="0" w:line="240" w:lineRule="auto"/>
        <w:jc w:val="both"/>
        <w:rPr>
          <w:rFonts w:ascii="Times New Roman" w:hAnsi="Times New Roman" w:cs="Times New Roman"/>
          <w:sz w:val="24"/>
          <w:szCs w:val="24"/>
        </w:rPr>
      </w:pPr>
    </w:p>
    <w:p w14:paraId="10F3434B" w14:textId="3D8CDCDC" w:rsidR="00793D7F" w:rsidRPr="00991F19" w:rsidRDefault="005D1349" w:rsidP="00991F19">
      <w:pPr>
        <w:jc w:val="both"/>
        <w:rPr>
          <w:rFonts w:ascii="Times New Roman" w:hAnsi="Times New Roman" w:cs="Times New Roman"/>
          <w:b/>
          <w:bCs/>
        </w:rPr>
      </w:pPr>
      <w:r w:rsidRPr="00991F19">
        <w:rPr>
          <w:rFonts w:ascii="Times New Roman" w:hAnsi="Times New Roman" w:cs="Times New Roman"/>
          <w:b/>
          <w:bCs/>
        </w:rPr>
        <w:t xml:space="preserve">Disclosures and Borrower Reidentification </w:t>
      </w:r>
    </w:p>
    <w:p w14:paraId="3DDD254F" w14:textId="77777777" w:rsidR="00615388" w:rsidRPr="00991F19" w:rsidRDefault="00615388" w:rsidP="00991F19">
      <w:pPr>
        <w:spacing w:after="0" w:line="240" w:lineRule="auto"/>
        <w:jc w:val="both"/>
        <w:rPr>
          <w:rFonts w:ascii="Times New Roman" w:hAnsi="Times New Roman" w:cs="Times New Roman"/>
          <w:b/>
          <w:bCs/>
          <w:i/>
          <w:iCs/>
          <w:color w:val="2E74B5" w:themeColor="accent5" w:themeShade="BF"/>
        </w:rPr>
      </w:pPr>
      <w:r w:rsidRPr="00991F19">
        <w:rPr>
          <w:rFonts w:ascii="Times New Roman" w:hAnsi="Times New Roman" w:cs="Times New Roman"/>
          <w:b/>
          <w:bCs/>
          <w:i/>
          <w:iCs/>
          <w:color w:val="2E74B5" w:themeColor="accent5" w:themeShade="BF"/>
        </w:rPr>
        <w:t xml:space="preserve">D-2: What incremental insights or additional disclosures do ESG investors need to appropriately evaluate social bonds? For each proposed insight or disclosure (e.g., borrower income band), should it be provided at the loan-level, pool- level, cohort-level, or some other level, or should some type of masking be employed? How would that additional disclosure aid investment decisions? To what extent would a specific disclosure increase the risk of borrower reidentification or provide sensitive, personal insight into the borrower? </w:t>
      </w:r>
      <w:r w:rsidRPr="00991F19">
        <w:rPr>
          <w:rFonts w:ascii="Times New Roman" w:hAnsi="Times New Roman" w:cs="Times New Roman"/>
          <w:b/>
          <w:bCs/>
          <w:i/>
          <w:iCs/>
          <w:color w:val="2E74B5" w:themeColor="accent5" w:themeShade="BF"/>
        </w:rPr>
        <w:tab/>
      </w:r>
    </w:p>
    <w:p w14:paraId="67ED2253" w14:textId="77777777" w:rsidR="00615388" w:rsidRPr="00991F19" w:rsidRDefault="00615388" w:rsidP="00991F19">
      <w:pPr>
        <w:spacing w:after="0" w:line="240" w:lineRule="auto"/>
        <w:jc w:val="both"/>
        <w:rPr>
          <w:rFonts w:ascii="Times New Roman" w:hAnsi="Times New Roman" w:cs="Times New Roman"/>
        </w:rPr>
      </w:pPr>
    </w:p>
    <w:p w14:paraId="52C75E9A" w14:textId="712C56D9" w:rsidR="000609B2" w:rsidRPr="000609B2" w:rsidRDefault="000609B2" w:rsidP="000609B2">
      <w:pPr>
        <w:spacing w:after="0" w:line="240" w:lineRule="auto"/>
        <w:jc w:val="both"/>
        <w:rPr>
          <w:rFonts w:ascii="Times New Roman" w:hAnsi="Times New Roman" w:cs="Times New Roman"/>
        </w:rPr>
      </w:pPr>
      <w:proofErr w:type="gramStart"/>
      <w:r w:rsidRPr="000609B2">
        <w:rPr>
          <w:rFonts w:ascii="Times New Roman" w:hAnsi="Times New Roman" w:cs="Times New Roman"/>
        </w:rPr>
        <w:t>In order to</w:t>
      </w:r>
      <w:proofErr w:type="gramEnd"/>
      <w:r w:rsidRPr="000609B2">
        <w:rPr>
          <w:rFonts w:ascii="Times New Roman" w:hAnsi="Times New Roman" w:cs="Times New Roman"/>
        </w:rPr>
        <w:t xml:space="preserve"> assess eligibility, ESG investors will need to understand the basic elements of what makes a bond “social”, including how these pools differ from standard borrower pools outside of the </w:t>
      </w:r>
      <w:r w:rsidR="00F76BEB">
        <w:rPr>
          <w:rFonts w:ascii="Times New Roman" w:hAnsi="Times New Roman" w:cs="Times New Roman"/>
        </w:rPr>
        <w:t>Bond Program</w:t>
      </w:r>
      <w:r w:rsidRPr="000609B2">
        <w:rPr>
          <w:rFonts w:ascii="Times New Roman" w:hAnsi="Times New Roman" w:cs="Times New Roman"/>
        </w:rPr>
        <w:t xml:space="preserve">. Importantly, one single score will not be sufficient for these purposes, and more disclosure is needed about the borrowers in the pool. While sharing personal identifiable information (PII) is not our objective, disclosing information on the share of borrowers in the pool above/below certain social thresholds would help us assess the ESG benefits of the pool </w:t>
      </w:r>
      <w:r w:rsidR="00F11490">
        <w:rPr>
          <w:rFonts w:ascii="Times New Roman" w:hAnsi="Times New Roman" w:cs="Times New Roman"/>
        </w:rPr>
        <w:t xml:space="preserve">as related to our </w:t>
      </w:r>
      <w:r w:rsidRPr="000609B2">
        <w:rPr>
          <w:rFonts w:ascii="Times New Roman" w:hAnsi="Times New Roman" w:cs="Times New Roman"/>
        </w:rPr>
        <w:t>own internal methodology. For example, disclosing the portion of the pool that is below a specific AMI threshold can help ensure the overall pool is appropriate for a social bond without having to access loan-level data.</w:t>
      </w:r>
    </w:p>
    <w:p w14:paraId="45851402" w14:textId="77777777" w:rsidR="000609B2" w:rsidRPr="000609B2" w:rsidRDefault="000609B2" w:rsidP="000609B2">
      <w:pPr>
        <w:spacing w:after="0" w:line="240" w:lineRule="auto"/>
        <w:jc w:val="both"/>
        <w:rPr>
          <w:rFonts w:ascii="Times New Roman" w:hAnsi="Times New Roman" w:cs="Times New Roman"/>
        </w:rPr>
      </w:pPr>
    </w:p>
    <w:p w14:paraId="2B9D0AE7" w14:textId="2A754FDF" w:rsidR="000E5697" w:rsidRDefault="000609B2" w:rsidP="00153DC5">
      <w:pPr>
        <w:jc w:val="both"/>
        <w:rPr>
          <w:rFonts w:ascii="Times New Roman" w:hAnsi="Times New Roman" w:cs="Times New Roman"/>
        </w:rPr>
      </w:pPr>
      <w:r w:rsidRPr="000609B2">
        <w:rPr>
          <w:rFonts w:ascii="Times New Roman" w:hAnsi="Times New Roman" w:cs="Times New Roman"/>
        </w:rPr>
        <w:t xml:space="preserve">The use of the pay-ups </w:t>
      </w:r>
      <w:r>
        <w:rPr>
          <w:rFonts w:ascii="Times New Roman" w:hAnsi="Times New Roman" w:cs="Times New Roman"/>
        </w:rPr>
        <w:t xml:space="preserve">is just as important as the </w:t>
      </w:r>
      <w:r w:rsidRPr="000609B2">
        <w:rPr>
          <w:rFonts w:ascii="Times New Roman" w:hAnsi="Times New Roman" w:cs="Times New Roman"/>
        </w:rPr>
        <w:t xml:space="preserve">composition of the </w:t>
      </w:r>
      <w:r w:rsidR="00F11490">
        <w:rPr>
          <w:rFonts w:ascii="Times New Roman" w:hAnsi="Times New Roman" w:cs="Times New Roman"/>
        </w:rPr>
        <w:t xml:space="preserve">Bond Program </w:t>
      </w:r>
      <w:r w:rsidRPr="000609B2">
        <w:rPr>
          <w:rFonts w:ascii="Times New Roman" w:hAnsi="Times New Roman" w:cs="Times New Roman"/>
        </w:rPr>
        <w:t>pool</w:t>
      </w:r>
      <w:r>
        <w:rPr>
          <w:rFonts w:ascii="Times New Roman" w:hAnsi="Times New Roman" w:cs="Times New Roman"/>
        </w:rPr>
        <w:t>.</w:t>
      </w:r>
      <w:r w:rsidRPr="000609B2">
        <w:rPr>
          <w:rFonts w:ascii="Times New Roman" w:hAnsi="Times New Roman" w:cs="Times New Roman"/>
        </w:rPr>
        <w:t xml:space="preserve"> There needs to be clear evidence that the pay-ups are used to directly benefit borrowers by improving housing affordability, </w:t>
      </w:r>
      <w:proofErr w:type="gramStart"/>
      <w:r w:rsidRPr="000609B2">
        <w:rPr>
          <w:rFonts w:ascii="Times New Roman" w:hAnsi="Times New Roman" w:cs="Times New Roman"/>
        </w:rPr>
        <w:t>sustainability</w:t>
      </w:r>
      <w:proofErr w:type="gramEnd"/>
      <w:r w:rsidRPr="000609B2">
        <w:rPr>
          <w:rFonts w:ascii="Times New Roman" w:hAnsi="Times New Roman" w:cs="Times New Roman"/>
        </w:rPr>
        <w:t xml:space="preserve"> and environmental factors.  </w:t>
      </w:r>
      <w:r w:rsidR="00B906B2">
        <w:rPr>
          <w:rFonts w:ascii="Times New Roman" w:hAnsi="Times New Roman" w:cs="Times New Roman"/>
        </w:rPr>
        <w:t>In our view, n</w:t>
      </w:r>
      <w:r w:rsidRPr="000609B2">
        <w:rPr>
          <w:rFonts w:ascii="Times New Roman" w:hAnsi="Times New Roman" w:cs="Times New Roman"/>
        </w:rPr>
        <w:t xml:space="preserve">ew disclosures will be needed around how these pay-ups were used.  For ease of disclosure, we recommend that these pay-ups be controlled by the GSEs, ideally through utilizing the cash window.  Transparency around pay-ups is crucial to </w:t>
      </w:r>
      <w:r w:rsidR="00F11490">
        <w:rPr>
          <w:rFonts w:ascii="Times New Roman" w:hAnsi="Times New Roman" w:cs="Times New Roman"/>
        </w:rPr>
        <w:t xml:space="preserve">understanding and analyzing whether the Bond Program is </w:t>
      </w:r>
      <w:r w:rsidRPr="000609B2">
        <w:rPr>
          <w:rFonts w:ascii="Times New Roman" w:hAnsi="Times New Roman" w:cs="Times New Roman"/>
        </w:rPr>
        <w:t>positively impacting the targeted population.</w:t>
      </w:r>
    </w:p>
    <w:p w14:paraId="0F64E513" w14:textId="6A393174" w:rsidR="00591AD2" w:rsidRPr="00F45209" w:rsidRDefault="007701A8" w:rsidP="00153DC5">
      <w:pPr>
        <w:jc w:val="both"/>
        <w:rPr>
          <w:rFonts w:ascii="Times New Roman" w:hAnsi="Times New Roman" w:cs="Times New Roman"/>
        </w:rPr>
      </w:pPr>
      <w:r>
        <w:rPr>
          <w:rFonts w:ascii="Times New Roman" w:hAnsi="Times New Roman" w:cs="Times New Roman"/>
        </w:rPr>
        <w:lastRenderedPageBreak/>
        <w:t xml:space="preserve">Furthermore, disclosures should </w:t>
      </w:r>
      <w:r w:rsidR="00B906B2">
        <w:rPr>
          <w:rFonts w:ascii="Times New Roman" w:hAnsi="Times New Roman" w:cs="Times New Roman"/>
        </w:rPr>
        <w:t xml:space="preserve">also </w:t>
      </w:r>
      <w:r>
        <w:rPr>
          <w:rFonts w:ascii="Times New Roman" w:hAnsi="Times New Roman" w:cs="Times New Roman"/>
        </w:rPr>
        <w:t xml:space="preserve">be added to demonstrate that </w:t>
      </w:r>
      <w:r w:rsidR="00F45209">
        <w:rPr>
          <w:rFonts w:ascii="Times New Roman" w:hAnsi="Times New Roman" w:cs="Times New Roman"/>
        </w:rPr>
        <w:t xml:space="preserve">the </w:t>
      </w:r>
      <w:r w:rsidR="00F45209" w:rsidRPr="00F45209">
        <w:rPr>
          <w:rFonts w:ascii="Times New Roman" w:hAnsi="Times New Roman" w:cs="Times New Roman"/>
        </w:rPr>
        <w:t>“</w:t>
      </w:r>
      <w:r w:rsidR="00834A66" w:rsidRPr="00F45209">
        <w:rPr>
          <w:rFonts w:ascii="Times New Roman" w:hAnsi="Times New Roman" w:cs="Times New Roman"/>
        </w:rPr>
        <w:t xml:space="preserve">do no significant harm” principle </w:t>
      </w:r>
      <w:r w:rsidR="001E1C9C">
        <w:rPr>
          <w:rFonts w:ascii="Times New Roman" w:hAnsi="Times New Roman" w:cs="Times New Roman"/>
        </w:rPr>
        <w:t xml:space="preserve">is </w:t>
      </w:r>
      <w:r w:rsidR="0011471F">
        <w:rPr>
          <w:rFonts w:ascii="Times New Roman" w:hAnsi="Times New Roman" w:cs="Times New Roman"/>
        </w:rPr>
        <w:t xml:space="preserve">being followed, and that </w:t>
      </w:r>
      <w:r w:rsidR="00894193">
        <w:rPr>
          <w:rFonts w:ascii="Times New Roman" w:hAnsi="Times New Roman" w:cs="Times New Roman"/>
        </w:rPr>
        <w:t xml:space="preserve">social benefits aren’t being offset by increasing environmental risks </w:t>
      </w:r>
      <w:r w:rsidR="00B87FB4">
        <w:rPr>
          <w:rFonts w:ascii="Times New Roman" w:hAnsi="Times New Roman" w:cs="Times New Roman"/>
        </w:rPr>
        <w:t>or promoting unsustainable lending.</w:t>
      </w:r>
      <w:r w:rsidRPr="00F45209">
        <w:rPr>
          <w:rFonts w:ascii="Times New Roman" w:hAnsi="Times New Roman" w:cs="Times New Roman"/>
        </w:rPr>
        <w:t xml:space="preserve"> Disclosures that will help illustrate this include </w:t>
      </w:r>
      <w:r w:rsidR="00081838" w:rsidRPr="00F45209">
        <w:rPr>
          <w:rFonts w:ascii="Times New Roman" w:hAnsi="Times New Roman" w:cs="Times New Roman"/>
        </w:rPr>
        <w:t>showing the share of:</w:t>
      </w:r>
    </w:p>
    <w:p w14:paraId="2616471B" w14:textId="50C078C4" w:rsidR="00834A66" w:rsidRPr="007701A8" w:rsidRDefault="00081838" w:rsidP="00153DC5">
      <w:pPr>
        <w:pStyle w:val="ListParagraph"/>
        <w:numPr>
          <w:ilvl w:val="0"/>
          <w:numId w:val="3"/>
        </w:numPr>
        <w:jc w:val="both"/>
        <w:rPr>
          <w:rFonts w:ascii="Times New Roman" w:hAnsi="Times New Roman" w:cs="Times New Roman"/>
        </w:rPr>
      </w:pPr>
      <w:r w:rsidRPr="00F45209">
        <w:rPr>
          <w:rFonts w:ascii="Times New Roman" w:hAnsi="Times New Roman" w:cs="Times New Roman"/>
        </w:rPr>
        <w:t>H</w:t>
      </w:r>
      <w:r w:rsidR="00834A66" w:rsidRPr="007701A8">
        <w:rPr>
          <w:rFonts w:ascii="Times New Roman" w:hAnsi="Times New Roman" w:cs="Times New Roman"/>
        </w:rPr>
        <w:t>omes in the pool located in environmental</w:t>
      </w:r>
      <w:r w:rsidRPr="00F45209">
        <w:rPr>
          <w:rFonts w:ascii="Times New Roman" w:hAnsi="Times New Roman" w:cs="Times New Roman"/>
        </w:rPr>
        <w:t>ly</w:t>
      </w:r>
      <w:r w:rsidR="00834A66" w:rsidRPr="007701A8">
        <w:rPr>
          <w:rFonts w:ascii="Times New Roman" w:hAnsi="Times New Roman" w:cs="Times New Roman"/>
        </w:rPr>
        <w:t xml:space="preserve"> sensitive areas</w:t>
      </w:r>
      <w:r w:rsidRPr="00F45209">
        <w:rPr>
          <w:rFonts w:ascii="Times New Roman" w:hAnsi="Times New Roman" w:cs="Times New Roman"/>
        </w:rPr>
        <w:t>,</w:t>
      </w:r>
      <w:r w:rsidR="00834A66" w:rsidRPr="007701A8">
        <w:rPr>
          <w:rFonts w:ascii="Times New Roman" w:hAnsi="Times New Roman" w:cs="Times New Roman"/>
        </w:rPr>
        <w:t xml:space="preserve"> with low energy/water efficiency ratings</w:t>
      </w:r>
      <w:r w:rsidRPr="00F45209">
        <w:rPr>
          <w:rFonts w:ascii="Times New Roman" w:hAnsi="Times New Roman" w:cs="Times New Roman"/>
        </w:rPr>
        <w:t>, located in a flood zone, that have previously suffered hurricane damage, located in an area particularly prone to wildfire risk, or located on a fault line, among other environmental factor</w:t>
      </w:r>
      <w:r w:rsidR="00935170">
        <w:rPr>
          <w:rFonts w:ascii="Times New Roman" w:hAnsi="Times New Roman" w:cs="Times New Roman"/>
        </w:rPr>
        <w:t>s</w:t>
      </w:r>
      <w:r w:rsidR="007701A8" w:rsidRPr="007701A8">
        <w:rPr>
          <w:rFonts w:ascii="Times New Roman" w:hAnsi="Times New Roman" w:cs="Times New Roman"/>
        </w:rPr>
        <w:t>; and</w:t>
      </w:r>
    </w:p>
    <w:p w14:paraId="50F2AFF8" w14:textId="79D4822B" w:rsidR="00591AD2" w:rsidRPr="007701A8" w:rsidRDefault="00081838" w:rsidP="00153DC5">
      <w:pPr>
        <w:pStyle w:val="ListParagraph"/>
        <w:numPr>
          <w:ilvl w:val="0"/>
          <w:numId w:val="3"/>
        </w:numPr>
        <w:jc w:val="both"/>
        <w:rPr>
          <w:rFonts w:ascii="Times New Roman" w:hAnsi="Times New Roman" w:cs="Times New Roman"/>
        </w:rPr>
      </w:pPr>
      <w:r w:rsidRPr="00F45209">
        <w:rPr>
          <w:rFonts w:ascii="Times New Roman" w:hAnsi="Times New Roman" w:cs="Times New Roman"/>
        </w:rPr>
        <w:t>B</w:t>
      </w:r>
      <w:r w:rsidR="00591AD2" w:rsidRPr="007701A8">
        <w:rPr>
          <w:rFonts w:ascii="Times New Roman" w:hAnsi="Times New Roman" w:cs="Times New Roman"/>
        </w:rPr>
        <w:t xml:space="preserve">orrowers </w:t>
      </w:r>
      <w:r w:rsidRPr="007701A8">
        <w:rPr>
          <w:rFonts w:ascii="Times New Roman" w:hAnsi="Times New Roman" w:cs="Times New Roman"/>
        </w:rPr>
        <w:t xml:space="preserve">in the pool </w:t>
      </w:r>
      <w:r w:rsidRPr="00F45209">
        <w:rPr>
          <w:rFonts w:ascii="Times New Roman" w:hAnsi="Times New Roman" w:cs="Times New Roman"/>
        </w:rPr>
        <w:t>receiving financial counselin</w:t>
      </w:r>
      <w:r w:rsidR="00200EBC">
        <w:rPr>
          <w:rFonts w:ascii="Times New Roman" w:hAnsi="Times New Roman" w:cs="Times New Roman"/>
        </w:rPr>
        <w:t xml:space="preserve">g, which helps </w:t>
      </w:r>
      <w:r w:rsidR="00C46387">
        <w:rPr>
          <w:rFonts w:ascii="Times New Roman" w:hAnsi="Times New Roman" w:cs="Times New Roman"/>
        </w:rPr>
        <w:t>promote sustainable lending</w:t>
      </w:r>
      <w:r w:rsidR="000D1064">
        <w:rPr>
          <w:rFonts w:ascii="Times New Roman" w:hAnsi="Times New Roman" w:cs="Times New Roman"/>
        </w:rPr>
        <w:t>.</w:t>
      </w:r>
    </w:p>
    <w:p w14:paraId="5E9C41AF" w14:textId="1A582065" w:rsidR="00991F19" w:rsidRPr="007701A8" w:rsidRDefault="00991F19" w:rsidP="000A4682">
      <w:pPr>
        <w:jc w:val="center"/>
        <w:rPr>
          <w:rFonts w:ascii="Times New Roman" w:hAnsi="Times New Roman" w:cs="Times New Roman"/>
        </w:rPr>
      </w:pPr>
      <w:r w:rsidRPr="007701A8">
        <w:rPr>
          <w:rFonts w:ascii="Times New Roman" w:hAnsi="Times New Roman" w:cs="Times New Roman"/>
        </w:rPr>
        <w:t>+++</w:t>
      </w:r>
    </w:p>
    <w:p w14:paraId="3A3C7E36" w14:textId="5A72F902" w:rsidR="00991F19" w:rsidRPr="00991F19" w:rsidRDefault="00991F19" w:rsidP="00991F19">
      <w:pPr>
        <w:pStyle w:val="NormalWeb"/>
        <w:jc w:val="both"/>
        <w:rPr>
          <w:rFonts w:eastAsiaTheme="minorHAnsi"/>
          <w:sz w:val="22"/>
          <w:szCs w:val="22"/>
        </w:rPr>
      </w:pPr>
      <w:r w:rsidRPr="00991F19">
        <w:rPr>
          <w:rFonts w:eastAsiaTheme="minorHAnsi"/>
          <w:sz w:val="22"/>
          <w:szCs w:val="22"/>
        </w:rPr>
        <w:t xml:space="preserve">We </w:t>
      </w:r>
      <w:r w:rsidR="00B906B2">
        <w:rPr>
          <w:rFonts w:eastAsiaTheme="minorHAnsi"/>
          <w:sz w:val="22"/>
          <w:szCs w:val="22"/>
        </w:rPr>
        <w:t xml:space="preserve">appreciate the opportunity to share our views on the Bond Program and </w:t>
      </w:r>
      <w:r w:rsidRPr="00991F19">
        <w:rPr>
          <w:rFonts w:eastAsiaTheme="minorHAnsi"/>
          <w:sz w:val="22"/>
          <w:szCs w:val="22"/>
        </w:rPr>
        <w:t>would be pleased to discuss in more detail at your convenience.</w:t>
      </w:r>
    </w:p>
    <w:p w14:paraId="3DC2B68F" w14:textId="77777777" w:rsidR="00991F19" w:rsidRPr="00991F19" w:rsidRDefault="00991F19" w:rsidP="00991F19">
      <w:pPr>
        <w:pStyle w:val="NormalWeb"/>
        <w:ind w:left="5760"/>
        <w:jc w:val="both"/>
        <w:rPr>
          <w:rFonts w:eastAsiaTheme="minorHAnsi"/>
          <w:sz w:val="22"/>
          <w:szCs w:val="22"/>
        </w:rPr>
      </w:pPr>
      <w:r w:rsidRPr="00991F19">
        <w:rPr>
          <w:rFonts w:eastAsiaTheme="minorHAnsi"/>
          <w:sz w:val="22"/>
          <w:szCs w:val="22"/>
        </w:rPr>
        <w:t xml:space="preserve">Sincerely, </w:t>
      </w:r>
    </w:p>
    <w:p w14:paraId="71E256BA" w14:textId="0AABC442" w:rsidR="00991F19" w:rsidRDefault="00153DC5" w:rsidP="00991F19">
      <w:pPr>
        <w:pStyle w:val="NormalWeb"/>
        <w:spacing w:before="0" w:beforeAutospacing="0" w:after="0" w:afterAutospacing="0"/>
        <w:ind w:left="5760"/>
        <w:jc w:val="both"/>
        <w:rPr>
          <w:rFonts w:eastAsiaTheme="minorHAnsi"/>
          <w:sz w:val="22"/>
          <w:szCs w:val="22"/>
        </w:rPr>
      </w:pPr>
      <w:r>
        <w:rPr>
          <w:rFonts w:eastAsiaTheme="minorHAnsi"/>
          <w:sz w:val="22"/>
          <w:szCs w:val="22"/>
        </w:rPr>
        <w:t>/s/ Armelle De Vienne</w:t>
      </w:r>
    </w:p>
    <w:p w14:paraId="3A56E035" w14:textId="77777777" w:rsidR="00153DC5" w:rsidRPr="00991F19" w:rsidRDefault="00153DC5" w:rsidP="00991F19">
      <w:pPr>
        <w:pStyle w:val="NormalWeb"/>
        <w:spacing w:before="0" w:beforeAutospacing="0" w:after="0" w:afterAutospacing="0"/>
        <w:ind w:left="5760"/>
        <w:jc w:val="both"/>
        <w:rPr>
          <w:rFonts w:eastAsiaTheme="minorHAnsi"/>
          <w:sz w:val="22"/>
          <w:szCs w:val="22"/>
        </w:rPr>
      </w:pPr>
    </w:p>
    <w:p w14:paraId="34297687" w14:textId="126C1B4D" w:rsidR="00991F19" w:rsidRDefault="000D1064" w:rsidP="00991F19">
      <w:pPr>
        <w:pStyle w:val="NormalWeb"/>
        <w:spacing w:before="0" w:beforeAutospacing="0" w:after="0" w:afterAutospacing="0"/>
        <w:ind w:left="5760"/>
        <w:jc w:val="both"/>
        <w:rPr>
          <w:rFonts w:eastAsiaTheme="minorHAnsi"/>
          <w:sz w:val="22"/>
          <w:szCs w:val="22"/>
        </w:rPr>
      </w:pPr>
      <w:r>
        <w:rPr>
          <w:rFonts w:eastAsiaTheme="minorHAnsi"/>
          <w:sz w:val="22"/>
          <w:szCs w:val="22"/>
        </w:rPr>
        <w:t>Armelle De Vienne</w:t>
      </w:r>
    </w:p>
    <w:p w14:paraId="27249EA0" w14:textId="3932726E" w:rsidR="007362E9" w:rsidRPr="00991F19" w:rsidRDefault="007362E9" w:rsidP="00991F19">
      <w:pPr>
        <w:pStyle w:val="NormalWeb"/>
        <w:spacing w:before="0" w:beforeAutospacing="0" w:after="0" w:afterAutospacing="0"/>
        <w:ind w:left="5760"/>
        <w:jc w:val="both"/>
        <w:rPr>
          <w:rFonts w:eastAsiaTheme="minorHAnsi"/>
          <w:sz w:val="22"/>
          <w:szCs w:val="22"/>
        </w:rPr>
      </w:pPr>
      <w:r>
        <w:rPr>
          <w:rFonts w:eastAsiaTheme="minorHAnsi"/>
          <w:sz w:val="22"/>
          <w:szCs w:val="22"/>
        </w:rPr>
        <w:t>Co-Head of ESG</w:t>
      </w:r>
    </w:p>
    <w:p w14:paraId="35B4EFA9" w14:textId="66860106" w:rsidR="00991F19" w:rsidRPr="00991F19" w:rsidRDefault="00991F19" w:rsidP="00991F19">
      <w:pPr>
        <w:pStyle w:val="NormalWeb"/>
        <w:spacing w:before="0" w:beforeAutospacing="0" w:after="0" w:afterAutospacing="0"/>
        <w:ind w:left="5760"/>
        <w:jc w:val="both"/>
        <w:rPr>
          <w:rFonts w:eastAsiaTheme="minorHAnsi"/>
          <w:sz w:val="22"/>
          <w:szCs w:val="22"/>
        </w:rPr>
      </w:pPr>
      <w:r w:rsidRPr="00991F19">
        <w:rPr>
          <w:rFonts w:eastAsiaTheme="minorHAnsi"/>
          <w:sz w:val="22"/>
          <w:szCs w:val="22"/>
        </w:rPr>
        <w:t>PGIM</w:t>
      </w:r>
      <w:r w:rsidR="00153DC5">
        <w:rPr>
          <w:rFonts w:eastAsiaTheme="minorHAnsi"/>
          <w:sz w:val="22"/>
          <w:szCs w:val="22"/>
        </w:rPr>
        <w:t xml:space="preserve"> Fixed Income</w:t>
      </w:r>
    </w:p>
    <w:p w14:paraId="6DB7AB88" w14:textId="77777777" w:rsidR="00991F19" w:rsidRPr="00991F19" w:rsidRDefault="00991F19" w:rsidP="00991F19">
      <w:pPr>
        <w:jc w:val="both"/>
        <w:rPr>
          <w:rFonts w:ascii="Times New Roman" w:hAnsi="Times New Roman" w:cs="Times New Roman"/>
        </w:rPr>
      </w:pPr>
    </w:p>
    <w:sectPr w:rsidR="00991F19" w:rsidRPr="00991F19" w:rsidSect="002F05A6">
      <w:headerReference w:type="even" r:id="rId11"/>
      <w:headerReference w:type="default" r:id="rId12"/>
      <w:footerReference w:type="even" r:id="rId13"/>
      <w:footerReference w:type="default" r:id="rId14"/>
      <w:headerReference w:type="first" r:id="rId15"/>
      <w:footerReference w:type="first" r:id="rId16"/>
      <w:pgSz w:w="12240" w:h="15840"/>
      <w:pgMar w:top="172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BB86A" w14:textId="77777777" w:rsidR="00907463" w:rsidRDefault="00907463" w:rsidP="00615388">
      <w:pPr>
        <w:spacing w:after="0" w:line="240" w:lineRule="auto"/>
      </w:pPr>
      <w:r>
        <w:separator/>
      </w:r>
    </w:p>
  </w:endnote>
  <w:endnote w:type="continuationSeparator" w:id="0">
    <w:p w14:paraId="4CA2B73D" w14:textId="77777777" w:rsidR="00907463" w:rsidRDefault="00907463" w:rsidP="00615388">
      <w:pPr>
        <w:spacing w:after="0" w:line="240" w:lineRule="auto"/>
      </w:pPr>
      <w:r>
        <w:continuationSeparator/>
      </w:r>
    </w:p>
  </w:endnote>
  <w:endnote w:type="continuationNotice" w:id="1">
    <w:p w14:paraId="0C867C12" w14:textId="77777777" w:rsidR="00907463" w:rsidRDefault="009074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93FD" w14:textId="77777777" w:rsidR="007362E9" w:rsidRDefault="007362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0BC58" w14:textId="77777777" w:rsidR="007362E9" w:rsidRDefault="007362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F805" w14:textId="77777777" w:rsidR="007362E9" w:rsidRDefault="00736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C6F3D" w14:textId="77777777" w:rsidR="00907463" w:rsidRDefault="00907463" w:rsidP="00615388">
      <w:pPr>
        <w:spacing w:after="0" w:line="240" w:lineRule="auto"/>
      </w:pPr>
      <w:r>
        <w:separator/>
      </w:r>
    </w:p>
  </w:footnote>
  <w:footnote w:type="continuationSeparator" w:id="0">
    <w:p w14:paraId="4000D805" w14:textId="77777777" w:rsidR="00907463" w:rsidRDefault="00907463" w:rsidP="00615388">
      <w:pPr>
        <w:spacing w:after="0" w:line="240" w:lineRule="auto"/>
      </w:pPr>
      <w:r>
        <w:continuationSeparator/>
      </w:r>
    </w:p>
  </w:footnote>
  <w:footnote w:type="continuationNotice" w:id="1">
    <w:p w14:paraId="7C2D68DB" w14:textId="77777777" w:rsidR="00907463" w:rsidRDefault="00907463">
      <w:pPr>
        <w:spacing w:after="0" w:line="240" w:lineRule="auto"/>
      </w:pPr>
    </w:p>
  </w:footnote>
  <w:footnote w:id="2">
    <w:p w14:paraId="5560FD7E" w14:textId="01BE96CA" w:rsidR="00943737" w:rsidRDefault="00943737" w:rsidP="00943737">
      <w:pPr>
        <w:spacing w:after="0"/>
        <w:rPr>
          <w:rFonts w:ascii="Calibri" w:eastAsia="SimSun" w:hAnsi="Calibri" w:cs="Calibri"/>
          <w:lang w:eastAsia="zh-CN"/>
        </w:rPr>
      </w:pPr>
      <w:r>
        <w:rPr>
          <w:rStyle w:val="FootnoteReference"/>
        </w:rPr>
        <w:footnoteRef/>
      </w:r>
      <w:r>
        <w:t xml:space="preserve"> </w:t>
      </w:r>
      <w:r>
        <w:rPr>
          <w:sz w:val="20"/>
          <w:szCs w:val="20"/>
        </w:rPr>
        <w:t>Regulation (EU) 2019/2088 on sustainability‐related disclosures in the financial services sector</w:t>
      </w:r>
      <w:r w:rsidR="002F05A6">
        <w:rPr>
          <w:sz w:val="20"/>
          <w:szCs w:val="20"/>
        </w:rPr>
        <w:t>.</w:t>
      </w:r>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8C98" w14:textId="77777777" w:rsidR="007362E9" w:rsidRDefault="007362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2E6C8" w14:textId="0ACEBC56" w:rsidR="00031A4E" w:rsidRDefault="00031A4E">
    <w:pPr>
      <w:pStyle w:val="Header"/>
    </w:pPr>
    <w:r>
      <w:rPr>
        <w:noProof/>
      </w:rPr>
      <w:drawing>
        <wp:inline distT="0" distB="0" distL="0" distR="0" wp14:anchorId="381BD2FC" wp14:editId="1E79D9AD">
          <wp:extent cx="3778885" cy="471805"/>
          <wp:effectExtent l="0" t="0" r="0" b="4445"/>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3778885" cy="47180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7A9A" w14:textId="77777777" w:rsidR="007362E9" w:rsidRDefault="007362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D58D0"/>
    <w:multiLevelType w:val="hybridMultilevel"/>
    <w:tmpl w:val="103873E4"/>
    <w:lvl w:ilvl="0" w:tplc="C580481E">
      <w:numFmt w:val="bullet"/>
      <w:lvlText w:val="-"/>
      <w:lvlJc w:val="left"/>
      <w:pPr>
        <w:ind w:left="720" w:hanging="360"/>
      </w:pPr>
      <w:rPr>
        <w:rFonts w:ascii="Calibri" w:eastAsia="PMingLiU"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5100EA9"/>
    <w:multiLevelType w:val="hybridMultilevel"/>
    <w:tmpl w:val="4140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5C209E"/>
    <w:multiLevelType w:val="hybridMultilevel"/>
    <w:tmpl w:val="EF8692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DF36DC"/>
    <w:multiLevelType w:val="hybridMultilevel"/>
    <w:tmpl w:val="B3684B76"/>
    <w:lvl w:ilvl="0" w:tplc="9EB65A6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CF3540"/>
    <w:multiLevelType w:val="hybridMultilevel"/>
    <w:tmpl w:val="A0CC5E6C"/>
    <w:lvl w:ilvl="0" w:tplc="B9E4EFA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2366880">
    <w:abstractNumId w:val="2"/>
  </w:num>
  <w:num w:numId="2" w16cid:durableId="771782194">
    <w:abstractNumId w:val="0"/>
  </w:num>
  <w:num w:numId="3" w16cid:durableId="277033675">
    <w:abstractNumId w:val="3"/>
  </w:num>
  <w:num w:numId="4" w16cid:durableId="2084839948">
    <w:abstractNumId w:val="4"/>
  </w:num>
  <w:num w:numId="5" w16cid:durableId="1177966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49"/>
    <w:rsid w:val="0001154D"/>
    <w:rsid w:val="00020DA3"/>
    <w:rsid w:val="00026F6C"/>
    <w:rsid w:val="00031A4E"/>
    <w:rsid w:val="000326D9"/>
    <w:rsid w:val="00044BFD"/>
    <w:rsid w:val="000609B2"/>
    <w:rsid w:val="0007560B"/>
    <w:rsid w:val="00081838"/>
    <w:rsid w:val="00093FE7"/>
    <w:rsid w:val="00097375"/>
    <w:rsid w:val="000A20E6"/>
    <w:rsid w:val="000A4682"/>
    <w:rsid w:val="000B3BFF"/>
    <w:rsid w:val="000B5421"/>
    <w:rsid w:val="000C0602"/>
    <w:rsid w:val="000C5306"/>
    <w:rsid w:val="000D1064"/>
    <w:rsid w:val="000E5697"/>
    <w:rsid w:val="000F0578"/>
    <w:rsid w:val="000F1E28"/>
    <w:rsid w:val="000F4543"/>
    <w:rsid w:val="00101454"/>
    <w:rsid w:val="00102DFF"/>
    <w:rsid w:val="00103F04"/>
    <w:rsid w:val="0011471F"/>
    <w:rsid w:val="0012355B"/>
    <w:rsid w:val="0013121B"/>
    <w:rsid w:val="00131FDE"/>
    <w:rsid w:val="00132921"/>
    <w:rsid w:val="00151640"/>
    <w:rsid w:val="00153DC5"/>
    <w:rsid w:val="00161CCC"/>
    <w:rsid w:val="00163E29"/>
    <w:rsid w:val="00171AF4"/>
    <w:rsid w:val="0019491E"/>
    <w:rsid w:val="001B15EC"/>
    <w:rsid w:val="001C0C21"/>
    <w:rsid w:val="001C6EDB"/>
    <w:rsid w:val="001D2BA0"/>
    <w:rsid w:val="001D6CAF"/>
    <w:rsid w:val="001E1C9C"/>
    <w:rsid w:val="001E54F5"/>
    <w:rsid w:val="001F6A60"/>
    <w:rsid w:val="00200EBC"/>
    <w:rsid w:val="00204162"/>
    <w:rsid w:val="00204544"/>
    <w:rsid w:val="002316AE"/>
    <w:rsid w:val="00236CFB"/>
    <w:rsid w:val="00240806"/>
    <w:rsid w:val="002436A1"/>
    <w:rsid w:val="00243B01"/>
    <w:rsid w:val="002511EA"/>
    <w:rsid w:val="00253EDE"/>
    <w:rsid w:val="00261BD5"/>
    <w:rsid w:val="002631F1"/>
    <w:rsid w:val="002654CB"/>
    <w:rsid w:val="00274D8E"/>
    <w:rsid w:val="00277E86"/>
    <w:rsid w:val="002A2F43"/>
    <w:rsid w:val="002D0831"/>
    <w:rsid w:val="002D32BA"/>
    <w:rsid w:val="002D452E"/>
    <w:rsid w:val="002E417A"/>
    <w:rsid w:val="002E6D9F"/>
    <w:rsid w:val="002F05A6"/>
    <w:rsid w:val="002F3C38"/>
    <w:rsid w:val="0032243C"/>
    <w:rsid w:val="003253B8"/>
    <w:rsid w:val="00334369"/>
    <w:rsid w:val="003400EC"/>
    <w:rsid w:val="0035260E"/>
    <w:rsid w:val="0037469E"/>
    <w:rsid w:val="00375FEC"/>
    <w:rsid w:val="003841CF"/>
    <w:rsid w:val="00396109"/>
    <w:rsid w:val="00396E02"/>
    <w:rsid w:val="003A7E18"/>
    <w:rsid w:val="003B3029"/>
    <w:rsid w:val="003C3C64"/>
    <w:rsid w:val="003D1EFE"/>
    <w:rsid w:val="003E17D0"/>
    <w:rsid w:val="003F1217"/>
    <w:rsid w:val="00400F95"/>
    <w:rsid w:val="00401AC0"/>
    <w:rsid w:val="004222DA"/>
    <w:rsid w:val="0043560B"/>
    <w:rsid w:val="00437CAE"/>
    <w:rsid w:val="00441405"/>
    <w:rsid w:val="00446D9D"/>
    <w:rsid w:val="00447A5D"/>
    <w:rsid w:val="004522BC"/>
    <w:rsid w:val="004659F0"/>
    <w:rsid w:val="0047778E"/>
    <w:rsid w:val="00481ADB"/>
    <w:rsid w:val="00482E16"/>
    <w:rsid w:val="004A1400"/>
    <w:rsid w:val="004A7DCF"/>
    <w:rsid w:val="004C2D68"/>
    <w:rsid w:val="004D2E9D"/>
    <w:rsid w:val="004F0638"/>
    <w:rsid w:val="004F2BB1"/>
    <w:rsid w:val="0050729A"/>
    <w:rsid w:val="00511832"/>
    <w:rsid w:val="0051355A"/>
    <w:rsid w:val="00522218"/>
    <w:rsid w:val="00523E88"/>
    <w:rsid w:val="0054128D"/>
    <w:rsid w:val="00542ABE"/>
    <w:rsid w:val="0055151C"/>
    <w:rsid w:val="00557835"/>
    <w:rsid w:val="00560DAD"/>
    <w:rsid w:val="00574ABB"/>
    <w:rsid w:val="00575641"/>
    <w:rsid w:val="00580124"/>
    <w:rsid w:val="00580F82"/>
    <w:rsid w:val="00585D1F"/>
    <w:rsid w:val="0058617A"/>
    <w:rsid w:val="005875B1"/>
    <w:rsid w:val="00591AD2"/>
    <w:rsid w:val="00597EF2"/>
    <w:rsid w:val="005A16E4"/>
    <w:rsid w:val="005A4059"/>
    <w:rsid w:val="005B2BB5"/>
    <w:rsid w:val="005B6282"/>
    <w:rsid w:val="005C3783"/>
    <w:rsid w:val="005D1349"/>
    <w:rsid w:val="005E7778"/>
    <w:rsid w:val="005F07D0"/>
    <w:rsid w:val="005F6057"/>
    <w:rsid w:val="00602CC0"/>
    <w:rsid w:val="00604B83"/>
    <w:rsid w:val="00615388"/>
    <w:rsid w:val="00651DAD"/>
    <w:rsid w:val="00660A8C"/>
    <w:rsid w:val="006614CF"/>
    <w:rsid w:val="00671B2F"/>
    <w:rsid w:val="00683ADA"/>
    <w:rsid w:val="006875FE"/>
    <w:rsid w:val="006B2BF0"/>
    <w:rsid w:val="006B6FA1"/>
    <w:rsid w:val="006D27AC"/>
    <w:rsid w:val="006E3309"/>
    <w:rsid w:val="006F17E0"/>
    <w:rsid w:val="00702DC0"/>
    <w:rsid w:val="00703E58"/>
    <w:rsid w:val="007274C1"/>
    <w:rsid w:val="007362E9"/>
    <w:rsid w:val="007521E3"/>
    <w:rsid w:val="007562EE"/>
    <w:rsid w:val="007569D6"/>
    <w:rsid w:val="007701A8"/>
    <w:rsid w:val="00777FB3"/>
    <w:rsid w:val="00784AD9"/>
    <w:rsid w:val="00793D7F"/>
    <w:rsid w:val="007960CF"/>
    <w:rsid w:val="007A043E"/>
    <w:rsid w:val="007A7F8F"/>
    <w:rsid w:val="007E66BB"/>
    <w:rsid w:val="00800809"/>
    <w:rsid w:val="00821D24"/>
    <w:rsid w:val="00827723"/>
    <w:rsid w:val="00834A66"/>
    <w:rsid w:val="00851F51"/>
    <w:rsid w:val="008556BD"/>
    <w:rsid w:val="008618F6"/>
    <w:rsid w:val="00864246"/>
    <w:rsid w:val="008748B1"/>
    <w:rsid w:val="00880BB7"/>
    <w:rsid w:val="008854EB"/>
    <w:rsid w:val="00894193"/>
    <w:rsid w:val="008A638B"/>
    <w:rsid w:val="008B7D73"/>
    <w:rsid w:val="008E02C9"/>
    <w:rsid w:val="008F5352"/>
    <w:rsid w:val="00900D1C"/>
    <w:rsid w:val="00907463"/>
    <w:rsid w:val="00924FA0"/>
    <w:rsid w:val="00927F2C"/>
    <w:rsid w:val="00935170"/>
    <w:rsid w:val="00940451"/>
    <w:rsid w:val="00943737"/>
    <w:rsid w:val="00973980"/>
    <w:rsid w:val="00975865"/>
    <w:rsid w:val="00977A58"/>
    <w:rsid w:val="00986284"/>
    <w:rsid w:val="00991F19"/>
    <w:rsid w:val="009964A1"/>
    <w:rsid w:val="009A4BD2"/>
    <w:rsid w:val="009B35A2"/>
    <w:rsid w:val="009B77B6"/>
    <w:rsid w:val="009C06AE"/>
    <w:rsid w:val="009C53C1"/>
    <w:rsid w:val="009E0F99"/>
    <w:rsid w:val="009E7CF0"/>
    <w:rsid w:val="00A06A76"/>
    <w:rsid w:val="00A143F7"/>
    <w:rsid w:val="00A17510"/>
    <w:rsid w:val="00A2151B"/>
    <w:rsid w:val="00A24BE9"/>
    <w:rsid w:val="00A34C50"/>
    <w:rsid w:val="00A421A3"/>
    <w:rsid w:val="00A46D06"/>
    <w:rsid w:val="00A65412"/>
    <w:rsid w:val="00A7052D"/>
    <w:rsid w:val="00A82E62"/>
    <w:rsid w:val="00A856D0"/>
    <w:rsid w:val="00A91055"/>
    <w:rsid w:val="00A93BB5"/>
    <w:rsid w:val="00A94E37"/>
    <w:rsid w:val="00AA02E9"/>
    <w:rsid w:val="00AA18ED"/>
    <w:rsid w:val="00AA2F86"/>
    <w:rsid w:val="00AA42CA"/>
    <w:rsid w:val="00AC16EE"/>
    <w:rsid w:val="00AC2F60"/>
    <w:rsid w:val="00AE29F4"/>
    <w:rsid w:val="00AE7466"/>
    <w:rsid w:val="00AF29EF"/>
    <w:rsid w:val="00AF701C"/>
    <w:rsid w:val="00AF72EB"/>
    <w:rsid w:val="00B0474B"/>
    <w:rsid w:val="00B04B95"/>
    <w:rsid w:val="00B142BD"/>
    <w:rsid w:val="00B171AB"/>
    <w:rsid w:val="00B2699D"/>
    <w:rsid w:val="00B40D2B"/>
    <w:rsid w:val="00B5491A"/>
    <w:rsid w:val="00B67116"/>
    <w:rsid w:val="00B67140"/>
    <w:rsid w:val="00B87FB4"/>
    <w:rsid w:val="00B906B2"/>
    <w:rsid w:val="00BA08E4"/>
    <w:rsid w:val="00BC7C0A"/>
    <w:rsid w:val="00BD283F"/>
    <w:rsid w:val="00C05642"/>
    <w:rsid w:val="00C10D2D"/>
    <w:rsid w:val="00C14185"/>
    <w:rsid w:val="00C22463"/>
    <w:rsid w:val="00C23183"/>
    <w:rsid w:val="00C340E6"/>
    <w:rsid w:val="00C35B96"/>
    <w:rsid w:val="00C35C5D"/>
    <w:rsid w:val="00C46387"/>
    <w:rsid w:val="00C54A94"/>
    <w:rsid w:val="00C6644E"/>
    <w:rsid w:val="00C77554"/>
    <w:rsid w:val="00C92267"/>
    <w:rsid w:val="00C9607A"/>
    <w:rsid w:val="00CA05BD"/>
    <w:rsid w:val="00CB2654"/>
    <w:rsid w:val="00CC3AB5"/>
    <w:rsid w:val="00CD41FB"/>
    <w:rsid w:val="00CE2D6C"/>
    <w:rsid w:val="00CE798C"/>
    <w:rsid w:val="00CF763F"/>
    <w:rsid w:val="00D02210"/>
    <w:rsid w:val="00D0321A"/>
    <w:rsid w:val="00D043BD"/>
    <w:rsid w:val="00D05D3F"/>
    <w:rsid w:val="00D246F8"/>
    <w:rsid w:val="00D266B3"/>
    <w:rsid w:val="00D3064E"/>
    <w:rsid w:val="00D34190"/>
    <w:rsid w:val="00D345B7"/>
    <w:rsid w:val="00D437D9"/>
    <w:rsid w:val="00D57B80"/>
    <w:rsid w:val="00D6096E"/>
    <w:rsid w:val="00D745AB"/>
    <w:rsid w:val="00D7718C"/>
    <w:rsid w:val="00D77260"/>
    <w:rsid w:val="00D84474"/>
    <w:rsid w:val="00D939F1"/>
    <w:rsid w:val="00DA0877"/>
    <w:rsid w:val="00DB02BB"/>
    <w:rsid w:val="00DB5370"/>
    <w:rsid w:val="00DC41EB"/>
    <w:rsid w:val="00DC62F4"/>
    <w:rsid w:val="00DF1BEC"/>
    <w:rsid w:val="00DF66D3"/>
    <w:rsid w:val="00E14A6E"/>
    <w:rsid w:val="00E24D85"/>
    <w:rsid w:val="00E477C1"/>
    <w:rsid w:val="00E76ECB"/>
    <w:rsid w:val="00E77BA6"/>
    <w:rsid w:val="00EA5901"/>
    <w:rsid w:val="00EB0912"/>
    <w:rsid w:val="00EC1A60"/>
    <w:rsid w:val="00EC5D99"/>
    <w:rsid w:val="00ED0788"/>
    <w:rsid w:val="00EE7429"/>
    <w:rsid w:val="00EF25FE"/>
    <w:rsid w:val="00EF4F71"/>
    <w:rsid w:val="00F02565"/>
    <w:rsid w:val="00F0297A"/>
    <w:rsid w:val="00F057EE"/>
    <w:rsid w:val="00F11490"/>
    <w:rsid w:val="00F16A69"/>
    <w:rsid w:val="00F20424"/>
    <w:rsid w:val="00F204A7"/>
    <w:rsid w:val="00F212CC"/>
    <w:rsid w:val="00F254C1"/>
    <w:rsid w:val="00F27E7F"/>
    <w:rsid w:val="00F45209"/>
    <w:rsid w:val="00F50CF5"/>
    <w:rsid w:val="00F569DF"/>
    <w:rsid w:val="00F745E0"/>
    <w:rsid w:val="00F76BEB"/>
    <w:rsid w:val="00F81A94"/>
    <w:rsid w:val="00F93A51"/>
    <w:rsid w:val="00FB11BD"/>
    <w:rsid w:val="00FB384D"/>
    <w:rsid w:val="00FC0D67"/>
    <w:rsid w:val="00FE0CCA"/>
    <w:rsid w:val="00FE5275"/>
    <w:rsid w:val="00FE71D1"/>
    <w:rsid w:val="00FE7AF6"/>
    <w:rsid w:val="00FF63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84EFC"/>
  <w15:chartTrackingRefBased/>
  <w15:docId w15:val="{00E30E5A-F3F3-417C-88AA-C3BB3A3F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C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349"/>
    <w:pPr>
      <w:ind w:left="720"/>
      <w:contextualSpacing/>
    </w:pPr>
  </w:style>
  <w:style w:type="character" w:styleId="CommentReference">
    <w:name w:val="annotation reference"/>
    <w:basedOn w:val="DefaultParagraphFont"/>
    <w:uiPriority w:val="99"/>
    <w:semiHidden/>
    <w:unhideWhenUsed/>
    <w:rsid w:val="00101454"/>
    <w:rPr>
      <w:sz w:val="16"/>
      <w:szCs w:val="16"/>
    </w:rPr>
  </w:style>
  <w:style w:type="paragraph" w:styleId="CommentText">
    <w:name w:val="annotation text"/>
    <w:basedOn w:val="Normal"/>
    <w:link w:val="CommentTextChar"/>
    <w:uiPriority w:val="99"/>
    <w:unhideWhenUsed/>
    <w:rsid w:val="00101454"/>
    <w:pPr>
      <w:spacing w:line="240" w:lineRule="auto"/>
    </w:pPr>
    <w:rPr>
      <w:sz w:val="20"/>
      <w:szCs w:val="20"/>
    </w:rPr>
  </w:style>
  <w:style w:type="character" w:customStyle="1" w:styleId="CommentTextChar">
    <w:name w:val="Comment Text Char"/>
    <w:basedOn w:val="DefaultParagraphFont"/>
    <w:link w:val="CommentText"/>
    <w:uiPriority w:val="99"/>
    <w:rsid w:val="00101454"/>
    <w:rPr>
      <w:sz w:val="20"/>
      <w:szCs w:val="20"/>
    </w:rPr>
  </w:style>
  <w:style w:type="paragraph" w:styleId="CommentSubject">
    <w:name w:val="annotation subject"/>
    <w:basedOn w:val="CommentText"/>
    <w:next w:val="CommentText"/>
    <w:link w:val="CommentSubjectChar"/>
    <w:uiPriority w:val="99"/>
    <w:semiHidden/>
    <w:unhideWhenUsed/>
    <w:rsid w:val="00101454"/>
    <w:rPr>
      <w:b/>
      <w:bCs/>
    </w:rPr>
  </w:style>
  <w:style w:type="character" w:customStyle="1" w:styleId="CommentSubjectChar">
    <w:name w:val="Comment Subject Char"/>
    <w:basedOn w:val="CommentTextChar"/>
    <w:link w:val="CommentSubject"/>
    <w:uiPriority w:val="99"/>
    <w:semiHidden/>
    <w:rsid w:val="00101454"/>
    <w:rPr>
      <w:b/>
      <w:bCs/>
      <w:sz w:val="20"/>
      <w:szCs w:val="20"/>
    </w:rPr>
  </w:style>
  <w:style w:type="paragraph" w:styleId="NormalWeb">
    <w:name w:val="Normal (Web)"/>
    <w:basedOn w:val="Normal"/>
    <w:uiPriority w:val="99"/>
    <w:unhideWhenUsed/>
    <w:rsid w:val="0061538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15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388"/>
  </w:style>
  <w:style w:type="paragraph" w:styleId="Footer">
    <w:name w:val="footer"/>
    <w:basedOn w:val="Normal"/>
    <w:link w:val="FooterChar"/>
    <w:uiPriority w:val="99"/>
    <w:unhideWhenUsed/>
    <w:rsid w:val="00615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388"/>
  </w:style>
  <w:style w:type="paragraph" w:styleId="FootnoteText">
    <w:name w:val="footnote text"/>
    <w:basedOn w:val="Normal"/>
    <w:link w:val="FootnoteTextChar"/>
    <w:uiPriority w:val="99"/>
    <w:semiHidden/>
    <w:unhideWhenUsed/>
    <w:rsid w:val="00615388"/>
    <w:pPr>
      <w:spacing w:after="0" w:line="240" w:lineRule="auto"/>
      <w:ind w:left="10" w:right="429" w:hanging="10"/>
    </w:pPr>
    <w:rPr>
      <w:rFonts w:ascii="Times New Roman" w:eastAsia="Times New Roman" w:hAnsi="Times New Roman" w:cs="Times New Roman"/>
      <w:color w:val="000000"/>
      <w:sz w:val="20"/>
      <w:szCs w:val="20"/>
      <w:lang w:bidi="en-US"/>
    </w:rPr>
  </w:style>
  <w:style w:type="character" w:customStyle="1" w:styleId="FootnoteTextChar">
    <w:name w:val="Footnote Text Char"/>
    <w:basedOn w:val="DefaultParagraphFont"/>
    <w:link w:val="FootnoteText"/>
    <w:uiPriority w:val="99"/>
    <w:semiHidden/>
    <w:rsid w:val="00615388"/>
    <w:rPr>
      <w:rFonts w:ascii="Times New Roman" w:eastAsia="Times New Roman" w:hAnsi="Times New Roman" w:cs="Times New Roman"/>
      <w:color w:val="000000"/>
      <w:sz w:val="20"/>
      <w:szCs w:val="20"/>
      <w:lang w:bidi="en-US"/>
    </w:rPr>
  </w:style>
  <w:style w:type="character" w:styleId="FootnoteReference">
    <w:name w:val="footnote reference"/>
    <w:basedOn w:val="DefaultParagraphFont"/>
    <w:uiPriority w:val="99"/>
    <w:semiHidden/>
    <w:unhideWhenUsed/>
    <w:rsid w:val="00615388"/>
    <w:rPr>
      <w:vertAlign w:val="superscript"/>
    </w:rPr>
  </w:style>
  <w:style w:type="character" w:styleId="Hyperlink">
    <w:name w:val="Hyperlink"/>
    <w:basedOn w:val="DefaultParagraphFont"/>
    <w:uiPriority w:val="99"/>
    <w:unhideWhenUsed/>
    <w:rsid w:val="00615388"/>
    <w:rPr>
      <w:color w:val="0563C1" w:themeColor="hyperlink"/>
      <w:u w:val="single"/>
    </w:rPr>
  </w:style>
  <w:style w:type="paragraph" w:styleId="Revision">
    <w:name w:val="Revision"/>
    <w:hidden/>
    <w:uiPriority w:val="99"/>
    <w:semiHidden/>
    <w:rsid w:val="000F45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99558">
      <w:bodyDiv w:val="1"/>
      <w:marLeft w:val="0"/>
      <w:marRight w:val="0"/>
      <w:marTop w:val="0"/>
      <w:marBottom w:val="0"/>
      <w:divBdr>
        <w:top w:val="none" w:sz="0" w:space="0" w:color="auto"/>
        <w:left w:val="none" w:sz="0" w:space="0" w:color="auto"/>
        <w:bottom w:val="none" w:sz="0" w:space="0" w:color="auto"/>
        <w:right w:val="none" w:sz="0" w:space="0" w:color="auto"/>
      </w:divBdr>
    </w:div>
    <w:div w:id="1297419425">
      <w:bodyDiv w:val="1"/>
      <w:marLeft w:val="0"/>
      <w:marRight w:val="0"/>
      <w:marTop w:val="0"/>
      <w:marBottom w:val="0"/>
      <w:divBdr>
        <w:top w:val="none" w:sz="0" w:space="0" w:color="auto"/>
        <w:left w:val="none" w:sz="0" w:space="0" w:color="auto"/>
        <w:bottom w:val="none" w:sz="0" w:space="0" w:color="auto"/>
        <w:right w:val="none" w:sz="0" w:space="0" w:color="auto"/>
      </w:divBdr>
    </w:div>
    <w:div w:id="159693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4DBF8639C56E49827FB9159775E746" ma:contentTypeVersion="16" ma:contentTypeDescription="Create a new document." ma:contentTypeScope="" ma:versionID="7f504a4dd2238c0dec177bbe61439258">
  <xsd:schema xmlns:xsd="http://www.w3.org/2001/XMLSchema" xmlns:xs="http://www.w3.org/2001/XMLSchema" xmlns:p="http://schemas.microsoft.com/office/2006/metadata/properties" xmlns:ns2="e3651f14-1e2a-4514-b78b-7cf2abd64e2a" xmlns:ns3="091c33d2-cf39-4e2f-89a5-76a412251496" targetNamespace="http://schemas.microsoft.com/office/2006/metadata/properties" ma:root="true" ma:fieldsID="4174c5248d03760de478f865d2d17dfc" ns2:_="" ns3:_="">
    <xsd:import namespace="e3651f14-1e2a-4514-b78b-7cf2abd64e2a"/>
    <xsd:import namespace="091c33d2-cf39-4e2f-89a5-76a4122514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51f14-1e2a-4514-b78b-7cf2abd64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d05499-0ede-448b-a09e-1f67d98e1b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1c33d2-cf39-4e2f-89a5-76a4122514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edd885-83b9-486c-891a-edbc4284624a}" ma:internalName="TaxCatchAll" ma:showField="CatchAllData" ma:web="091c33d2-cf39-4e2f-89a5-76a4122514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91c33d2-cf39-4e2f-89a5-76a412251496" xsi:nil="true"/>
    <lcf76f155ced4ddcb4097134ff3c332f xmlns="e3651f14-1e2a-4514-b78b-7cf2abd64e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23650A-8BD8-4928-8386-942135ADFA70}">
  <ds:schemaRefs>
    <ds:schemaRef ds:uri="http://schemas.openxmlformats.org/officeDocument/2006/bibliography"/>
  </ds:schemaRefs>
</ds:datastoreItem>
</file>

<file path=customXml/itemProps2.xml><?xml version="1.0" encoding="utf-8"?>
<ds:datastoreItem xmlns:ds="http://schemas.openxmlformats.org/officeDocument/2006/customXml" ds:itemID="{09317EC6-F1E9-4F0A-9308-01B3A67AB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51f14-1e2a-4514-b78b-7cf2abd64e2a"/>
    <ds:schemaRef ds:uri="091c33d2-cf39-4e2f-89a5-76a412251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B32A3A-7F23-4E1F-9F1E-8C3C3FFCE6D0}">
  <ds:schemaRefs>
    <ds:schemaRef ds:uri="http://schemas.microsoft.com/sharepoint/v3/contenttype/forms"/>
  </ds:schemaRefs>
</ds:datastoreItem>
</file>

<file path=customXml/itemProps4.xml><?xml version="1.0" encoding="utf-8"?>
<ds:datastoreItem xmlns:ds="http://schemas.openxmlformats.org/officeDocument/2006/customXml" ds:itemID="{7A427269-6BFC-4A33-9A3E-0FD21808FB6E}">
  <ds:schemaRefs>
    <ds:schemaRef ds:uri="http://schemas.microsoft.com/office/2006/metadata/properties"/>
    <ds:schemaRef ds:uri="http://schemas.microsoft.com/office/infopath/2007/PartnerControls"/>
    <ds:schemaRef ds:uri="091c33d2-cf39-4e2f-89a5-76a412251496"/>
    <ds:schemaRef ds:uri="e3651f14-1e2a-4514-b78b-7cf2abd64e2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2263</Words>
  <Characters>12966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Klausner</dc:creator>
  <cp:keywords/>
  <dc:description/>
  <cp:lastModifiedBy>Kathleen Denicholas</cp:lastModifiedBy>
  <cp:revision>2</cp:revision>
  <cp:lastPrinted>2023-05-17T13:19:00Z</cp:lastPrinted>
  <dcterms:created xsi:type="dcterms:W3CDTF">2023-05-17T22:18:00Z</dcterms:created>
  <dcterms:modified xsi:type="dcterms:W3CDTF">2023-05-17T22:18:00Z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0x0101007B4DBF8639C56E49827FB9159775E746</vt:lpwstr>
  </property>
  <property fmtid="{D5CDD505-2E9C-101B-9397-08002B2CF9AE}" pid="3" name="MediaServiceImageTags">
    <vt:lpwstr/>
  </property>
</Properties>
</file>