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0F1A" w14:textId="77777777" w:rsidR="005B7B4D" w:rsidRDefault="005B7B4D" w:rsidP="005B7B4D">
      <w:pPr>
        <w:spacing w:after="0"/>
        <w:jc w:val="center"/>
        <w:rPr>
          <w:rFonts w:ascii="Copperplate Gothic Bold" w:hAnsi="Copperplate Gothic Bold"/>
        </w:rPr>
      </w:pPr>
      <w:r>
        <w:rPr>
          <w:rFonts w:ascii="Copperplate Gothic Bold" w:hAnsi="Copperplate Gothic Bold"/>
        </w:rPr>
        <w:t>Cornelius Hurley</w:t>
      </w:r>
    </w:p>
    <w:p w14:paraId="44FC5221" w14:textId="77777777" w:rsidR="005B7B4D" w:rsidRDefault="005B7B4D" w:rsidP="005B7B4D">
      <w:pPr>
        <w:spacing w:after="0"/>
        <w:jc w:val="center"/>
        <w:rPr>
          <w:rFonts w:ascii="Copperplate Gothic Bold" w:hAnsi="Copperplate Gothic Bold"/>
        </w:rPr>
      </w:pPr>
      <w:r>
        <w:rPr>
          <w:rFonts w:ascii="Copperplate Gothic Bold" w:hAnsi="Copperplate Gothic Bold"/>
        </w:rPr>
        <w:t>Boston University School of Law</w:t>
      </w:r>
    </w:p>
    <w:p w14:paraId="1EE7953B" w14:textId="77777777" w:rsidR="005B7B4D" w:rsidRDefault="005B7B4D" w:rsidP="005B7B4D">
      <w:pPr>
        <w:spacing w:after="0"/>
        <w:jc w:val="center"/>
        <w:rPr>
          <w:rFonts w:ascii="Copperplate Gothic Bold" w:hAnsi="Copperplate Gothic Bold"/>
        </w:rPr>
      </w:pPr>
      <w:r>
        <w:rPr>
          <w:rFonts w:ascii="Copperplate Gothic Bold" w:hAnsi="Copperplate Gothic Bold"/>
        </w:rPr>
        <w:t>765 Commonwealth Avenue</w:t>
      </w:r>
    </w:p>
    <w:p w14:paraId="3554B8B9" w14:textId="77777777" w:rsidR="005B7B4D" w:rsidRDefault="005B7B4D" w:rsidP="005B7B4D">
      <w:pPr>
        <w:spacing w:after="0"/>
        <w:jc w:val="center"/>
        <w:rPr>
          <w:rFonts w:ascii="Copperplate Gothic Bold" w:hAnsi="Copperplate Gothic Bold"/>
        </w:rPr>
      </w:pPr>
      <w:r>
        <w:rPr>
          <w:rFonts w:ascii="Copperplate Gothic Bold" w:hAnsi="Copperplate Gothic Bold"/>
        </w:rPr>
        <w:t>Boston, MA 02215</w:t>
      </w:r>
    </w:p>
    <w:p w14:paraId="0E3F6534" w14:textId="77777777" w:rsidR="005B7B4D" w:rsidRDefault="005B7B4D" w:rsidP="005B7B4D">
      <w:pPr>
        <w:jc w:val="center"/>
        <w:rPr>
          <w:rFonts w:ascii="Copperplate Gothic Bold" w:hAnsi="Copperplate Gothic Bold"/>
          <w:sz w:val="20"/>
          <w:szCs w:val="20"/>
        </w:rPr>
      </w:pPr>
      <w:r>
        <w:rPr>
          <w:rFonts w:ascii="Copperplate Gothic Bold" w:hAnsi="Copperplate Gothic Bold"/>
          <w:sz w:val="20"/>
          <w:szCs w:val="20"/>
        </w:rPr>
        <w:t>(617)595-7570</w:t>
      </w:r>
      <w:r>
        <w:rPr>
          <w:rFonts w:ascii="Copperplate Gothic Bold" w:hAnsi="Copperplate Gothic Bold"/>
          <w:sz w:val="20"/>
          <w:szCs w:val="20"/>
        </w:rPr>
        <w:tab/>
      </w:r>
      <w:r>
        <w:rPr>
          <w:rFonts w:ascii="Copperplate Gothic Bold" w:hAnsi="Copperplate Gothic Bold"/>
          <w:sz w:val="20"/>
          <w:szCs w:val="20"/>
        </w:rPr>
        <w:tab/>
        <w:t xml:space="preserve">        </w:t>
      </w:r>
      <w:r>
        <w:rPr>
          <w:rFonts w:ascii="Copperplate Gothic Bold" w:hAnsi="Copperplate Gothic Bold"/>
          <w:sz w:val="20"/>
          <w:szCs w:val="20"/>
        </w:rPr>
        <w:tab/>
      </w:r>
      <w:r>
        <w:rPr>
          <w:rFonts w:ascii="Copperplate Gothic Bold" w:hAnsi="Copperplate Gothic Bold"/>
          <w:sz w:val="20"/>
          <w:szCs w:val="20"/>
        </w:rPr>
        <w:tab/>
        <w:t xml:space="preserve">                            </w:t>
      </w:r>
      <w:r>
        <w:rPr>
          <w:rFonts w:ascii="Copperplate Gothic Bold" w:hAnsi="Copperplate Gothic Bold"/>
          <w:sz w:val="20"/>
          <w:szCs w:val="20"/>
        </w:rPr>
        <w:tab/>
      </w:r>
      <w:r>
        <w:rPr>
          <w:rFonts w:ascii="Copperplate Gothic Bold" w:hAnsi="Copperplate Gothic Bold"/>
          <w:sz w:val="20"/>
          <w:szCs w:val="20"/>
        </w:rPr>
        <w:tab/>
      </w:r>
      <w:hyperlink r:id="rId5" w:history="1">
        <w:r>
          <w:rPr>
            <w:rStyle w:val="Hyperlink"/>
            <w:rFonts w:ascii="Copperplate Gothic Bold" w:hAnsi="Copperplate Gothic Bold"/>
            <w:sz w:val="20"/>
            <w:szCs w:val="20"/>
          </w:rPr>
          <w:t>ckhurley@bu.edu</w:t>
        </w:r>
      </w:hyperlink>
    </w:p>
    <w:p w14:paraId="311A471F" w14:textId="77777777" w:rsidR="005B7B4D" w:rsidRDefault="005B7B4D" w:rsidP="005B7B4D"/>
    <w:p w14:paraId="582731D3" w14:textId="480CADA4" w:rsidR="005B7B4D" w:rsidRDefault="005B7B4D" w:rsidP="005B7B4D">
      <w:r>
        <w:t>March 31, 2023</w:t>
      </w:r>
    </w:p>
    <w:p w14:paraId="72AF4304" w14:textId="77777777" w:rsidR="005B7B4D" w:rsidRDefault="005B7B4D" w:rsidP="005B7B4D">
      <w:pPr>
        <w:spacing w:after="0"/>
      </w:pPr>
      <w:r>
        <w:t>Sandra L. Thompson</w:t>
      </w:r>
    </w:p>
    <w:p w14:paraId="48AAE8B6" w14:textId="77777777" w:rsidR="005B7B4D" w:rsidRDefault="005B7B4D" w:rsidP="005B7B4D">
      <w:pPr>
        <w:spacing w:after="0"/>
      </w:pPr>
      <w:r>
        <w:t>Director</w:t>
      </w:r>
    </w:p>
    <w:p w14:paraId="5FAE7C7C" w14:textId="77777777" w:rsidR="005B7B4D" w:rsidRDefault="005B7B4D" w:rsidP="005B7B4D">
      <w:pPr>
        <w:spacing w:after="0"/>
      </w:pPr>
      <w:r>
        <w:t>Federal Housing Finance Agency</w:t>
      </w:r>
    </w:p>
    <w:p w14:paraId="43EA903E" w14:textId="77777777" w:rsidR="005B7B4D" w:rsidRDefault="005B7B4D" w:rsidP="005B7B4D">
      <w:pPr>
        <w:spacing w:after="0"/>
      </w:pPr>
      <w:r>
        <w:t>400 7</w:t>
      </w:r>
      <w:r>
        <w:rPr>
          <w:vertAlign w:val="superscript"/>
        </w:rPr>
        <w:t>th</w:t>
      </w:r>
      <w:r>
        <w:t xml:space="preserve"> Street, SW</w:t>
      </w:r>
    </w:p>
    <w:p w14:paraId="18AC6348" w14:textId="77777777" w:rsidR="005B7B4D" w:rsidRDefault="005B7B4D" w:rsidP="005B7B4D">
      <w:pPr>
        <w:spacing w:after="0"/>
      </w:pPr>
      <w:r>
        <w:t>Washington, DC 20024</w:t>
      </w:r>
    </w:p>
    <w:p w14:paraId="286982F2" w14:textId="77777777" w:rsidR="005B7B4D" w:rsidRDefault="005B7B4D" w:rsidP="005B7B4D">
      <w:pPr>
        <w:spacing w:after="0"/>
      </w:pPr>
    </w:p>
    <w:p w14:paraId="72D143D2" w14:textId="77777777" w:rsidR="005B7B4D" w:rsidRDefault="005B7B4D" w:rsidP="005B7B4D">
      <w:pPr>
        <w:spacing w:after="0"/>
        <w:rPr>
          <w:b/>
          <w:bCs/>
        </w:rPr>
      </w:pPr>
      <w:r>
        <w:t xml:space="preserve">RE: </w:t>
      </w:r>
      <w:r>
        <w:rPr>
          <w:b/>
          <w:bCs/>
        </w:rPr>
        <w:t>FHLBank System at 100: Focusing on the Future</w:t>
      </w:r>
    </w:p>
    <w:p w14:paraId="6123BB2F" w14:textId="77777777" w:rsidR="005B7B4D" w:rsidRDefault="005B7B4D" w:rsidP="005B7B4D">
      <w:pPr>
        <w:spacing w:after="0"/>
        <w:rPr>
          <w:b/>
          <w:bCs/>
        </w:rPr>
      </w:pPr>
    </w:p>
    <w:p w14:paraId="32D0E97E" w14:textId="77777777" w:rsidR="005B7B4D" w:rsidRDefault="005B7B4D" w:rsidP="005B7B4D">
      <w:pPr>
        <w:spacing w:after="0"/>
      </w:pPr>
      <w:r>
        <w:t>Dear Director Thompson and FHFA Staff:</w:t>
      </w:r>
    </w:p>
    <w:p w14:paraId="452B7445" w14:textId="77777777" w:rsidR="00DC4341" w:rsidRDefault="00DC4341" w:rsidP="005B7B4D">
      <w:pPr>
        <w:spacing w:after="0"/>
      </w:pPr>
    </w:p>
    <w:p w14:paraId="559D6182" w14:textId="39B3BD0E" w:rsidR="00DC4341" w:rsidRDefault="00DC4341" w:rsidP="005B7B4D">
      <w:pPr>
        <w:spacing w:after="0"/>
      </w:pPr>
      <w:r>
        <w:t xml:space="preserve">Today marks seven months since </w:t>
      </w:r>
      <w:r w:rsidR="00E93F7A">
        <w:t xml:space="preserve">the Federal Housing Finance Agency launched </w:t>
      </w:r>
      <w:r w:rsidR="00E93F7A" w:rsidRPr="0090631B">
        <w:rPr>
          <w:i/>
          <w:iCs/>
        </w:rPr>
        <w:t xml:space="preserve">FHLBanks at 100: Focusing on the </w:t>
      </w:r>
      <w:r w:rsidR="005E5BB5" w:rsidRPr="0090631B">
        <w:rPr>
          <w:i/>
          <w:iCs/>
        </w:rPr>
        <w:t>F</w:t>
      </w:r>
      <w:r w:rsidR="00E93F7A" w:rsidRPr="0090631B">
        <w:rPr>
          <w:i/>
          <w:iCs/>
        </w:rPr>
        <w:t>uture</w:t>
      </w:r>
      <w:r w:rsidR="00B26DF7">
        <w:t>, a comprehensive review of the FHLBanks.</w:t>
      </w:r>
      <w:r w:rsidR="00F561E4">
        <w:t xml:space="preserve"> </w:t>
      </w:r>
      <w:r w:rsidR="00F15337">
        <w:t xml:space="preserve">In that time, FHFA staff </w:t>
      </w:r>
      <w:r w:rsidR="0087709F">
        <w:t>has conducted</w:t>
      </w:r>
      <w:r w:rsidR="00F561E4">
        <w:t xml:space="preserve"> </w:t>
      </w:r>
      <w:proofErr w:type="gramStart"/>
      <w:r w:rsidR="0016529A">
        <w:t>19</w:t>
      </w:r>
      <w:proofErr w:type="gramEnd"/>
      <w:r w:rsidR="00336B49">
        <w:t xml:space="preserve"> </w:t>
      </w:r>
      <w:r w:rsidR="00F561E4">
        <w:t>roundtable discussions</w:t>
      </w:r>
      <w:r w:rsidR="000A0150">
        <w:t xml:space="preserve"> </w:t>
      </w:r>
      <w:r w:rsidR="00F561E4">
        <w:t xml:space="preserve">throughout the </w:t>
      </w:r>
      <w:r w:rsidR="005662F1">
        <w:t xml:space="preserve">country, </w:t>
      </w:r>
      <w:r w:rsidR="00336B49">
        <w:t>6</w:t>
      </w:r>
      <w:r w:rsidR="005662F1">
        <w:t xml:space="preserve"> days of listening </w:t>
      </w:r>
      <w:r w:rsidR="009D5830">
        <w:t>sessions</w:t>
      </w:r>
      <w:r w:rsidR="005662F1">
        <w:t xml:space="preserve"> in Washington</w:t>
      </w:r>
      <w:r w:rsidR="009D5830">
        <w:t>,</w:t>
      </w:r>
      <w:r w:rsidR="00096039">
        <w:t xml:space="preserve"> D.C.,</w:t>
      </w:r>
      <w:r w:rsidR="009D5830">
        <w:t xml:space="preserve"> </w:t>
      </w:r>
      <w:r w:rsidR="0087709F">
        <w:t xml:space="preserve">and entertained </w:t>
      </w:r>
      <w:r w:rsidR="009D5830">
        <w:t>hundreds of written comments</w:t>
      </w:r>
      <w:r w:rsidR="00BD6689">
        <w:t>. Brookings and Boston University</w:t>
      </w:r>
      <w:r w:rsidR="000E5764">
        <w:t xml:space="preserve"> co-sponsored </w:t>
      </w:r>
      <w:r w:rsidR="00DD04C9">
        <w:t>a</w:t>
      </w:r>
      <w:r w:rsidR="000E5764">
        <w:t>n entire</w:t>
      </w:r>
      <w:r w:rsidR="00DD04C9">
        <w:t xml:space="preserve"> symposium devote</w:t>
      </w:r>
      <w:r w:rsidR="00F546ED">
        <w:t>d</w:t>
      </w:r>
      <w:r w:rsidR="00DD04C9">
        <w:t xml:space="preserve"> to the topic of ho</w:t>
      </w:r>
      <w:r w:rsidR="00F546ED">
        <w:t xml:space="preserve">w </w:t>
      </w:r>
      <w:r w:rsidR="00DD04C9">
        <w:t xml:space="preserve">the </w:t>
      </w:r>
      <w:r w:rsidR="00FF2FDB">
        <w:t>FHLBanks can best serve a public purpose in the years ahead.</w:t>
      </w:r>
    </w:p>
    <w:p w14:paraId="5DB3416F" w14:textId="77777777" w:rsidR="00390700" w:rsidRDefault="00390700" w:rsidP="005B7B4D">
      <w:pPr>
        <w:spacing w:after="0"/>
      </w:pPr>
    </w:p>
    <w:p w14:paraId="5E0AD530" w14:textId="7548561C" w:rsidR="007C3F70" w:rsidRDefault="00390700" w:rsidP="005B7B4D">
      <w:pPr>
        <w:spacing w:after="0"/>
      </w:pPr>
      <w:r>
        <w:t xml:space="preserve">As informative as these initiatives have been, </w:t>
      </w:r>
      <w:r w:rsidR="00032938">
        <w:t xml:space="preserve">nothing could have </w:t>
      </w:r>
      <w:proofErr w:type="gramStart"/>
      <w:r w:rsidR="00032938">
        <w:t>showcased</w:t>
      </w:r>
      <w:proofErr w:type="gramEnd"/>
      <w:r w:rsidR="00032938">
        <w:t xml:space="preserve"> the strengths and the core weaknesses of the FHLBanks </w:t>
      </w:r>
      <w:r w:rsidR="00D45FA9">
        <w:t xml:space="preserve">more </w:t>
      </w:r>
      <w:r w:rsidR="00032938">
        <w:t>than the events that have transpired</w:t>
      </w:r>
      <w:r w:rsidR="00220849">
        <w:t xml:space="preserve"> in </w:t>
      </w:r>
      <w:r w:rsidR="00D45FA9">
        <w:t xml:space="preserve">the </w:t>
      </w:r>
      <w:r w:rsidR="00220849">
        <w:t>banking industry t</w:t>
      </w:r>
      <w:r w:rsidR="00F546ED">
        <w:t>his month.</w:t>
      </w:r>
      <w:r w:rsidR="00C6258F">
        <w:t xml:space="preserve"> </w:t>
      </w:r>
      <w:r w:rsidR="001F0E47">
        <w:t xml:space="preserve">The FHLBanks </w:t>
      </w:r>
      <w:r w:rsidR="00E84EBE">
        <w:t xml:space="preserve">have been significant creditors </w:t>
      </w:r>
      <w:r w:rsidR="008018BF">
        <w:t>to</w:t>
      </w:r>
      <w:r w:rsidR="00344A24">
        <w:t xml:space="preserve"> each of the</w:t>
      </w:r>
      <w:r w:rsidR="008018BF">
        <w:t xml:space="preserve"> banks that have defined the current banking crisis. They are</w:t>
      </w:r>
      <w:r w:rsidR="00172898">
        <w:t>:</w:t>
      </w:r>
      <w:r w:rsidR="008018BF">
        <w:t xml:space="preserve"> Silvergate Bank, Silicon Valley Bank, and Signature Bank.</w:t>
      </w:r>
      <w:r w:rsidR="009A45CC">
        <w:t xml:space="preserve"> </w:t>
      </w:r>
      <w:r w:rsidR="0066566E">
        <w:t xml:space="preserve">The spillovers from those </w:t>
      </w:r>
      <w:r w:rsidR="0000211B">
        <w:t>failures brought down one of the G-SIBS.</w:t>
      </w:r>
    </w:p>
    <w:p w14:paraId="2CA9A71F" w14:textId="77777777" w:rsidR="007C3F70" w:rsidRDefault="007C3F70" w:rsidP="005B7B4D">
      <w:pPr>
        <w:spacing w:after="0"/>
      </w:pPr>
    </w:p>
    <w:p w14:paraId="7837B13D" w14:textId="1F85C4AC" w:rsidR="00F546ED" w:rsidRPr="00472314" w:rsidRDefault="007C3F70" w:rsidP="005B7B4D">
      <w:pPr>
        <w:spacing w:after="0"/>
        <w:rPr>
          <w:b/>
          <w:bCs/>
          <w:i/>
          <w:iCs/>
        </w:rPr>
      </w:pPr>
      <w:r w:rsidRPr="00472314">
        <w:rPr>
          <w:b/>
          <w:bCs/>
          <w:i/>
          <w:iCs/>
        </w:rPr>
        <w:t>Lenders of Last Resort</w:t>
      </w:r>
      <w:r w:rsidR="00885954" w:rsidRPr="00472314">
        <w:rPr>
          <w:b/>
          <w:bCs/>
          <w:i/>
          <w:iCs/>
        </w:rPr>
        <w:t xml:space="preserve"> </w:t>
      </w:r>
    </w:p>
    <w:p w14:paraId="628909B5" w14:textId="77777777" w:rsidR="00385F03" w:rsidRDefault="00385F03" w:rsidP="005B7B4D">
      <w:pPr>
        <w:spacing w:after="0"/>
      </w:pPr>
    </w:p>
    <w:p w14:paraId="2A90DFBA" w14:textId="32C5B6EA" w:rsidR="00385F03" w:rsidRDefault="003906E9" w:rsidP="005B7B4D">
      <w:pPr>
        <w:spacing w:after="0"/>
      </w:pPr>
      <w:r>
        <w:t>In the weeks and months</w:t>
      </w:r>
      <w:r w:rsidR="00153A8F">
        <w:t xml:space="preserve"> p</w:t>
      </w:r>
      <w:r w:rsidR="004665EF">
        <w:t xml:space="preserve">rior to their </w:t>
      </w:r>
      <w:r w:rsidR="00356C77">
        <w:t xml:space="preserve">failures, advances from FHLBanks </w:t>
      </w:r>
      <w:proofErr w:type="gramStart"/>
      <w:r w:rsidR="00356C77">
        <w:t>were used</w:t>
      </w:r>
      <w:proofErr w:type="gramEnd"/>
      <w:r w:rsidR="00356C77">
        <w:t xml:space="preserve">, not to </w:t>
      </w:r>
      <w:r w:rsidR="008C131B">
        <w:t>promote housing, but to fund</w:t>
      </w:r>
      <w:r w:rsidR="00153A8F">
        <w:t xml:space="preserve"> panic-driven</w:t>
      </w:r>
      <w:r w:rsidR="008C131B">
        <w:t xml:space="preserve"> runs on deposits at thos</w:t>
      </w:r>
      <w:r w:rsidR="00B95B49">
        <w:t>e</w:t>
      </w:r>
      <w:r w:rsidR="008C131B">
        <w:t xml:space="preserve"> banks.</w:t>
      </w:r>
      <w:r w:rsidR="00B95B49">
        <w:t xml:space="preserve"> After their failures</w:t>
      </w:r>
      <w:r w:rsidR="00DE29DB">
        <w:t>, the FHLBanks demonstrated their resi</w:t>
      </w:r>
      <w:r w:rsidR="00A21F17">
        <w:t>li</w:t>
      </w:r>
      <w:r w:rsidR="00DE29DB">
        <w:t xml:space="preserve">ence by </w:t>
      </w:r>
      <w:r w:rsidR="00AC3BF2">
        <w:t xml:space="preserve">issuing </w:t>
      </w:r>
      <w:r w:rsidR="00DE29DB">
        <w:t>hundreds of billions of taxpayer</w:t>
      </w:r>
      <w:r w:rsidR="00FF2A0E">
        <w:t>-</w:t>
      </w:r>
      <w:r w:rsidR="00DE29DB">
        <w:t xml:space="preserve">supported </w:t>
      </w:r>
      <w:proofErr w:type="gramStart"/>
      <w:r w:rsidR="00AC3BF2">
        <w:t>debt</w:t>
      </w:r>
      <w:proofErr w:type="gramEnd"/>
      <w:r w:rsidR="00A21F17">
        <w:t xml:space="preserve">. </w:t>
      </w:r>
      <w:r w:rsidR="00B20077">
        <w:t>The advances from that debt</w:t>
      </w:r>
      <w:r w:rsidR="009F0946">
        <w:t xml:space="preserve"> </w:t>
      </w:r>
      <w:proofErr w:type="gramStart"/>
      <w:r w:rsidR="00623106">
        <w:t>were</w:t>
      </w:r>
      <w:r w:rsidR="009F0946">
        <w:t xml:space="preserve"> used</w:t>
      </w:r>
      <w:proofErr w:type="gramEnd"/>
      <w:r w:rsidR="009F0946">
        <w:t xml:space="preserve">, not to promote housing, but to fund the </w:t>
      </w:r>
      <w:r w:rsidR="002A45F1">
        <w:t>transfer of deposits from local banks to the Too Big to Fai</w:t>
      </w:r>
      <w:r w:rsidR="00202F29">
        <w:t>l Banks and to money market mutual funds.</w:t>
      </w:r>
    </w:p>
    <w:p w14:paraId="2DD93A6B" w14:textId="77777777" w:rsidR="009A1E33" w:rsidRDefault="009A1E33" w:rsidP="005B7B4D">
      <w:pPr>
        <w:spacing w:after="0"/>
      </w:pPr>
    </w:p>
    <w:p w14:paraId="62F4A2E6" w14:textId="5A6052FE" w:rsidR="009A1E33" w:rsidRDefault="001675F4" w:rsidP="005B7B4D">
      <w:pPr>
        <w:spacing w:after="0"/>
      </w:pPr>
      <w:r>
        <w:t>By lending to crypto banks and to banks</w:t>
      </w:r>
      <w:r w:rsidR="00A34F53">
        <w:t xml:space="preserve"> whose assets and liabilities are grossly mismatched</w:t>
      </w:r>
      <w:r w:rsidR="00462803">
        <w:t>, and by doing so without any hint of a public purpose</w:t>
      </w:r>
      <w:r w:rsidR="00043F86">
        <w:t xml:space="preserve">, the FHLBanks have </w:t>
      </w:r>
      <w:r w:rsidR="008A2515">
        <w:t>abused their charters</w:t>
      </w:r>
      <w:r w:rsidR="00A9746A">
        <w:t xml:space="preserve">. They have </w:t>
      </w:r>
      <w:r w:rsidR="00043F86">
        <w:t>demonstrated the</w:t>
      </w:r>
      <w:r w:rsidR="006C4653">
        <w:t xml:space="preserve"> urgent</w:t>
      </w:r>
      <w:r w:rsidR="00043F86">
        <w:t xml:space="preserve"> need for their substantial reform.</w:t>
      </w:r>
    </w:p>
    <w:p w14:paraId="1ECB20F7" w14:textId="77777777" w:rsidR="00172898" w:rsidRDefault="00172898" w:rsidP="005B7B4D">
      <w:pPr>
        <w:spacing w:after="0"/>
      </w:pPr>
    </w:p>
    <w:p w14:paraId="0635FB3E" w14:textId="77777777" w:rsidR="000469EC" w:rsidRDefault="000469EC" w:rsidP="005B7B4D">
      <w:pPr>
        <w:spacing w:after="0"/>
      </w:pPr>
      <w:r>
        <w:t>D</w:t>
      </w:r>
      <w:r w:rsidR="007E62A2">
        <w:t xml:space="preserve">espite </w:t>
      </w:r>
      <w:r w:rsidR="002000AB">
        <w:t xml:space="preserve">their </w:t>
      </w:r>
      <w:r w:rsidR="007E62A2">
        <w:t>having escorted these and other banks to the door of receivership</w:t>
      </w:r>
      <w:r w:rsidR="004A38AB">
        <w:t xml:space="preserve">s, the FHLBanks steadfastly proclaim that they have never lost a dollar on </w:t>
      </w:r>
      <w:r w:rsidR="003E3D5F">
        <w:t xml:space="preserve">an </w:t>
      </w:r>
      <w:r w:rsidR="004A38AB">
        <w:t xml:space="preserve">advance in their ninety years of operation. </w:t>
      </w:r>
      <w:r w:rsidR="0041438D">
        <w:t xml:space="preserve">It </w:t>
      </w:r>
      <w:proofErr w:type="gramStart"/>
      <w:r w:rsidR="0041438D">
        <w:t>is now well understood</w:t>
      </w:r>
      <w:proofErr w:type="gramEnd"/>
      <w:r w:rsidR="00EB0B87">
        <w:t>, however,</w:t>
      </w:r>
      <w:r w:rsidR="0041438D">
        <w:t xml:space="preserve"> that </w:t>
      </w:r>
      <w:r w:rsidR="00D1234C">
        <w:t>losses on</w:t>
      </w:r>
      <w:r w:rsidR="00202004">
        <w:t xml:space="preserve"> FHLBank</w:t>
      </w:r>
      <w:r w:rsidR="00D1234C">
        <w:t xml:space="preserve"> advances</w:t>
      </w:r>
      <w:r w:rsidR="005E420C">
        <w:t xml:space="preserve"> </w:t>
      </w:r>
      <w:r w:rsidR="005E420C" w:rsidRPr="00202004">
        <w:rPr>
          <w:i/>
          <w:iCs/>
        </w:rPr>
        <w:t>do</w:t>
      </w:r>
      <w:r w:rsidR="005E420C">
        <w:t xml:space="preserve"> occur</w:t>
      </w:r>
      <w:r w:rsidR="00CF7CF2">
        <w:t>.</w:t>
      </w:r>
    </w:p>
    <w:p w14:paraId="33FF3B3A" w14:textId="77777777" w:rsidR="000469EC" w:rsidRDefault="000469EC" w:rsidP="005B7B4D">
      <w:pPr>
        <w:spacing w:after="0"/>
      </w:pPr>
    </w:p>
    <w:p w14:paraId="626A326A" w14:textId="618FEFDE" w:rsidR="00172898" w:rsidRDefault="00885F2A" w:rsidP="005B7B4D">
      <w:pPr>
        <w:spacing w:after="0"/>
      </w:pPr>
      <w:r>
        <w:t>Those considerable losses</w:t>
      </w:r>
      <w:r w:rsidR="00210920">
        <w:t xml:space="preserve"> </w:t>
      </w:r>
      <w:r w:rsidR="00D1234C">
        <w:t>are born</w:t>
      </w:r>
      <w:r w:rsidR="0005069C">
        <w:t>,</w:t>
      </w:r>
      <w:r w:rsidR="00D1234C">
        <w:t xml:space="preserve"> not by the FHLBanks</w:t>
      </w:r>
      <w:r w:rsidR="0005069C">
        <w:t>,</w:t>
      </w:r>
      <w:r w:rsidR="00D1234C">
        <w:t xml:space="preserve"> but by the FDIC.</w:t>
      </w:r>
      <w:r w:rsidR="00F57328">
        <w:t xml:space="preserve"> </w:t>
      </w:r>
      <w:r w:rsidR="00386A07">
        <w:t xml:space="preserve">Moreover, </w:t>
      </w:r>
      <w:r w:rsidR="00F954F8">
        <w:t xml:space="preserve">advances allow the borrowing bank to </w:t>
      </w:r>
      <w:r w:rsidR="000D59FC">
        <w:t xml:space="preserve">further leverage itself thus adding to </w:t>
      </w:r>
      <w:r w:rsidR="00386A07">
        <w:t xml:space="preserve">the FDIC’s </w:t>
      </w:r>
      <w:r w:rsidR="006C5752">
        <w:t>ultimate losses</w:t>
      </w:r>
      <w:r w:rsidR="00CA1F00">
        <w:t xml:space="preserve">. </w:t>
      </w:r>
      <w:r w:rsidR="00682BA9">
        <w:t xml:space="preserve">The FDIC </w:t>
      </w:r>
      <w:r w:rsidR="00742E75">
        <w:t xml:space="preserve">conservatively </w:t>
      </w:r>
      <w:r w:rsidR="00682BA9">
        <w:t xml:space="preserve">estimates its losses on the </w:t>
      </w:r>
      <w:r w:rsidR="005856CB">
        <w:t>Silicon</w:t>
      </w:r>
      <w:r w:rsidR="00682BA9">
        <w:t xml:space="preserve"> Valley Bank and Signature Bank </w:t>
      </w:r>
      <w:r w:rsidR="005856CB">
        <w:t>receiverships</w:t>
      </w:r>
      <w:r w:rsidR="00682BA9">
        <w:t xml:space="preserve"> to be $22.5 billion</w:t>
      </w:r>
      <w:r w:rsidR="005856CB">
        <w:t>.</w:t>
      </w:r>
    </w:p>
    <w:p w14:paraId="527F26D1" w14:textId="77777777" w:rsidR="00D939A2" w:rsidRDefault="00D939A2" w:rsidP="005B7B4D">
      <w:pPr>
        <w:spacing w:after="0"/>
      </w:pPr>
    </w:p>
    <w:p w14:paraId="07BFA2C6" w14:textId="27A6BD8E" w:rsidR="00D939A2" w:rsidRPr="00692E80" w:rsidRDefault="00BE6415" w:rsidP="005B7B4D">
      <w:pPr>
        <w:spacing w:after="0"/>
        <w:rPr>
          <w:i/>
          <w:iCs/>
        </w:rPr>
      </w:pPr>
      <w:r w:rsidRPr="00692E80">
        <w:rPr>
          <w:i/>
          <w:iCs/>
        </w:rPr>
        <w:t>It was never the intention</w:t>
      </w:r>
      <w:r w:rsidR="00692E80" w:rsidRPr="00692E80">
        <w:rPr>
          <w:i/>
          <w:iCs/>
        </w:rPr>
        <w:t xml:space="preserve"> of Congress</w:t>
      </w:r>
      <w:r w:rsidRPr="00692E80">
        <w:rPr>
          <w:i/>
          <w:iCs/>
        </w:rPr>
        <w:t xml:space="preserve"> that FHLBanks serve as lenders of last resort and </w:t>
      </w:r>
      <w:r w:rsidR="00FA054A" w:rsidRPr="00692E80">
        <w:rPr>
          <w:i/>
          <w:iCs/>
        </w:rPr>
        <w:t>their do</w:t>
      </w:r>
      <w:r w:rsidR="00943DD0">
        <w:rPr>
          <w:i/>
          <w:iCs/>
        </w:rPr>
        <w:t xml:space="preserve">ing </w:t>
      </w:r>
      <w:r w:rsidR="00FA054A" w:rsidRPr="00692E80">
        <w:rPr>
          <w:i/>
          <w:iCs/>
        </w:rPr>
        <w:t>so ha</w:t>
      </w:r>
      <w:r w:rsidR="00943DD0">
        <w:rPr>
          <w:i/>
          <w:iCs/>
        </w:rPr>
        <w:t xml:space="preserve">s </w:t>
      </w:r>
      <w:r w:rsidR="00994CF0">
        <w:rPr>
          <w:i/>
          <w:iCs/>
        </w:rPr>
        <w:t xml:space="preserve">been harmful to </w:t>
      </w:r>
      <w:r w:rsidR="00FA054A" w:rsidRPr="00692E80">
        <w:rPr>
          <w:i/>
          <w:iCs/>
        </w:rPr>
        <w:t xml:space="preserve">the </w:t>
      </w:r>
      <w:r w:rsidR="00692E80" w:rsidRPr="00692E80">
        <w:rPr>
          <w:i/>
          <w:iCs/>
        </w:rPr>
        <w:t>p</w:t>
      </w:r>
      <w:r w:rsidR="00FA054A" w:rsidRPr="00692E80">
        <w:rPr>
          <w:i/>
          <w:iCs/>
        </w:rPr>
        <w:t>ublic interest.</w:t>
      </w:r>
    </w:p>
    <w:p w14:paraId="20859297" w14:textId="77777777" w:rsidR="00472314" w:rsidRDefault="00472314" w:rsidP="005B7B4D">
      <w:pPr>
        <w:spacing w:after="0"/>
      </w:pPr>
    </w:p>
    <w:p w14:paraId="4C1E9160" w14:textId="00EFEA17" w:rsidR="00472314" w:rsidRPr="00472314" w:rsidRDefault="00472314" w:rsidP="005B7B4D">
      <w:pPr>
        <w:spacing w:after="0"/>
        <w:rPr>
          <w:b/>
          <w:bCs/>
          <w:i/>
          <w:iCs/>
        </w:rPr>
      </w:pPr>
      <w:r w:rsidRPr="00472314">
        <w:rPr>
          <w:b/>
          <w:bCs/>
          <w:i/>
          <w:iCs/>
        </w:rPr>
        <w:t>Affordable Housing</w:t>
      </w:r>
    </w:p>
    <w:p w14:paraId="733BFE45" w14:textId="77777777" w:rsidR="00FB64E6" w:rsidRDefault="00FB64E6" w:rsidP="005B7B4D">
      <w:pPr>
        <w:spacing w:after="0"/>
      </w:pPr>
    </w:p>
    <w:p w14:paraId="2CA3F9DA" w14:textId="1583ABBE" w:rsidR="00FB64E6" w:rsidRDefault="00260B03" w:rsidP="005B7B4D">
      <w:pPr>
        <w:spacing w:after="0"/>
      </w:pPr>
      <w:r>
        <w:t xml:space="preserve">At the </w:t>
      </w:r>
      <w:proofErr w:type="gramStart"/>
      <w:r>
        <w:t>many</w:t>
      </w:r>
      <w:proofErr w:type="gramEnd"/>
      <w:r>
        <w:t xml:space="preserve"> for</w:t>
      </w:r>
      <w:r w:rsidR="00742E75">
        <w:t>a</w:t>
      </w:r>
      <w:r>
        <w:t xml:space="preserve"> hosted by FHFA staff in recent months</w:t>
      </w:r>
      <w:r w:rsidR="00DA5BD2">
        <w:t xml:space="preserve">, </w:t>
      </w:r>
      <w:r w:rsidR="00E01D58">
        <w:t xml:space="preserve">bankers and housing advocates </w:t>
      </w:r>
      <w:r w:rsidR="00EB6FC9">
        <w:t xml:space="preserve">have directed much justified praise toward the Affordable Housing Program. </w:t>
      </w:r>
      <w:r w:rsidR="006E6D99">
        <w:t xml:space="preserve">Yet </w:t>
      </w:r>
      <w:proofErr w:type="gramStart"/>
      <w:r w:rsidR="006E6D99">
        <w:t>many</w:t>
      </w:r>
      <w:proofErr w:type="gramEnd"/>
      <w:r w:rsidR="006E6D99">
        <w:t xml:space="preserve"> have </w:t>
      </w:r>
      <w:r w:rsidR="005345DA">
        <w:t xml:space="preserve">also </w:t>
      </w:r>
      <w:r w:rsidR="00E51425">
        <w:t xml:space="preserve">criticized the AHP for </w:t>
      </w:r>
      <w:r w:rsidR="002B0D19">
        <w:t>its inadequate funding and for its bureaucratic complexity.</w:t>
      </w:r>
    </w:p>
    <w:p w14:paraId="159EACF2" w14:textId="77777777" w:rsidR="002B0D19" w:rsidRDefault="002B0D19" w:rsidP="005B7B4D">
      <w:pPr>
        <w:spacing w:after="0"/>
      </w:pPr>
    </w:p>
    <w:p w14:paraId="3C1CDB10" w14:textId="6100BA9D" w:rsidR="00A3122E" w:rsidRDefault="00D545DF" w:rsidP="005B7B4D">
      <w:pPr>
        <w:spacing w:after="0"/>
      </w:pPr>
      <w:r>
        <w:t xml:space="preserve">The essential problem is that while the FHLBanks </w:t>
      </w:r>
      <w:r w:rsidR="002F3772">
        <w:t>distribute advances</w:t>
      </w:r>
      <w:r w:rsidR="00742E75">
        <w:t xml:space="preserve"> to their members</w:t>
      </w:r>
      <w:r w:rsidR="002F3772">
        <w:t xml:space="preserve"> through a firehose</w:t>
      </w:r>
      <w:r w:rsidR="00954166">
        <w:t>,</w:t>
      </w:r>
      <w:r w:rsidR="00692E80">
        <w:t xml:space="preserve"> </w:t>
      </w:r>
      <w:r w:rsidR="00AB1EAC">
        <w:t>when it comes to affordable housing credit</w:t>
      </w:r>
      <w:r w:rsidR="00692E80">
        <w:t>,</w:t>
      </w:r>
      <w:r w:rsidR="00AB1EAC">
        <w:t xml:space="preserve"> they use a </w:t>
      </w:r>
      <w:r w:rsidR="00244C6A">
        <w:t>bean blower</w:t>
      </w:r>
      <w:r w:rsidR="00AB1EAC">
        <w:t>.</w:t>
      </w:r>
      <w:r w:rsidR="00244C6A">
        <w:t xml:space="preserve"> </w:t>
      </w:r>
      <w:r w:rsidR="008930A5">
        <w:t>For example, the advances made to one member bank, Silicon Valley Bank, were forty times</w:t>
      </w:r>
      <w:r w:rsidR="00DC7576">
        <w:t xml:space="preserve"> (40 X)</w:t>
      </w:r>
      <w:r w:rsidR="00C270C1">
        <w:t xml:space="preserve"> the entire AHP assessment </w:t>
      </w:r>
      <w:r w:rsidR="00DC7576">
        <w:t>for all eleven FHLBanks in 2022.</w:t>
      </w:r>
      <w:r w:rsidR="00CA71EE">
        <w:t xml:space="preserve"> </w:t>
      </w:r>
    </w:p>
    <w:p w14:paraId="193564C6" w14:textId="77777777" w:rsidR="00A3122E" w:rsidRDefault="00A3122E" w:rsidP="005B7B4D">
      <w:pPr>
        <w:spacing w:after="0"/>
      </w:pPr>
    </w:p>
    <w:p w14:paraId="2D215625" w14:textId="77777777" w:rsidR="001F64B5" w:rsidRDefault="00CB4D0A" w:rsidP="005B7B4D">
      <w:pPr>
        <w:spacing w:after="0"/>
      </w:pPr>
      <w:r>
        <w:t xml:space="preserve">The FHLBanks </w:t>
      </w:r>
      <w:r w:rsidR="006B3FC8">
        <w:t>were th</w:t>
      </w:r>
      <w:r>
        <w:t xml:space="preserve">e recipients </w:t>
      </w:r>
      <w:r w:rsidR="00A71A4C">
        <w:t xml:space="preserve">of </w:t>
      </w:r>
      <w:r w:rsidR="006B3FC8">
        <w:t xml:space="preserve">a </w:t>
      </w:r>
      <w:r w:rsidR="00A71A4C">
        <w:t>taxpayer subsidy of approximately $</w:t>
      </w:r>
      <w:r w:rsidR="001B1826">
        <w:t xml:space="preserve">7.3 </w:t>
      </w:r>
      <w:r w:rsidR="007C158F">
        <w:t>b</w:t>
      </w:r>
      <w:r w:rsidR="009620D0">
        <w:t>illion</w:t>
      </w:r>
      <w:r w:rsidR="001B1826">
        <w:t xml:space="preserve"> in 2022</w:t>
      </w:r>
      <w:r w:rsidR="009620D0">
        <w:t xml:space="preserve"> consisting of </w:t>
      </w:r>
      <w:r w:rsidR="00C971C8">
        <w:t xml:space="preserve">the implied taxpayer support of their </w:t>
      </w:r>
      <w:r w:rsidR="00C451EA">
        <w:t>$1.</w:t>
      </w:r>
      <w:r w:rsidR="005961DB">
        <w:t>2</w:t>
      </w:r>
      <w:r w:rsidR="00C451EA">
        <w:t xml:space="preserve"> trillion debt and the </w:t>
      </w:r>
      <w:r w:rsidR="00394C72">
        <w:t>tax-exempt</w:t>
      </w:r>
      <w:r w:rsidR="00C451EA">
        <w:t xml:space="preserve"> status of interest on that debt and </w:t>
      </w:r>
      <w:r w:rsidR="007C158F">
        <w:t>the FHLBanks themselves.</w:t>
      </w:r>
      <w:r w:rsidR="005961DB">
        <w:t xml:space="preserve"> With the current surge </w:t>
      </w:r>
      <w:r w:rsidR="00313E27">
        <w:t>in their taxpayer-supported debt, the taxpayer subsidy of the FHLBan</w:t>
      </w:r>
      <w:r w:rsidR="001F64B5">
        <w:t>k</w:t>
      </w:r>
      <w:r w:rsidR="00313E27">
        <w:t xml:space="preserve">s is likely to come in well over </w:t>
      </w:r>
      <w:r w:rsidR="001F64B5">
        <w:t>$9 billion in 2023.</w:t>
      </w:r>
      <w:r w:rsidR="00123BBF">
        <w:t xml:space="preserve"> </w:t>
      </w:r>
    </w:p>
    <w:p w14:paraId="615D939A" w14:textId="77777777" w:rsidR="001F64B5" w:rsidRDefault="001F64B5" w:rsidP="005B7B4D">
      <w:pPr>
        <w:spacing w:after="0"/>
      </w:pPr>
    </w:p>
    <w:p w14:paraId="0EC987D0" w14:textId="3B3B01C2" w:rsidR="00F147BC" w:rsidRDefault="00E5494B" w:rsidP="005B7B4D">
      <w:pPr>
        <w:spacing w:after="0"/>
      </w:pPr>
      <w:r>
        <w:t>Yet</w:t>
      </w:r>
      <w:r w:rsidR="008E3268">
        <w:t xml:space="preserve"> l</w:t>
      </w:r>
      <w:r w:rsidR="00580870">
        <w:t xml:space="preserve">ess than 4 per cent of this annual taxpayer </w:t>
      </w:r>
      <w:r w:rsidR="007C4A8E">
        <w:t>subsidy</w:t>
      </w:r>
      <w:r w:rsidR="00580870">
        <w:t xml:space="preserve"> finds its way </w:t>
      </w:r>
      <w:r w:rsidR="003759B8">
        <w:t>to affordable housing o</w:t>
      </w:r>
      <w:r w:rsidR="00133166">
        <w:t>r</w:t>
      </w:r>
      <w:r w:rsidR="003759B8">
        <w:t xml:space="preserve"> to any other public benefit. </w:t>
      </w:r>
      <w:r w:rsidR="00F266F9">
        <w:t xml:space="preserve">The remaining </w:t>
      </w:r>
      <w:r w:rsidR="00651C2E">
        <w:t xml:space="preserve">96 per cent of taxpayer outlay </w:t>
      </w:r>
      <w:proofErr w:type="gramStart"/>
      <w:r w:rsidR="001B696D">
        <w:t xml:space="preserve">is </w:t>
      </w:r>
      <w:r w:rsidR="00323CA2">
        <w:t>divided</w:t>
      </w:r>
      <w:proofErr w:type="gramEnd"/>
      <w:r w:rsidR="001B696D">
        <w:t xml:space="preserve"> between the FHLBanks</w:t>
      </w:r>
      <w:r w:rsidR="00323CA2">
        <w:t>’</w:t>
      </w:r>
      <w:r w:rsidR="001B696D">
        <w:t xml:space="preserve"> member</w:t>
      </w:r>
      <w:r w:rsidR="00323CA2">
        <w:t>s (banks and insurance companies)</w:t>
      </w:r>
      <w:r w:rsidR="00F43874">
        <w:t xml:space="preserve"> in the form of subsidized funding and</w:t>
      </w:r>
      <w:r w:rsidR="00977FD3">
        <w:t xml:space="preserve"> generous</w:t>
      </w:r>
      <w:r w:rsidR="00F43874">
        <w:t xml:space="preserve"> dividends</w:t>
      </w:r>
      <w:r w:rsidR="00323CA2">
        <w:t xml:space="preserve"> and the FHLBanks themselves.</w:t>
      </w:r>
      <w:r w:rsidR="00912458">
        <w:t xml:space="preserve"> </w:t>
      </w:r>
      <w:r w:rsidR="00577726" w:rsidRPr="00912458">
        <w:t>As was observed by one FHFA staff members at a recent roundtable</w:t>
      </w:r>
      <w:r w:rsidR="00B11616" w:rsidRPr="00912458">
        <w:t>, this is nothing less than “</w:t>
      </w:r>
      <w:hyperlink r:id="rId6" w:history="1">
        <w:r w:rsidR="00B11616" w:rsidRPr="00912458">
          <w:rPr>
            <w:rStyle w:val="Hyperlink"/>
          </w:rPr>
          <w:t>corporate welfare</w:t>
        </w:r>
      </w:hyperlink>
      <w:r w:rsidR="00B11616" w:rsidRPr="00912458">
        <w:t>.”</w:t>
      </w:r>
    </w:p>
    <w:p w14:paraId="76989AA0" w14:textId="77777777" w:rsidR="00912458" w:rsidRDefault="00912458" w:rsidP="005B7B4D">
      <w:pPr>
        <w:spacing w:after="0"/>
      </w:pPr>
    </w:p>
    <w:p w14:paraId="21AE69B2" w14:textId="5687250A" w:rsidR="00912458" w:rsidRPr="00912458" w:rsidRDefault="00912458" w:rsidP="005B7B4D">
      <w:pPr>
        <w:spacing w:after="0"/>
        <w:rPr>
          <w:i/>
          <w:iCs/>
        </w:rPr>
      </w:pPr>
      <w:r w:rsidRPr="00912458">
        <w:rPr>
          <w:i/>
          <w:iCs/>
        </w:rPr>
        <w:t>AHP is but a thin veneer over a windfall for the FHLBanks</w:t>
      </w:r>
      <w:r w:rsidR="00377338">
        <w:rPr>
          <w:i/>
          <w:iCs/>
        </w:rPr>
        <w:t xml:space="preserve"> and their members</w:t>
      </w:r>
      <w:r w:rsidRPr="00912458">
        <w:rPr>
          <w:i/>
          <w:iCs/>
        </w:rPr>
        <w:t>.</w:t>
      </w:r>
      <w:r w:rsidR="00D243D1">
        <w:rPr>
          <w:i/>
          <w:iCs/>
        </w:rPr>
        <w:t xml:space="preserve"> </w:t>
      </w:r>
      <w:r w:rsidR="00E5494B">
        <w:rPr>
          <w:i/>
          <w:iCs/>
        </w:rPr>
        <w:t>FHFA should r</w:t>
      </w:r>
      <w:r w:rsidR="003F35C6">
        <w:rPr>
          <w:i/>
          <w:iCs/>
        </w:rPr>
        <w:t>emind the FHLBanks that the 10 per cent</w:t>
      </w:r>
      <w:r w:rsidR="00E5494B">
        <w:rPr>
          <w:i/>
          <w:iCs/>
        </w:rPr>
        <w:t xml:space="preserve"> statutory</w:t>
      </w:r>
      <w:r w:rsidR="003F35C6">
        <w:rPr>
          <w:i/>
          <w:iCs/>
        </w:rPr>
        <w:t xml:space="preserve"> assessment for affordable housing is a bare minimum and that they </w:t>
      </w:r>
      <w:proofErr w:type="gramStart"/>
      <w:r w:rsidR="003F35C6">
        <w:rPr>
          <w:i/>
          <w:iCs/>
        </w:rPr>
        <w:t>are expected</w:t>
      </w:r>
      <w:proofErr w:type="gramEnd"/>
      <w:r w:rsidR="003F35C6">
        <w:rPr>
          <w:i/>
          <w:iCs/>
        </w:rPr>
        <w:t xml:space="preserve"> to </w:t>
      </w:r>
      <w:r w:rsidR="000B3687">
        <w:rPr>
          <w:i/>
          <w:iCs/>
        </w:rPr>
        <w:t>contribute</w:t>
      </w:r>
      <w:r w:rsidR="003F35C6">
        <w:rPr>
          <w:i/>
          <w:iCs/>
        </w:rPr>
        <w:t xml:space="preserve"> multiples of that amount. If </w:t>
      </w:r>
      <w:r w:rsidR="000B3687">
        <w:rPr>
          <w:i/>
          <w:iCs/>
        </w:rPr>
        <w:t>necessary,</w:t>
      </w:r>
      <w:r w:rsidR="003F35C6">
        <w:rPr>
          <w:i/>
          <w:iCs/>
        </w:rPr>
        <w:t xml:space="preserve"> propose a leg</w:t>
      </w:r>
      <w:r w:rsidR="000B3687">
        <w:rPr>
          <w:i/>
          <w:iCs/>
        </w:rPr>
        <w:t>islative change.</w:t>
      </w:r>
    </w:p>
    <w:p w14:paraId="451F4548" w14:textId="77777777" w:rsidR="00472314" w:rsidRDefault="00472314" w:rsidP="005B7B4D">
      <w:pPr>
        <w:spacing w:after="0"/>
      </w:pPr>
    </w:p>
    <w:p w14:paraId="78BD6A60" w14:textId="77777777" w:rsidR="00965247" w:rsidRDefault="00965247" w:rsidP="005B7B4D">
      <w:pPr>
        <w:spacing w:after="0"/>
        <w:rPr>
          <w:b/>
          <w:bCs/>
          <w:i/>
          <w:iCs/>
        </w:rPr>
      </w:pPr>
    </w:p>
    <w:p w14:paraId="45CFA623" w14:textId="77777777" w:rsidR="002D5DA9" w:rsidRDefault="002D5DA9" w:rsidP="005B7B4D">
      <w:pPr>
        <w:spacing w:after="0"/>
        <w:rPr>
          <w:b/>
          <w:bCs/>
          <w:i/>
          <w:iCs/>
        </w:rPr>
      </w:pPr>
    </w:p>
    <w:p w14:paraId="15A300DE" w14:textId="77777777" w:rsidR="002D5DA9" w:rsidRDefault="002D5DA9" w:rsidP="005B7B4D">
      <w:pPr>
        <w:spacing w:after="0"/>
        <w:rPr>
          <w:b/>
          <w:bCs/>
          <w:i/>
          <w:iCs/>
        </w:rPr>
      </w:pPr>
    </w:p>
    <w:p w14:paraId="48F9D91F" w14:textId="4A2557B8" w:rsidR="00472314" w:rsidRPr="008C6A61" w:rsidRDefault="00472314" w:rsidP="005B7B4D">
      <w:pPr>
        <w:spacing w:after="0"/>
        <w:rPr>
          <w:b/>
          <w:bCs/>
          <w:i/>
          <w:iCs/>
        </w:rPr>
      </w:pPr>
      <w:r w:rsidRPr="008C6A61">
        <w:rPr>
          <w:b/>
          <w:bCs/>
          <w:i/>
          <w:iCs/>
        </w:rPr>
        <w:lastRenderedPageBreak/>
        <w:t>A</w:t>
      </w:r>
      <w:r w:rsidR="008C6A61" w:rsidRPr="008C6A61">
        <w:rPr>
          <w:b/>
          <w:bCs/>
          <w:i/>
          <w:iCs/>
        </w:rPr>
        <w:t xml:space="preserve"> Substitute for Deposits</w:t>
      </w:r>
    </w:p>
    <w:p w14:paraId="35EE85F4" w14:textId="77777777" w:rsidR="008E674E" w:rsidRDefault="008E674E" w:rsidP="005B7B4D">
      <w:pPr>
        <w:spacing w:after="0"/>
      </w:pPr>
    </w:p>
    <w:p w14:paraId="02490E22" w14:textId="22CD381D" w:rsidR="00731360" w:rsidRDefault="000F059E" w:rsidP="005B7B4D">
      <w:pPr>
        <w:spacing w:after="0"/>
      </w:pPr>
      <w:r>
        <w:t>But the punishment of the taxpayer</w:t>
      </w:r>
      <w:r w:rsidR="00C41036">
        <w:t>s</w:t>
      </w:r>
      <w:r>
        <w:t xml:space="preserve"> does</w:t>
      </w:r>
      <w:r w:rsidR="00C41036">
        <w:t xml:space="preserve"> not end with their squandered subsi</w:t>
      </w:r>
      <w:r w:rsidR="00E32F90">
        <w:t xml:space="preserve">dy of the FHLBanks. For months, I have been pointing out </w:t>
      </w:r>
      <w:hyperlink r:id="rId7" w:history="1">
        <w:r w:rsidR="00E32F90" w:rsidRPr="00A53A12">
          <w:rPr>
            <w:rStyle w:val="Hyperlink"/>
          </w:rPr>
          <w:t>the open secret</w:t>
        </w:r>
      </w:hyperlink>
      <w:r w:rsidR="00E32F90">
        <w:t xml:space="preserve"> that the FHLBanks</w:t>
      </w:r>
      <w:r w:rsidR="000C62FD">
        <w:t>’ members</w:t>
      </w:r>
      <w:r w:rsidR="00E32F90">
        <w:t xml:space="preserve"> use</w:t>
      </w:r>
      <w:r w:rsidR="00A30C36">
        <w:t xml:space="preserve"> their access to low cost advances as a substitute for paying </w:t>
      </w:r>
      <w:r w:rsidR="00381C40">
        <w:t>market rates of interest to their own depositors.</w:t>
      </w:r>
    </w:p>
    <w:p w14:paraId="616FA2BF" w14:textId="77777777" w:rsidR="00142D1B" w:rsidRDefault="00142D1B" w:rsidP="005B7B4D">
      <w:pPr>
        <w:spacing w:after="0"/>
      </w:pPr>
    </w:p>
    <w:p w14:paraId="6C0EB636" w14:textId="3685ABC2" w:rsidR="00142D1B" w:rsidRDefault="00142D1B" w:rsidP="005B7B4D">
      <w:pPr>
        <w:spacing w:after="0"/>
      </w:pPr>
      <w:r>
        <w:t xml:space="preserve">Only now, faced with an </w:t>
      </w:r>
      <w:r w:rsidR="00A524F0">
        <w:t xml:space="preserve">exodus of depositors, have bankers awakened to the realization </w:t>
      </w:r>
      <w:r w:rsidR="002517A3">
        <w:t xml:space="preserve">that </w:t>
      </w:r>
      <w:r w:rsidR="00737E2E">
        <w:t xml:space="preserve">depositors respond </w:t>
      </w:r>
      <w:r w:rsidR="005221CA">
        <w:t xml:space="preserve">positively to </w:t>
      </w:r>
      <w:proofErr w:type="gramStart"/>
      <w:r w:rsidR="005221CA">
        <w:t>being treated</w:t>
      </w:r>
      <w:proofErr w:type="gramEnd"/>
      <w:r w:rsidR="005221CA">
        <w:t xml:space="preserve"> fairly. </w:t>
      </w:r>
      <w:r w:rsidR="00FB164E">
        <w:t xml:space="preserve">As pointed out in a recent </w:t>
      </w:r>
      <w:hyperlink r:id="rId8" w:history="1">
        <w:r w:rsidR="00FB164E" w:rsidRPr="00D85D6D">
          <w:rPr>
            <w:rStyle w:val="Hyperlink"/>
          </w:rPr>
          <w:t>Reuters article</w:t>
        </w:r>
      </w:hyperlink>
      <w:r w:rsidR="005465E4">
        <w:t>:</w:t>
      </w:r>
    </w:p>
    <w:p w14:paraId="484DE589" w14:textId="253E966B" w:rsidR="00E26806" w:rsidRDefault="005465E4" w:rsidP="006C5E5E">
      <w:pPr>
        <w:jc w:val="both"/>
        <w:rPr>
          <w:rFonts w:cs="Times New Roman"/>
          <w:color w:val="404040"/>
          <w:szCs w:val="24"/>
        </w:rPr>
      </w:pPr>
      <w:r w:rsidRPr="005C5289">
        <w:rPr>
          <w:rFonts w:cs="Times New Roman"/>
          <w:color w:val="404040"/>
          <w:szCs w:val="24"/>
        </w:rPr>
        <w:t>“</w:t>
      </w:r>
      <w:r w:rsidR="0090631B" w:rsidRPr="005C5289">
        <w:rPr>
          <w:rFonts w:cs="Times New Roman"/>
          <w:color w:val="404040"/>
          <w:szCs w:val="24"/>
        </w:rPr>
        <w:t>’</w:t>
      </w:r>
      <w:r w:rsidRPr="005C5289">
        <w:rPr>
          <w:rFonts w:cs="Times New Roman"/>
          <w:color w:val="404040"/>
          <w:szCs w:val="24"/>
        </w:rPr>
        <w:t>Paying higher rates on deposits is the most common way to make them stick</w:t>
      </w:r>
      <w:proofErr w:type="gramStart"/>
      <w:r w:rsidR="0090631B" w:rsidRPr="005C5289">
        <w:rPr>
          <w:rFonts w:cs="Times New Roman"/>
          <w:color w:val="404040"/>
          <w:szCs w:val="24"/>
        </w:rPr>
        <w:t>’</w:t>
      </w:r>
      <w:r w:rsidRPr="005C5289">
        <w:rPr>
          <w:rFonts w:cs="Times New Roman"/>
          <w:color w:val="404040"/>
          <w:szCs w:val="24"/>
        </w:rPr>
        <w:t>,</w:t>
      </w:r>
      <w:proofErr w:type="gramEnd"/>
      <w:r w:rsidRPr="005C5289">
        <w:rPr>
          <w:rFonts w:cs="Times New Roman"/>
          <w:color w:val="404040"/>
          <w:szCs w:val="24"/>
        </w:rPr>
        <w:t xml:space="preserve"> executives said.”</w:t>
      </w:r>
      <w:r w:rsidR="00E26806">
        <w:rPr>
          <w:rFonts w:cs="Times New Roman"/>
          <w:color w:val="404040"/>
          <w:szCs w:val="24"/>
        </w:rPr>
        <w:t xml:space="preserve"> The failure of Silicon Valley Bank demonstrated </w:t>
      </w:r>
      <w:r w:rsidR="00AD51F4">
        <w:rPr>
          <w:rFonts w:cs="Times New Roman"/>
          <w:color w:val="404040"/>
          <w:szCs w:val="24"/>
        </w:rPr>
        <w:t>depositor sensitivity to real time information and their ability to act on such information quickly.</w:t>
      </w:r>
    </w:p>
    <w:p w14:paraId="6B5227FB" w14:textId="6D1D6068" w:rsidR="005C5289" w:rsidRPr="00801AA9" w:rsidRDefault="007E3937" w:rsidP="006C5E5E">
      <w:pPr>
        <w:jc w:val="both"/>
        <w:rPr>
          <w:rFonts w:cs="Times New Roman"/>
          <w:i/>
          <w:iCs/>
          <w:color w:val="404040"/>
          <w:szCs w:val="24"/>
        </w:rPr>
      </w:pPr>
      <w:r w:rsidRPr="00801AA9">
        <w:rPr>
          <w:rFonts w:cs="Times New Roman"/>
          <w:i/>
          <w:iCs/>
          <w:color w:val="404040"/>
          <w:szCs w:val="24"/>
        </w:rPr>
        <w:t>Disclosure of member bank</w:t>
      </w:r>
      <w:r w:rsidR="00D55CAF">
        <w:rPr>
          <w:rFonts w:cs="Times New Roman"/>
          <w:i/>
          <w:iCs/>
          <w:color w:val="404040"/>
          <w:szCs w:val="24"/>
        </w:rPr>
        <w:t>s’ use of</w:t>
      </w:r>
      <w:r w:rsidRPr="00801AA9">
        <w:rPr>
          <w:rFonts w:cs="Times New Roman"/>
          <w:i/>
          <w:iCs/>
          <w:color w:val="404040"/>
          <w:szCs w:val="24"/>
        </w:rPr>
        <w:t xml:space="preserve"> FHLB advances</w:t>
      </w:r>
      <w:r w:rsidR="00AD51F4">
        <w:rPr>
          <w:rFonts w:cs="Times New Roman"/>
          <w:i/>
          <w:iCs/>
          <w:color w:val="404040"/>
          <w:szCs w:val="24"/>
        </w:rPr>
        <w:t xml:space="preserve"> </w:t>
      </w:r>
      <w:r w:rsidR="00B61435" w:rsidRPr="00801AA9">
        <w:rPr>
          <w:rFonts w:cs="Times New Roman"/>
          <w:i/>
          <w:iCs/>
          <w:color w:val="404040"/>
          <w:szCs w:val="24"/>
        </w:rPr>
        <w:t xml:space="preserve">(see below) will </w:t>
      </w:r>
      <w:r w:rsidR="00801AA9" w:rsidRPr="00801AA9">
        <w:rPr>
          <w:rFonts w:cs="Times New Roman"/>
          <w:i/>
          <w:iCs/>
          <w:color w:val="404040"/>
          <w:szCs w:val="24"/>
        </w:rPr>
        <w:t>better inform bank customers.</w:t>
      </w:r>
    </w:p>
    <w:p w14:paraId="43027650" w14:textId="6B90C53E" w:rsidR="001571D3" w:rsidRPr="00751BCE" w:rsidRDefault="001571D3" w:rsidP="006C5E5E">
      <w:pPr>
        <w:jc w:val="both"/>
        <w:rPr>
          <w:rFonts w:cs="Times New Roman"/>
          <w:b/>
          <w:bCs/>
          <w:i/>
          <w:iCs/>
          <w:color w:val="404040"/>
          <w:szCs w:val="24"/>
        </w:rPr>
      </w:pPr>
      <w:r w:rsidRPr="00751BCE">
        <w:rPr>
          <w:rFonts w:cs="Times New Roman"/>
          <w:b/>
          <w:bCs/>
          <w:i/>
          <w:iCs/>
          <w:color w:val="404040"/>
          <w:szCs w:val="24"/>
        </w:rPr>
        <w:t>Truth and Consequences</w:t>
      </w:r>
    </w:p>
    <w:p w14:paraId="1BEE4661" w14:textId="77777777" w:rsidR="00CC619B" w:rsidRDefault="00DC5C8D" w:rsidP="006C5E5E">
      <w:pPr>
        <w:jc w:val="both"/>
        <w:rPr>
          <w:rFonts w:cs="Times New Roman"/>
          <w:color w:val="404040"/>
          <w:szCs w:val="24"/>
        </w:rPr>
      </w:pPr>
      <w:r w:rsidRPr="00DC5C8D">
        <w:rPr>
          <w:rFonts w:cs="Times New Roman"/>
          <w:color w:val="404040"/>
          <w:szCs w:val="24"/>
        </w:rPr>
        <w:t>The FHLBanks and their trade association</w:t>
      </w:r>
      <w:r w:rsidR="007D3B4F">
        <w:rPr>
          <w:rFonts w:cs="Times New Roman"/>
          <w:color w:val="404040"/>
          <w:szCs w:val="24"/>
        </w:rPr>
        <w:t xml:space="preserve"> have become accustomed to repeating two materially false statements. First, they </w:t>
      </w:r>
      <w:r w:rsidR="00AD3B2A">
        <w:rPr>
          <w:rFonts w:cs="Times New Roman"/>
          <w:color w:val="404040"/>
          <w:szCs w:val="24"/>
        </w:rPr>
        <w:t xml:space="preserve">claim that there have never been any losses of FHLBank advances. Second, they claim </w:t>
      </w:r>
      <w:r w:rsidR="00CF4313">
        <w:rPr>
          <w:rFonts w:cs="Times New Roman"/>
          <w:color w:val="404040"/>
          <w:szCs w:val="24"/>
        </w:rPr>
        <w:t>that</w:t>
      </w:r>
      <w:r w:rsidR="00AD3B2A">
        <w:rPr>
          <w:rFonts w:cs="Times New Roman"/>
          <w:color w:val="404040"/>
          <w:szCs w:val="24"/>
        </w:rPr>
        <w:t xml:space="preserve"> they receive no taxpayer support.</w:t>
      </w:r>
      <w:r w:rsidR="00D55D40">
        <w:rPr>
          <w:rFonts w:cs="Times New Roman"/>
          <w:color w:val="404040"/>
          <w:szCs w:val="24"/>
        </w:rPr>
        <w:t xml:space="preserve"> </w:t>
      </w:r>
      <w:r w:rsidR="009F0B98">
        <w:rPr>
          <w:rFonts w:cs="Times New Roman"/>
          <w:color w:val="404040"/>
          <w:szCs w:val="24"/>
        </w:rPr>
        <w:t>FHFA should instruct the FHLBanks to cease</w:t>
      </w:r>
      <w:r w:rsidR="00777663">
        <w:rPr>
          <w:rFonts w:cs="Times New Roman"/>
          <w:color w:val="404040"/>
          <w:szCs w:val="24"/>
        </w:rPr>
        <w:t xml:space="preserve"> the repetition of these </w:t>
      </w:r>
      <w:r w:rsidR="00D47E8F">
        <w:rPr>
          <w:rFonts w:cs="Times New Roman"/>
          <w:color w:val="404040"/>
          <w:szCs w:val="24"/>
        </w:rPr>
        <w:t>false and misleading</w:t>
      </w:r>
      <w:r w:rsidR="00C34D73">
        <w:rPr>
          <w:rFonts w:cs="Times New Roman"/>
          <w:color w:val="404040"/>
          <w:szCs w:val="24"/>
        </w:rPr>
        <w:t xml:space="preserve"> </w:t>
      </w:r>
      <w:r w:rsidR="00777663">
        <w:rPr>
          <w:rFonts w:cs="Times New Roman"/>
          <w:color w:val="404040"/>
          <w:szCs w:val="24"/>
        </w:rPr>
        <w:t>statements.</w:t>
      </w:r>
      <w:r w:rsidR="00C34D73">
        <w:rPr>
          <w:rFonts w:cs="Times New Roman"/>
          <w:color w:val="404040"/>
          <w:szCs w:val="24"/>
        </w:rPr>
        <w:t xml:space="preserve"> </w:t>
      </w:r>
    </w:p>
    <w:p w14:paraId="5034C4EF" w14:textId="4065C974" w:rsidR="004062C8" w:rsidRDefault="00C34D73" w:rsidP="006C5E5E">
      <w:pPr>
        <w:jc w:val="both"/>
        <w:rPr>
          <w:rFonts w:cs="Times New Roman"/>
          <w:color w:val="404040"/>
          <w:szCs w:val="24"/>
        </w:rPr>
      </w:pPr>
      <w:r w:rsidRPr="00CC619B">
        <w:rPr>
          <w:rFonts w:cs="Times New Roman"/>
          <w:i/>
          <w:iCs/>
          <w:color w:val="404040"/>
          <w:szCs w:val="24"/>
        </w:rPr>
        <w:t>The FHLBanks should be required to disclose th</w:t>
      </w:r>
      <w:r w:rsidR="00396AE1" w:rsidRPr="00CC619B">
        <w:rPr>
          <w:rFonts w:cs="Times New Roman"/>
          <w:i/>
          <w:iCs/>
          <w:color w:val="404040"/>
          <w:szCs w:val="24"/>
        </w:rPr>
        <w:t>e</w:t>
      </w:r>
      <w:r w:rsidRPr="00CC619B">
        <w:rPr>
          <w:rFonts w:cs="Times New Roman"/>
          <w:i/>
          <w:iCs/>
          <w:color w:val="404040"/>
          <w:szCs w:val="24"/>
        </w:rPr>
        <w:t xml:space="preserve"> actual consequences of their ba</w:t>
      </w:r>
      <w:r w:rsidR="000E6842" w:rsidRPr="00CC619B">
        <w:rPr>
          <w:rFonts w:cs="Times New Roman"/>
          <w:i/>
          <w:iCs/>
          <w:color w:val="404040"/>
          <w:szCs w:val="24"/>
        </w:rPr>
        <w:t>d loans and the full amount of their taxpayer subsidy</w:t>
      </w:r>
      <w:proofErr w:type="gramStart"/>
      <w:r w:rsidR="000E6842" w:rsidRPr="00CC619B">
        <w:rPr>
          <w:rFonts w:cs="Times New Roman"/>
          <w:i/>
          <w:iCs/>
          <w:color w:val="404040"/>
          <w:szCs w:val="24"/>
        </w:rPr>
        <w:t xml:space="preserve">. </w:t>
      </w:r>
      <w:r w:rsidR="00812F8B" w:rsidRPr="00CC619B">
        <w:rPr>
          <w:rFonts w:cs="Times New Roman"/>
          <w:i/>
          <w:iCs/>
          <w:color w:val="404040"/>
          <w:szCs w:val="24"/>
        </w:rPr>
        <w:t xml:space="preserve"> </w:t>
      </w:r>
      <w:proofErr w:type="gramEnd"/>
      <w:r w:rsidR="00396AE1" w:rsidRPr="00CC619B">
        <w:rPr>
          <w:rFonts w:cs="Times New Roman"/>
          <w:i/>
          <w:iCs/>
          <w:color w:val="404040"/>
          <w:szCs w:val="24"/>
        </w:rPr>
        <w:t>Disclosure of these data points will be a helpful reference point for the public in evaluating the efficacy of the FHLBanks.</w:t>
      </w:r>
    </w:p>
    <w:p w14:paraId="01AC950E" w14:textId="60DA1B5B" w:rsidR="004062C8" w:rsidRDefault="004062C8" w:rsidP="006C5E5E">
      <w:pPr>
        <w:jc w:val="both"/>
        <w:rPr>
          <w:rFonts w:cs="Times New Roman"/>
          <w:b/>
          <w:bCs/>
          <w:i/>
          <w:iCs/>
          <w:color w:val="404040"/>
          <w:szCs w:val="24"/>
        </w:rPr>
      </w:pPr>
      <w:r w:rsidRPr="004062C8">
        <w:rPr>
          <w:rFonts w:cs="Times New Roman"/>
          <w:b/>
          <w:bCs/>
          <w:i/>
          <w:iCs/>
          <w:color w:val="404040"/>
          <w:szCs w:val="24"/>
        </w:rPr>
        <w:t>Transparency</w:t>
      </w:r>
      <w:r w:rsidR="00777663" w:rsidRPr="004062C8">
        <w:rPr>
          <w:rFonts w:cs="Times New Roman"/>
          <w:b/>
          <w:bCs/>
          <w:i/>
          <w:iCs/>
          <w:color w:val="404040"/>
          <w:szCs w:val="24"/>
        </w:rPr>
        <w:t xml:space="preserve"> </w:t>
      </w:r>
    </w:p>
    <w:p w14:paraId="41F1C4C1" w14:textId="610F079E" w:rsidR="005862A1" w:rsidRPr="005862A1" w:rsidRDefault="005862A1" w:rsidP="005862A1">
      <w:pPr>
        <w:spacing w:line="259" w:lineRule="auto"/>
        <w:rPr>
          <w:szCs w:val="24"/>
        </w:rPr>
      </w:pPr>
      <w:r>
        <w:rPr>
          <w:szCs w:val="24"/>
        </w:rPr>
        <w:t>H</w:t>
      </w:r>
      <w:r w:rsidRPr="005862A1">
        <w:rPr>
          <w:szCs w:val="24"/>
        </w:rPr>
        <w:t xml:space="preserve">ad we known about the FHLBanks’ massive loans to the likes Silvergate, Silicon Valley, and Signature </w:t>
      </w:r>
      <w:proofErr w:type="gramStart"/>
      <w:r w:rsidRPr="005862A1">
        <w:rPr>
          <w:szCs w:val="24"/>
        </w:rPr>
        <w:t>many</w:t>
      </w:r>
      <w:proofErr w:type="gramEnd"/>
      <w:r w:rsidRPr="005862A1">
        <w:rPr>
          <w:szCs w:val="24"/>
        </w:rPr>
        <w:t xml:space="preserve"> months ago when those loans were first made, the discipline of the marketplace may have replaced the chaos of the past two weeks. To this very day, we do not know which banks are borrowing our taxpayer dollars. Nothing instills panic more than ignorance.</w:t>
      </w:r>
    </w:p>
    <w:p w14:paraId="73160AE2" w14:textId="3A6C6705" w:rsidR="005862A1" w:rsidRPr="005862A1" w:rsidRDefault="005862A1" w:rsidP="009D0A27">
      <w:pPr>
        <w:spacing w:line="259" w:lineRule="auto"/>
        <w:contextualSpacing/>
        <w:rPr>
          <w:i/>
          <w:iCs/>
          <w:szCs w:val="24"/>
        </w:rPr>
      </w:pPr>
      <w:r w:rsidRPr="005862A1">
        <w:rPr>
          <w:i/>
          <w:iCs/>
          <w:szCs w:val="24"/>
        </w:rPr>
        <w:t>Disclose FHLBank borrowings in real time.</w:t>
      </w:r>
    </w:p>
    <w:p w14:paraId="72738602" w14:textId="77777777" w:rsidR="005465E4" w:rsidRDefault="005465E4" w:rsidP="005B7B4D">
      <w:pPr>
        <w:spacing w:after="0"/>
      </w:pPr>
    </w:p>
    <w:p w14:paraId="5C2D99FD" w14:textId="031662A3" w:rsidR="009B7377" w:rsidRPr="0080643B" w:rsidRDefault="003D6C97" w:rsidP="005B7B4D">
      <w:pPr>
        <w:spacing w:after="0"/>
        <w:rPr>
          <w:b/>
          <w:bCs/>
          <w:i/>
          <w:iCs/>
        </w:rPr>
      </w:pPr>
      <w:r>
        <w:rPr>
          <w:b/>
          <w:bCs/>
          <w:i/>
          <w:iCs/>
        </w:rPr>
        <w:t>Accountability</w:t>
      </w:r>
    </w:p>
    <w:p w14:paraId="73DD9165" w14:textId="77777777" w:rsidR="00623106" w:rsidRDefault="00623106" w:rsidP="005B7B4D">
      <w:pPr>
        <w:spacing w:after="0"/>
      </w:pPr>
    </w:p>
    <w:p w14:paraId="2414D387" w14:textId="4C965418" w:rsidR="00A517CB" w:rsidRPr="00A517CB" w:rsidRDefault="00A517CB" w:rsidP="00A517CB">
      <w:pPr>
        <w:spacing w:line="259" w:lineRule="auto"/>
      </w:pPr>
      <w:r w:rsidRPr="00A517CB">
        <w:t xml:space="preserve">The principal reason for the FHLBanks’ lax underwriting standards is the so-called “super-lien” status that FHLBank advances enjoy </w:t>
      </w:r>
      <w:r w:rsidRPr="00A517CB">
        <w:rPr>
          <w:i/>
          <w:iCs/>
        </w:rPr>
        <w:t>vis a vis</w:t>
      </w:r>
      <w:r w:rsidRPr="00A517CB">
        <w:t xml:space="preserve"> the FDIC in the event of a member’s failure. According to the FDIC, from 2006 to 2022, the cost to the FDIC directly attributable to the super-lien is over $11 billion. </w:t>
      </w:r>
    </w:p>
    <w:p w14:paraId="4E03BA4F" w14:textId="77777777" w:rsidR="00A517CB" w:rsidRPr="00A517CB" w:rsidRDefault="00A517CB" w:rsidP="00A517CB">
      <w:pPr>
        <w:spacing w:line="259" w:lineRule="auto"/>
      </w:pPr>
      <w:r w:rsidRPr="00A517CB">
        <w:t>The FHLBanks Accountability Act addresses this issue of moral hazard by introducing accountability into the underwriting processes of the FHLBanks It does so in a manner consistent with the FHLBanks’ mission of supporting affordable housing.</w:t>
      </w:r>
    </w:p>
    <w:p w14:paraId="151701E7" w14:textId="77777777" w:rsidR="00127152" w:rsidRDefault="00A517CB" w:rsidP="00A517CB">
      <w:pPr>
        <w:spacing w:line="259" w:lineRule="auto"/>
      </w:pPr>
      <w:r w:rsidRPr="00A517CB">
        <w:lastRenderedPageBreak/>
        <w:t xml:space="preserve">The Act accomplishes this in two ways. First, </w:t>
      </w:r>
      <w:r w:rsidR="001A4B65">
        <w:t>the FDIC’s Inspector General</w:t>
      </w:r>
      <w:r w:rsidR="00120FCF">
        <w:t xml:space="preserve"> will report to FHFA all</w:t>
      </w:r>
      <w:r w:rsidRPr="00A517CB">
        <w:t xml:space="preserve"> losses incurred by the FDIC that are attributable to the super-lien</w:t>
      </w:r>
      <w:r w:rsidR="00DB2CA4">
        <w:t xml:space="preserve">. </w:t>
      </w:r>
      <w:r w:rsidR="00FD624B">
        <w:t>The total of all those losses</w:t>
      </w:r>
      <w:r w:rsidRPr="00A517CB">
        <w:t xml:space="preserve"> </w:t>
      </w:r>
      <w:r w:rsidR="00FD624B">
        <w:t xml:space="preserve">will </w:t>
      </w:r>
      <w:proofErr w:type="gramStart"/>
      <w:r w:rsidR="00FD624B">
        <w:t xml:space="preserve">be </w:t>
      </w:r>
      <w:r w:rsidRPr="00A517CB">
        <w:t>added</w:t>
      </w:r>
      <w:proofErr w:type="gramEnd"/>
      <w:r w:rsidR="00522CDC">
        <w:t xml:space="preserve"> </w:t>
      </w:r>
      <w:r w:rsidR="00522CDC" w:rsidRPr="00FF412A">
        <w:rPr>
          <w:i/>
          <w:iCs/>
        </w:rPr>
        <w:t>pro rata</w:t>
      </w:r>
      <w:r w:rsidR="00FF412A">
        <w:t xml:space="preserve"> to</w:t>
      </w:r>
      <w:r w:rsidRPr="00A517CB">
        <w:t xml:space="preserve"> the</w:t>
      </w:r>
      <w:r w:rsidR="00522CDC">
        <w:t xml:space="preserve"> eleven</w:t>
      </w:r>
      <w:r w:rsidRPr="00A517CB">
        <w:t xml:space="preserve"> FHLBanks’ statutory annual assessment (10 per cent of FHLBank net income) for affordable housing. Second, FHLBank executives that have benefited financially from advances to </w:t>
      </w:r>
      <w:r w:rsidR="00F601BF">
        <w:t xml:space="preserve">their </w:t>
      </w:r>
      <w:r w:rsidRPr="00A517CB">
        <w:t>members that eventually failed, thus incurring costs to the FDIC, will have those financial rewards reversed</w:t>
      </w:r>
      <w:r w:rsidR="00F601BF">
        <w:t xml:space="preserve"> prospectively and </w:t>
      </w:r>
      <w:r w:rsidR="008F779B">
        <w:t>through clawbacks.</w:t>
      </w:r>
    </w:p>
    <w:p w14:paraId="5C5997F5" w14:textId="4F243C10" w:rsidR="008F779B" w:rsidRPr="00127152" w:rsidRDefault="00127152" w:rsidP="00A517CB">
      <w:pPr>
        <w:spacing w:line="259" w:lineRule="auto"/>
        <w:rPr>
          <w:i/>
          <w:iCs/>
        </w:rPr>
      </w:pPr>
      <w:r w:rsidRPr="00127152">
        <w:rPr>
          <w:i/>
          <w:iCs/>
        </w:rPr>
        <w:t>Attachment A is draft legislation to achieve accountability.</w:t>
      </w:r>
    </w:p>
    <w:p w14:paraId="2EAC7F66" w14:textId="0A7A7384" w:rsidR="00D268C9" w:rsidRPr="008E674E" w:rsidRDefault="000B3687" w:rsidP="008E674E">
      <w:pPr>
        <w:spacing w:line="259" w:lineRule="auto"/>
        <w:rPr>
          <w:b/>
          <w:bCs/>
          <w:i/>
          <w:iCs/>
        </w:rPr>
      </w:pPr>
      <w:r w:rsidRPr="000B3687">
        <w:rPr>
          <w:b/>
          <w:bCs/>
          <w:i/>
          <w:iCs/>
        </w:rPr>
        <w:t>Community</w:t>
      </w:r>
    </w:p>
    <w:p w14:paraId="0758D590" w14:textId="77777777" w:rsidR="006B10A2" w:rsidRDefault="00EA39EB" w:rsidP="00EA39EB">
      <w:pPr>
        <w:pStyle w:val="Default"/>
        <w:spacing w:after="195"/>
        <w:rPr>
          <w:rFonts w:ascii="Times New Roman" w:hAnsi="Times New Roman" w:cs="Times New Roman"/>
        </w:rPr>
      </w:pPr>
      <w:r>
        <w:rPr>
          <w:rFonts w:ascii="Times New Roman" w:hAnsi="Times New Roman" w:cs="Times New Roman"/>
        </w:rPr>
        <w:t>“</w:t>
      </w:r>
      <w:r w:rsidR="00983205">
        <w:rPr>
          <w:rFonts w:ascii="Times New Roman" w:hAnsi="Times New Roman" w:cs="Times New Roman"/>
        </w:rPr>
        <w:t>C</w:t>
      </w:r>
      <w:r w:rsidR="00D268C9" w:rsidRPr="00D268C9">
        <w:rPr>
          <w:rFonts w:ascii="Times New Roman" w:hAnsi="Times New Roman" w:cs="Times New Roman"/>
        </w:rPr>
        <w:t>ommunity support</w:t>
      </w:r>
      <w:r>
        <w:rPr>
          <w:rFonts w:ascii="Times New Roman" w:hAnsi="Times New Roman" w:cs="Times New Roman"/>
        </w:rPr>
        <w:t>”</w:t>
      </w:r>
      <w:r w:rsidR="00D268C9" w:rsidRPr="00D268C9">
        <w:rPr>
          <w:rFonts w:ascii="Times New Roman" w:hAnsi="Times New Roman" w:cs="Times New Roman"/>
        </w:rPr>
        <w:t xml:space="preserve"> is the only statutory provision that empowers the FHFA to condition members’ continued access to long-term advances on meeting minimum levels of required mortgage activity. </w:t>
      </w:r>
      <w:r w:rsidR="00B73966">
        <w:rPr>
          <w:rFonts w:ascii="Times New Roman" w:hAnsi="Times New Roman" w:cs="Times New Roman"/>
        </w:rPr>
        <w:t>This is particularly important when it comes to insurance companies and banks that have exited the housing finance marketplace.</w:t>
      </w:r>
      <w:r w:rsidR="00662A0F">
        <w:rPr>
          <w:rFonts w:ascii="Times New Roman" w:hAnsi="Times New Roman" w:cs="Times New Roman"/>
        </w:rPr>
        <w:t xml:space="preserve"> </w:t>
      </w:r>
    </w:p>
    <w:p w14:paraId="625B4BB7" w14:textId="396C35CD" w:rsidR="00D268C9" w:rsidRPr="006B10A2" w:rsidRDefault="00D268C9" w:rsidP="00EA39EB">
      <w:pPr>
        <w:pStyle w:val="Default"/>
        <w:spacing w:after="195"/>
        <w:rPr>
          <w:rFonts w:ascii="Times New Roman" w:hAnsi="Times New Roman" w:cs="Times New Roman"/>
          <w:i/>
          <w:iCs/>
        </w:rPr>
      </w:pPr>
      <w:r w:rsidRPr="006B10A2">
        <w:rPr>
          <w:rFonts w:ascii="Times New Roman" w:hAnsi="Times New Roman" w:cs="Times New Roman"/>
          <w:i/>
          <w:iCs/>
        </w:rPr>
        <w:t xml:space="preserve">The FHFA should </w:t>
      </w:r>
      <w:r w:rsidR="00EA39EB" w:rsidRPr="006B10A2">
        <w:rPr>
          <w:rFonts w:ascii="Times New Roman" w:hAnsi="Times New Roman" w:cs="Times New Roman"/>
          <w:i/>
          <w:iCs/>
        </w:rPr>
        <w:t xml:space="preserve">set </w:t>
      </w:r>
      <w:r w:rsidRPr="006B10A2">
        <w:rPr>
          <w:rFonts w:ascii="Times New Roman" w:hAnsi="Times New Roman" w:cs="Times New Roman"/>
          <w:i/>
          <w:iCs/>
        </w:rPr>
        <w:t xml:space="preserve">minimum thresholds for mortgage lending by </w:t>
      </w:r>
      <w:r w:rsidR="00662A0F" w:rsidRPr="006B10A2">
        <w:rPr>
          <w:rFonts w:ascii="Times New Roman" w:hAnsi="Times New Roman" w:cs="Times New Roman"/>
          <w:i/>
          <w:iCs/>
        </w:rPr>
        <w:t>all</w:t>
      </w:r>
      <w:r w:rsidRPr="006B10A2">
        <w:rPr>
          <w:rFonts w:ascii="Times New Roman" w:hAnsi="Times New Roman" w:cs="Times New Roman"/>
          <w:i/>
          <w:iCs/>
        </w:rPr>
        <w:t xml:space="preserve"> members and broaden community support requirements to include a new affordable rental housing finance component. </w:t>
      </w:r>
      <w:r w:rsidR="0091665B" w:rsidRPr="006B10A2">
        <w:rPr>
          <w:rFonts w:ascii="Times New Roman" w:hAnsi="Times New Roman" w:cs="Times New Roman"/>
          <w:i/>
          <w:iCs/>
        </w:rPr>
        <w:t>In this regard,</w:t>
      </w:r>
      <w:r w:rsidR="00EA39EB" w:rsidRPr="006B10A2">
        <w:rPr>
          <w:rFonts w:ascii="Times New Roman" w:hAnsi="Times New Roman" w:cs="Times New Roman"/>
          <w:i/>
          <w:iCs/>
        </w:rPr>
        <w:t xml:space="preserve"> t</w:t>
      </w:r>
      <w:r w:rsidRPr="006B10A2">
        <w:rPr>
          <w:rFonts w:ascii="Times New Roman" w:hAnsi="Times New Roman" w:cs="Times New Roman"/>
          <w:i/>
          <w:iCs/>
        </w:rPr>
        <w:t xml:space="preserve">he FHFA should </w:t>
      </w:r>
      <w:r w:rsidR="001A5E4C" w:rsidRPr="006B10A2">
        <w:rPr>
          <w:rFonts w:ascii="Times New Roman" w:hAnsi="Times New Roman" w:cs="Times New Roman"/>
          <w:i/>
          <w:iCs/>
        </w:rPr>
        <w:t xml:space="preserve">also </w:t>
      </w:r>
      <w:r w:rsidRPr="006B10A2">
        <w:rPr>
          <w:rFonts w:ascii="Times New Roman" w:hAnsi="Times New Roman" w:cs="Times New Roman"/>
          <w:i/>
          <w:iCs/>
        </w:rPr>
        <w:t>lower the threshold for what constitutes a long-term advance from one year or longer to</w:t>
      </w:r>
      <w:r w:rsidR="001A5E4C" w:rsidRPr="006B10A2">
        <w:rPr>
          <w:rFonts w:ascii="Times New Roman" w:hAnsi="Times New Roman" w:cs="Times New Roman"/>
          <w:i/>
          <w:iCs/>
        </w:rPr>
        <w:t xml:space="preserve"> 1</w:t>
      </w:r>
      <w:r w:rsidRPr="006B10A2">
        <w:rPr>
          <w:rFonts w:ascii="Times New Roman" w:hAnsi="Times New Roman" w:cs="Times New Roman"/>
          <w:i/>
          <w:iCs/>
        </w:rPr>
        <w:t>80 days or more</w:t>
      </w:r>
      <w:r w:rsidR="0091665B" w:rsidRPr="006B10A2">
        <w:rPr>
          <w:rFonts w:ascii="Times New Roman" w:hAnsi="Times New Roman" w:cs="Times New Roman"/>
          <w:i/>
          <w:iCs/>
        </w:rPr>
        <w:t>.</w:t>
      </w:r>
      <w:r w:rsidRPr="006B10A2">
        <w:rPr>
          <w:rFonts w:ascii="Times New Roman" w:hAnsi="Times New Roman" w:cs="Times New Roman"/>
          <w:i/>
          <w:iCs/>
        </w:rPr>
        <w:t xml:space="preserve"> </w:t>
      </w:r>
    </w:p>
    <w:p w14:paraId="053A6DC9" w14:textId="628A5536" w:rsidR="00566AFE" w:rsidRPr="006A4690" w:rsidRDefault="00566AFE" w:rsidP="00EA39EB">
      <w:pPr>
        <w:pStyle w:val="Default"/>
        <w:spacing w:after="195"/>
        <w:rPr>
          <w:rFonts w:ascii="Times New Roman" w:hAnsi="Times New Roman" w:cs="Times New Roman"/>
        </w:rPr>
      </w:pPr>
      <w:r w:rsidRPr="006A4690">
        <w:rPr>
          <w:rFonts w:ascii="Times New Roman" w:hAnsi="Times New Roman" w:cs="Times New Roman"/>
        </w:rPr>
        <w:t>The</w:t>
      </w:r>
      <w:r w:rsidR="0077037E" w:rsidRPr="006A4690">
        <w:rPr>
          <w:rFonts w:ascii="Times New Roman" w:hAnsi="Times New Roman" w:cs="Times New Roman"/>
        </w:rPr>
        <w:t xml:space="preserve"> </w:t>
      </w:r>
      <w:r w:rsidRPr="006A4690">
        <w:rPr>
          <w:rFonts w:ascii="Times New Roman" w:hAnsi="Times New Roman" w:cs="Times New Roman"/>
        </w:rPr>
        <w:t>Community Investment Program (CIP)</w:t>
      </w:r>
      <w:r w:rsidRPr="006A4690">
        <w:rPr>
          <w:rFonts w:ascii="Times New Roman" w:hAnsi="Times New Roman" w:cs="Times New Roman"/>
          <w:color w:val="212121"/>
        </w:rPr>
        <w:t xml:space="preserve"> </w:t>
      </w:r>
      <w:r w:rsidRPr="006A4690">
        <w:rPr>
          <w:rFonts w:ascii="Times New Roman" w:hAnsi="Times New Roman" w:cs="Times New Roman"/>
        </w:rPr>
        <w:t xml:space="preserve">and </w:t>
      </w:r>
      <w:r w:rsidR="00F84BCF" w:rsidRPr="006A4690">
        <w:rPr>
          <w:rFonts w:ascii="Times New Roman" w:hAnsi="Times New Roman" w:cs="Times New Roman"/>
        </w:rPr>
        <w:t xml:space="preserve">the </w:t>
      </w:r>
      <w:r w:rsidRPr="006A4690">
        <w:rPr>
          <w:rFonts w:ascii="Times New Roman" w:hAnsi="Times New Roman" w:cs="Times New Roman"/>
        </w:rPr>
        <w:t>Community Investment Cash Advance Program (CICA)</w:t>
      </w:r>
      <w:r w:rsidR="0077037E" w:rsidRPr="006A4690">
        <w:rPr>
          <w:rFonts w:ascii="Times New Roman" w:hAnsi="Times New Roman" w:cs="Times New Roman"/>
        </w:rPr>
        <w:t xml:space="preserve"> </w:t>
      </w:r>
      <w:r w:rsidR="00F84BCF" w:rsidRPr="006A4690">
        <w:rPr>
          <w:rFonts w:ascii="Times New Roman" w:hAnsi="Times New Roman" w:cs="Times New Roman"/>
        </w:rPr>
        <w:t>are significantly underutilized by the FHLBanks and by their members.</w:t>
      </w:r>
    </w:p>
    <w:p w14:paraId="27C9A389" w14:textId="355C89F2" w:rsidR="006A4690" w:rsidRDefault="006A4690" w:rsidP="00EA39EB">
      <w:pPr>
        <w:pStyle w:val="Default"/>
        <w:spacing w:after="195"/>
        <w:rPr>
          <w:rFonts w:ascii="Times New Roman" w:hAnsi="Times New Roman" w:cs="Times New Roman"/>
          <w:i/>
          <w:iCs/>
        </w:rPr>
      </w:pPr>
      <w:r w:rsidRPr="006A4690">
        <w:rPr>
          <w:rFonts w:ascii="Times New Roman" w:hAnsi="Times New Roman" w:cs="Times New Roman"/>
          <w:i/>
          <w:iCs/>
        </w:rPr>
        <w:t xml:space="preserve">FHFA should make a concerted effort to ensure that these programs </w:t>
      </w:r>
      <w:proofErr w:type="gramStart"/>
      <w:r w:rsidRPr="006A4690">
        <w:rPr>
          <w:rFonts w:ascii="Times New Roman" w:hAnsi="Times New Roman" w:cs="Times New Roman"/>
          <w:i/>
          <w:iCs/>
        </w:rPr>
        <w:t>are revitalized</w:t>
      </w:r>
      <w:proofErr w:type="gramEnd"/>
      <w:r w:rsidRPr="006A4690">
        <w:rPr>
          <w:rFonts w:ascii="Times New Roman" w:hAnsi="Times New Roman" w:cs="Times New Roman"/>
          <w:i/>
          <w:iCs/>
        </w:rPr>
        <w:t>.</w:t>
      </w:r>
    </w:p>
    <w:p w14:paraId="4C9FAF2C" w14:textId="63AE80EA" w:rsidR="00E0736A" w:rsidRDefault="00DD2074" w:rsidP="00E0736A">
      <w:pPr>
        <w:pStyle w:val="Default"/>
        <w:rPr>
          <w:rFonts w:ascii="Times New Roman" w:hAnsi="Times New Roman" w:cs="Times New Roman"/>
        </w:rPr>
      </w:pPr>
      <w:r>
        <w:rPr>
          <w:rFonts w:ascii="Times New Roman" w:hAnsi="Times New Roman" w:cs="Times New Roman"/>
        </w:rPr>
        <w:t>T</w:t>
      </w:r>
      <w:r w:rsidR="00135380" w:rsidRPr="00135380">
        <w:rPr>
          <w:rFonts w:ascii="Times New Roman" w:hAnsi="Times New Roman" w:cs="Times New Roman"/>
        </w:rPr>
        <w:t>he widespread practice of overcollateralizing CFI borrowings</w:t>
      </w:r>
      <w:r>
        <w:rPr>
          <w:rFonts w:ascii="Times New Roman" w:hAnsi="Times New Roman" w:cs="Times New Roman"/>
        </w:rPr>
        <w:t xml:space="preserve"> is due </w:t>
      </w:r>
      <w:proofErr w:type="gramStart"/>
      <w:r>
        <w:rPr>
          <w:rFonts w:ascii="Times New Roman" w:hAnsi="Times New Roman" w:cs="Times New Roman"/>
        </w:rPr>
        <w:t>largely</w:t>
      </w:r>
      <w:r w:rsidR="00135380" w:rsidRPr="00135380">
        <w:rPr>
          <w:rFonts w:ascii="Times New Roman" w:hAnsi="Times New Roman" w:cs="Times New Roman"/>
        </w:rPr>
        <w:t xml:space="preserve"> to</w:t>
      </w:r>
      <w:proofErr w:type="gramEnd"/>
      <w:r w:rsidR="00135380" w:rsidRPr="00135380">
        <w:rPr>
          <w:rFonts w:ascii="Times New Roman" w:hAnsi="Times New Roman" w:cs="Times New Roman"/>
        </w:rPr>
        <w:t xml:space="preserve"> FHLBank</w:t>
      </w:r>
      <w:r w:rsidR="00796D99">
        <w:rPr>
          <w:rFonts w:ascii="Times New Roman" w:hAnsi="Times New Roman" w:cs="Times New Roman"/>
        </w:rPr>
        <w:t>s’</w:t>
      </w:r>
      <w:r w:rsidR="00135380" w:rsidRPr="00135380">
        <w:rPr>
          <w:rFonts w:ascii="Times New Roman" w:hAnsi="Times New Roman" w:cs="Times New Roman"/>
        </w:rPr>
        <w:t xml:space="preserve"> </w:t>
      </w:r>
      <w:r w:rsidR="001F341C">
        <w:rPr>
          <w:rFonts w:ascii="Times New Roman" w:hAnsi="Times New Roman" w:cs="Times New Roman"/>
        </w:rPr>
        <w:t>mistaken</w:t>
      </w:r>
      <w:r w:rsidR="00135380" w:rsidRPr="00135380">
        <w:rPr>
          <w:rFonts w:ascii="Times New Roman" w:hAnsi="Times New Roman" w:cs="Times New Roman"/>
        </w:rPr>
        <w:t xml:space="preserve"> boast of never having incurred a dollar of credit loss on a single advance in its 90-year history</w:t>
      </w:r>
      <w:r w:rsidR="001F341C">
        <w:rPr>
          <w:rFonts w:ascii="Times New Roman" w:hAnsi="Times New Roman" w:cs="Times New Roman"/>
        </w:rPr>
        <w:t xml:space="preserve"> (see above). </w:t>
      </w:r>
      <w:r w:rsidR="00135380" w:rsidRPr="00135380">
        <w:rPr>
          <w:rFonts w:ascii="Times New Roman" w:hAnsi="Times New Roman" w:cs="Times New Roman"/>
        </w:rPr>
        <w:t xml:space="preserve"> Haircuts on CFI collateral far exceed those on most other asset types because no FHLBank wants to be the first one to have an advance go bad.</w:t>
      </w:r>
    </w:p>
    <w:p w14:paraId="359F4148" w14:textId="77777777" w:rsidR="001F341C" w:rsidRPr="00135380" w:rsidRDefault="001F341C" w:rsidP="00E0736A">
      <w:pPr>
        <w:pStyle w:val="Default"/>
        <w:rPr>
          <w:rFonts w:ascii="Times New Roman" w:hAnsi="Times New Roman" w:cs="Times New Roman"/>
        </w:rPr>
      </w:pPr>
    </w:p>
    <w:p w14:paraId="2510122A" w14:textId="02DAC6E4" w:rsidR="00E0736A" w:rsidRDefault="00E0736A" w:rsidP="00E0736A">
      <w:pPr>
        <w:pStyle w:val="Default"/>
        <w:rPr>
          <w:rFonts w:ascii="Times New Roman" w:hAnsi="Times New Roman" w:cs="Times New Roman"/>
          <w:i/>
          <w:iCs/>
        </w:rPr>
      </w:pPr>
      <w:r w:rsidRPr="001F341C">
        <w:rPr>
          <w:rFonts w:ascii="Times New Roman" w:hAnsi="Times New Roman" w:cs="Times New Roman"/>
          <w:i/>
          <w:iCs/>
        </w:rPr>
        <w:t>Reduce haircuts on collateral advances posted by highly ranked community banks that are within the CFI asset threshold</w:t>
      </w:r>
      <w:r w:rsidR="004F2DBE" w:rsidRPr="001F341C">
        <w:rPr>
          <w:rFonts w:ascii="Times New Roman" w:hAnsi="Times New Roman" w:cs="Times New Roman"/>
          <w:i/>
          <w:iCs/>
        </w:rPr>
        <w:t>.</w:t>
      </w:r>
    </w:p>
    <w:p w14:paraId="3A7D78A0" w14:textId="77777777" w:rsidR="006B25F7" w:rsidRDefault="006B25F7" w:rsidP="00E0736A">
      <w:pPr>
        <w:pStyle w:val="Default"/>
        <w:rPr>
          <w:rFonts w:ascii="Times New Roman" w:hAnsi="Times New Roman" w:cs="Times New Roman"/>
          <w:i/>
          <w:iCs/>
        </w:rPr>
      </w:pPr>
    </w:p>
    <w:p w14:paraId="3D30D187" w14:textId="157114D4" w:rsidR="006B25F7" w:rsidRDefault="006B25F7" w:rsidP="00E0736A">
      <w:pPr>
        <w:pStyle w:val="Default"/>
        <w:rPr>
          <w:rFonts w:ascii="Times New Roman" w:hAnsi="Times New Roman" w:cs="Times New Roman"/>
          <w:b/>
          <w:bCs/>
          <w:i/>
          <w:iCs/>
        </w:rPr>
      </w:pPr>
      <w:r w:rsidRPr="006B25F7">
        <w:rPr>
          <w:rFonts w:ascii="Times New Roman" w:hAnsi="Times New Roman" w:cs="Times New Roman"/>
          <w:b/>
          <w:bCs/>
          <w:i/>
          <w:iCs/>
        </w:rPr>
        <w:t>Conclusion</w:t>
      </w:r>
    </w:p>
    <w:p w14:paraId="508D2BFD" w14:textId="77777777" w:rsidR="006B25F7" w:rsidRDefault="006B25F7" w:rsidP="00E0736A">
      <w:pPr>
        <w:pStyle w:val="Default"/>
        <w:rPr>
          <w:rFonts w:ascii="Times New Roman" w:hAnsi="Times New Roman" w:cs="Times New Roman"/>
          <w:b/>
          <w:bCs/>
          <w:i/>
          <w:iCs/>
        </w:rPr>
      </w:pPr>
    </w:p>
    <w:p w14:paraId="147AF665" w14:textId="0DA58205" w:rsidR="006B25F7" w:rsidRDefault="002700EA" w:rsidP="00E0736A">
      <w:pPr>
        <w:pStyle w:val="Default"/>
        <w:rPr>
          <w:rFonts w:ascii="Times New Roman" w:hAnsi="Times New Roman" w:cs="Times New Roman"/>
        </w:rPr>
      </w:pPr>
      <w:r>
        <w:rPr>
          <w:rFonts w:ascii="Times New Roman" w:hAnsi="Times New Roman" w:cs="Times New Roman"/>
        </w:rPr>
        <w:t xml:space="preserve">It is </w:t>
      </w:r>
      <w:r w:rsidR="00F34470">
        <w:rPr>
          <w:rFonts w:ascii="Times New Roman" w:hAnsi="Times New Roman" w:cs="Times New Roman"/>
        </w:rPr>
        <w:t>understood</w:t>
      </w:r>
      <w:r>
        <w:rPr>
          <w:rFonts w:ascii="Times New Roman" w:hAnsi="Times New Roman" w:cs="Times New Roman"/>
        </w:rPr>
        <w:t xml:space="preserve"> </w:t>
      </w:r>
      <w:r w:rsidR="00C560EA">
        <w:rPr>
          <w:rFonts w:ascii="Times New Roman" w:hAnsi="Times New Roman" w:cs="Times New Roman"/>
        </w:rPr>
        <w:t xml:space="preserve">that making the FHLBanks fit for service in the coming decades </w:t>
      </w:r>
      <w:r w:rsidR="00F34470">
        <w:rPr>
          <w:rFonts w:ascii="Times New Roman" w:hAnsi="Times New Roman" w:cs="Times New Roman"/>
        </w:rPr>
        <w:t>may require legislation</w:t>
      </w:r>
      <w:proofErr w:type="gramStart"/>
      <w:r w:rsidR="00F34470">
        <w:rPr>
          <w:rFonts w:ascii="Times New Roman" w:hAnsi="Times New Roman" w:cs="Times New Roman"/>
        </w:rPr>
        <w:t xml:space="preserve">.  </w:t>
      </w:r>
      <w:proofErr w:type="gramEnd"/>
      <w:r w:rsidR="00F34470">
        <w:rPr>
          <w:rFonts w:ascii="Times New Roman" w:hAnsi="Times New Roman" w:cs="Times New Roman"/>
        </w:rPr>
        <w:t xml:space="preserve">Accordingly, </w:t>
      </w:r>
      <w:r w:rsidR="002A3188">
        <w:rPr>
          <w:rFonts w:ascii="Times New Roman" w:hAnsi="Times New Roman" w:cs="Times New Roman"/>
        </w:rPr>
        <w:t xml:space="preserve">the product of </w:t>
      </w:r>
      <w:r w:rsidR="002A3188" w:rsidRPr="00F34470">
        <w:rPr>
          <w:rFonts w:ascii="Times New Roman" w:hAnsi="Times New Roman" w:cs="Times New Roman"/>
          <w:i/>
          <w:iCs/>
        </w:rPr>
        <w:t xml:space="preserve">FHLBanks at </w:t>
      </w:r>
      <w:proofErr w:type="gramStart"/>
      <w:r w:rsidR="002A3188" w:rsidRPr="00F34470">
        <w:rPr>
          <w:rFonts w:ascii="Times New Roman" w:hAnsi="Times New Roman" w:cs="Times New Roman"/>
          <w:i/>
          <w:iCs/>
        </w:rPr>
        <w:t>100</w:t>
      </w:r>
      <w:proofErr w:type="gramEnd"/>
      <w:r w:rsidR="002A3188">
        <w:rPr>
          <w:rFonts w:ascii="Times New Roman" w:hAnsi="Times New Roman" w:cs="Times New Roman"/>
        </w:rPr>
        <w:t xml:space="preserve"> will </w:t>
      </w:r>
      <w:r>
        <w:rPr>
          <w:rFonts w:ascii="Times New Roman" w:hAnsi="Times New Roman" w:cs="Times New Roman"/>
        </w:rPr>
        <w:t xml:space="preserve">be reports both to the public and </w:t>
      </w:r>
      <w:r w:rsidR="00A84A2C">
        <w:rPr>
          <w:rFonts w:ascii="Times New Roman" w:hAnsi="Times New Roman" w:cs="Times New Roman"/>
        </w:rPr>
        <w:t xml:space="preserve">recommendations </w:t>
      </w:r>
      <w:r>
        <w:rPr>
          <w:rFonts w:ascii="Times New Roman" w:hAnsi="Times New Roman" w:cs="Times New Roman"/>
        </w:rPr>
        <w:t>to the Congress</w:t>
      </w:r>
      <w:r w:rsidR="00A84A2C">
        <w:rPr>
          <w:rFonts w:ascii="Times New Roman" w:hAnsi="Times New Roman" w:cs="Times New Roman"/>
        </w:rPr>
        <w:t xml:space="preserve"> for reform of the FHLBanks</w:t>
      </w:r>
      <w:r>
        <w:rPr>
          <w:rFonts w:ascii="Times New Roman" w:hAnsi="Times New Roman" w:cs="Times New Roman"/>
        </w:rPr>
        <w:t>.</w:t>
      </w:r>
    </w:p>
    <w:p w14:paraId="4B95DDA2" w14:textId="77777777" w:rsidR="00E20CBE" w:rsidRDefault="00E20CBE" w:rsidP="00E0736A">
      <w:pPr>
        <w:pStyle w:val="Default"/>
        <w:rPr>
          <w:rFonts w:ascii="Times New Roman" w:hAnsi="Times New Roman" w:cs="Times New Roman"/>
        </w:rPr>
      </w:pPr>
    </w:p>
    <w:p w14:paraId="5AB0378A" w14:textId="34FA3992" w:rsidR="00E20CBE" w:rsidRDefault="00242B51" w:rsidP="00E0736A">
      <w:pPr>
        <w:pStyle w:val="Default"/>
        <w:rPr>
          <w:rFonts w:ascii="Times New Roman" w:hAnsi="Times New Roman" w:cs="Times New Roman"/>
        </w:rPr>
      </w:pPr>
      <w:r>
        <w:rPr>
          <w:rFonts w:ascii="Times New Roman" w:hAnsi="Times New Roman" w:cs="Times New Roman"/>
        </w:rPr>
        <w:t>In the current legislative environment</w:t>
      </w:r>
      <w:r w:rsidR="007C629B">
        <w:rPr>
          <w:rFonts w:ascii="Times New Roman" w:hAnsi="Times New Roman" w:cs="Times New Roman"/>
        </w:rPr>
        <w:t xml:space="preserve"> and </w:t>
      </w:r>
      <w:r w:rsidR="00965247">
        <w:rPr>
          <w:rFonts w:ascii="Times New Roman" w:hAnsi="Times New Roman" w:cs="Times New Roman"/>
        </w:rPr>
        <w:t>considering</w:t>
      </w:r>
      <w:r w:rsidR="007C629B">
        <w:rPr>
          <w:rFonts w:ascii="Times New Roman" w:hAnsi="Times New Roman" w:cs="Times New Roman"/>
        </w:rPr>
        <w:t xml:space="preserve"> </w:t>
      </w:r>
      <w:r w:rsidR="00073435">
        <w:rPr>
          <w:rFonts w:ascii="Times New Roman" w:hAnsi="Times New Roman" w:cs="Times New Roman"/>
        </w:rPr>
        <w:t xml:space="preserve">the entrenched nature of the FHLBanks and their membership, it </w:t>
      </w:r>
      <w:proofErr w:type="gramStart"/>
      <w:r w:rsidR="00073435">
        <w:rPr>
          <w:rFonts w:ascii="Times New Roman" w:hAnsi="Times New Roman" w:cs="Times New Roman"/>
        </w:rPr>
        <w:t>is suggested</w:t>
      </w:r>
      <w:proofErr w:type="gramEnd"/>
      <w:r w:rsidR="00073435">
        <w:rPr>
          <w:rFonts w:ascii="Times New Roman" w:hAnsi="Times New Roman" w:cs="Times New Roman"/>
        </w:rPr>
        <w:t xml:space="preserve"> that a </w:t>
      </w:r>
      <w:r w:rsidR="001F2F24">
        <w:rPr>
          <w:rFonts w:ascii="Times New Roman" w:hAnsi="Times New Roman" w:cs="Times New Roman"/>
        </w:rPr>
        <w:t>bipartisan legislative commission focused on the public purpose of the FHLBanks may the most efficacious way of proceeding.</w:t>
      </w:r>
      <w:r w:rsidR="002D6233">
        <w:rPr>
          <w:rFonts w:ascii="Times New Roman" w:hAnsi="Times New Roman" w:cs="Times New Roman"/>
        </w:rPr>
        <w:t xml:space="preserve"> In this regard, Attachment B is a draft bill establishing such a </w:t>
      </w:r>
      <w:r w:rsidR="00AA7F75">
        <w:rPr>
          <w:rFonts w:ascii="Times New Roman" w:hAnsi="Times New Roman" w:cs="Times New Roman"/>
        </w:rPr>
        <w:t>commission.</w:t>
      </w:r>
    </w:p>
    <w:p w14:paraId="2CE162D7" w14:textId="77777777" w:rsidR="00AA7F75" w:rsidRDefault="00AA7F75" w:rsidP="00E0736A">
      <w:pPr>
        <w:pStyle w:val="Default"/>
        <w:rPr>
          <w:rFonts w:ascii="Times New Roman" w:hAnsi="Times New Roman" w:cs="Times New Roman"/>
        </w:rPr>
      </w:pPr>
    </w:p>
    <w:p w14:paraId="698EC9CB" w14:textId="018AB96B" w:rsidR="00AA7F75" w:rsidRPr="00965247" w:rsidRDefault="00AA7F75" w:rsidP="00E0736A">
      <w:pPr>
        <w:pStyle w:val="Default"/>
        <w:rPr>
          <w:rFonts w:ascii="Times New Roman" w:hAnsi="Times New Roman" w:cs="Times New Roman"/>
          <w:i/>
          <w:iCs/>
        </w:rPr>
      </w:pPr>
      <w:r w:rsidRPr="00965247">
        <w:rPr>
          <w:rFonts w:ascii="Times New Roman" w:hAnsi="Times New Roman" w:cs="Times New Roman"/>
          <w:i/>
          <w:iCs/>
        </w:rPr>
        <w:t xml:space="preserve">FHFA </w:t>
      </w:r>
      <w:proofErr w:type="gramStart"/>
      <w:r w:rsidRPr="00965247">
        <w:rPr>
          <w:rFonts w:ascii="Times New Roman" w:hAnsi="Times New Roman" w:cs="Times New Roman"/>
          <w:i/>
          <w:iCs/>
        </w:rPr>
        <w:t>is urged</w:t>
      </w:r>
      <w:proofErr w:type="gramEnd"/>
      <w:r w:rsidRPr="00965247">
        <w:rPr>
          <w:rFonts w:ascii="Times New Roman" w:hAnsi="Times New Roman" w:cs="Times New Roman"/>
          <w:i/>
          <w:iCs/>
        </w:rPr>
        <w:t xml:space="preserve"> to </w:t>
      </w:r>
      <w:r w:rsidR="00012C16" w:rsidRPr="00965247">
        <w:rPr>
          <w:rFonts w:ascii="Times New Roman" w:hAnsi="Times New Roman" w:cs="Times New Roman"/>
          <w:i/>
          <w:iCs/>
        </w:rPr>
        <w:t>recommend this approach to Congress.</w:t>
      </w:r>
    </w:p>
    <w:p w14:paraId="2CA0F7CE" w14:textId="77777777" w:rsidR="00C570C1" w:rsidRDefault="00C570C1" w:rsidP="00E0736A">
      <w:pPr>
        <w:pStyle w:val="Default"/>
        <w:rPr>
          <w:rFonts w:ascii="Times New Roman" w:hAnsi="Times New Roman" w:cs="Times New Roman"/>
        </w:rPr>
      </w:pPr>
    </w:p>
    <w:p w14:paraId="0DCFB3D4" w14:textId="77777777" w:rsidR="00C570C1" w:rsidRDefault="00C570C1" w:rsidP="00C570C1">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w:t>
      </w:r>
    </w:p>
    <w:p w14:paraId="3B0A29A1" w14:textId="743276E0" w:rsidR="00F34470" w:rsidRDefault="00F34470" w:rsidP="00E0736A">
      <w:pPr>
        <w:pStyle w:val="Default"/>
        <w:rPr>
          <w:rFonts w:ascii="Times New Roman" w:hAnsi="Times New Roman" w:cs="Times New Roman"/>
        </w:rPr>
      </w:pPr>
    </w:p>
    <w:p w14:paraId="4ECCDDEB" w14:textId="165DB0D8" w:rsidR="00C570C1" w:rsidRDefault="006C4EA4" w:rsidP="00E0736A">
      <w:pPr>
        <w:pStyle w:val="Default"/>
        <w:rPr>
          <w:rFonts w:ascii="Times New Roman" w:hAnsi="Times New Roman" w:cs="Times New Roman"/>
        </w:rPr>
      </w:pPr>
      <w:r>
        <w:rPr>
          <w:rFonts w:ascii="Times New Roman" w:hAnsi="Times New Roman" w:cs="Times New Roman"/>
        </w:rPr>
        <w:t>Th</w:t>
      </w:r>
      <w:r w:rsidR="00965247">
        <w:rPr>
          <w:rFonts w:ascii="Times New Roman" w:hAnsi="Times New Roman" w:cs="Times New Roman"/>
        </w:rPr>
        <w:t>a</w:t>
      </w:r>
      <w:r>
        <w:rPr>
          <w:rFonts w:ascii="Times New Roman" w:hAnsi="Times New Roman" w:cs="Times New Roman"/>
        </w:rPr>
        <w:t>nk you for this opportunity to contribute to your deliberations</w:t>
      </w:r>
      <w:r w:rsidR="00965247">
        <w:rPr>
          <w:rFonts w:ascii="Times New Roman" w:hAnsi="Times New Roman" w:cs="Times New Roman"/>
        </w:rPr>
        <w:t>.</w:t>
      </w:r>
    </w:p>
    <w:p w14:paraId="685F03CF" w14:textId="77777777" w:rsidR="00965247" w:rsidRDefault="00965247" w:rsidP="00E0736A">
      <w:pPr>
        <w:pStyle w:val="Default"/>
        <w:rPr>
          <w:rFonts w:ascii="Times New Roman" w:hAnsi="Times New Roman" w:cs="Times New Roman"/>
        </w:rPr>
      </w:pPr>
    </w:p>
    <w:p w14:paraId="55020B9C" w14:textId="1EF2717E" w:rsidR="00965247" w:rsidRDefault="00965247" w:rsidP="00E0736A">
      <w:pPr>
        <w:pStyle w:val="Default"/>
        <w:rPr>
          <w:rFonts w:ascii="Times New Roman" w:hAnsi="Times New Roman" w:cs="Times New Roman"/>
        </w:rPr>
      </w:pPr>
      <w:r>
        <w:rPr>
          <w:rFonts w:ascii="Times New Roman" w:hAnsi="Times New Roman" w:cs="Times New Roman"/>
        </w:rPr>
        <w:t>Yours truly,</w:t>
      </w:r>
    </w:p>
    <w:p w14:paraId="3F77F748" w14:textId="77777777" w:rsidR="00965247" w:rsidRDefault="00965247" w:rsidP="00E0736A">
      <w:pPr>
        <w:pStyle w:val="Default"/>
        <w:rPr>
          <w:rFonts w:ascii="Times New Roman" w:hAnsi="Times New Roman" w:cs="Times New Roman"/>
        </w:rPr>
      </w:pPr>
    </w:p>
    <w:p w14:paraId="04CF8B6F" w14:textId="77777777" w:rsidR="00705C1B" w:rsidRDefault="00705C1B" w:rsidP="00E0736A">
      <w:pPr>
        <w:pStyle w:val="Default"/>
        <w:rPr>
          <w:rFonts w:ascii="Times New Roman" w:hAnsi="Times New Roman" w:cs="Times New Roman"/>
        </w:rPr>
      </w:pPr>
    </w:p>
    <w:p w14:paraId="072A6F94" w14:textId="44229C4F" w:rsidR="00965247" w:rsidRDefault="00705C1B" w:rsidP="00E0736A">
      <w:pPr>
        <w:pStyle w:val="Default"/>
        <w:rPr>
          <w:rFonts w:ascii="Times New Roman" w:hAnsi="Times New Roman" w:cs="Times New Roman"/>
        </w:rPr>
      </w:pPr>
      <w:r w:rsidRPr="00705C1B">
        <w:rPr>
          <w:rFonts w:ascii="Times New Roman" w:hAnsi="Times New Roman" w:cs="Times New Roman"/>
          <w:noProof/>
        </w:rPr>
        <w:drawing>
          <wp:inline distT="0" distB="0" distL="0" distR="0" wp14:anchorId="39554082" wp14:editId="1AED3FCF">
            <wp:extent cx="13906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p>
    <w:p w14:paraId="6B82A823" w14:textId="77777777" w:rsidR="00965247" w:rsidRDefault="00965247" w:rsidP="00E0736A">
      <w:pPr>
        <w:pStyle w:val="Default"/>
        <w:rPr>
          <w:rFonts w:ascii="Times New Roman" w:hAnsi="Times New Roman" w:cs="Times New Roman"/>
        </w:rPr>
      </w:pPr>
    </w:p>
    <w:p w14:paraId="5DAE0D87" w14:textId="52FB8658" w:rsidR="00965247" w:rsidRDefault="00965247" w:rsidP="00E0736A">
      <w:pPr>
        <w:pStyle w:val="Default"/>
        <w:rPr>
          <w:rFonts w:ascii="Times New Roman" w:hAnsi="Times New Roman" w:cs="Times New Roman"/>
        </w:rPr>
      </w:pPr>
      <w:r>
        <w:rPr>
          <w:rFonts w:ascii="Times New Roman" w:hAnsi="Times New Roman" w:cs="Times New Roman"/>
        </w:rPr>
        <w:t>Attachments</w:t>
      </w:r>
    </w:p>
    <w:p w14:paraId="657C1B5A" w14:textId="77777777" w:rsidR="00F34470" w:rsidRPr="0094480D" w:rsidRDefault="00F34470" w:rsidP="00E0736A">
      <w:pPr>
        <w:pStyle w:val="Default"/>
        <w:rPr>
          <w:rFonts w:ascii="Times New Roman" w:hAnsi="Times New Roman" w:cs="Times New Roman"/>
        </w:rPr>
      </w:pPr>
    </w:p>
    <w:p w14:paraId="285ABE15" w14:textId="77777777" w:rsidR="00E0736A" w:rsidRDefault="00E0736A" w:rsidP="00E0736A">
      <w:pPr>
        <w:pStyle w:val="Default"/>
        <w:rPr>
          <w:rFonts w:ascii="Times New Roman" w:hAnsi="Times New Roman" w:cs="Times New Roman"/>
          <w:color w:val="auto"/>
        </w:rPr>
      </w:pPr>
    </w:p>
    <w:p w14:paraId="21B1A06C" w14:textId="77777777" w:rsidR="001F341C" w:rsidRPr="00E0736A" w:rsidRDefault="001F341C" w:rsidP="00E0736A">
      <w:pPr>
        <w:pStyle w:val="Default"/>
        <w:rPr>
          <w:rFonts w:ascii="Times New Roman" w:hAnsi="Times New Roman" w:cs="Times New Roman"/>
          <w:color w:val="auto"/>
        </w:rPr>
      </w:pPr>
    </w:p>
    <w:p w14:paraId="0F9F9C22" w14:textId="77777777" w:rsidR="006A4690" w:rsidRPr="006A4690" w:rsidRDefault="006A4690" w:rsidP="00EA39EB">
      <w:pPr>
        <w:pStyle w:val="Default"/>
        <w:spacing w:after="195"/>
        <w:rPr>
          <w:rFonts w:ascii="Times New Roman" w:hAnsi="Times New Roman" w:cs="Times New Roman"/>
          <w:i/>
          <w:iCs/>
        </w:rPr>
      </w:pPr>
    </w:p>
    <w:p w14:paraId="102E6311" w14:textId="77777777" w:rsidR="000B3687" w:rsidRPr="000B3687" w:rsidRDefault="000B3687" w:rsidP="00A517CB">
      <w:pPr>
        <w:spacing w:line="259" w:lineRule="auto"/>
        <w:rPr>
          <w:i/>
          <w:iCs/>
        </w:rPr>
      </w:pPr>
    </w:p>
    <w:p w14:paraId="3F20A171" w14:textId="77777777" w:rsidR="00A066EB" w:rsidRDefault="00A066EB" w:rsidP="00A517CB">
      <w:pPr>
        <w:spacing w:line="259" w:lineRule="auto"/>
      </w:pPr>
    </w:p>
    <w:p w14:paraId="26295924" w14:textId="77777777" w:rsidR="00A066EB" w:rsidRDefault="00A066EB" w:rsidP="00A517CB">
      <w:pPr>
        <w:spacing w:line="259" w:lineRule="auto"/>
      </w:pPr>
    </w:p>
    <w:p w14:paraId="083686CF" w14:textId="77777777" w:rsidR="00A066EB" w:rsidRDefault="00A066EB" w:rsidP="00A517CB">
      <w:pPr>
        <w:spacing w:line="259" w:lineRule="auto"/>
      </w:pPr>
    </w:p>
    <w:p w14:paraId="247A9381" w14:textId="77777777" w:rsidR="00A066EB" w:rsidRDefault="00A066EB" w:rsidP="00A517CB">
      <w:pPr>
        <w:spacing w:line="259" w:lineRule="auto"/>
      </w:pPr>
    </w:p>
    <w:p w14:paraId="0B3A7A09" w14:textId="77777777" w:rsidR="00A066EB" w:rsidRDefault="00A066EB" w:rsidP="00A517CB">
      <w:pPr>
        <w:spacing w:line="259" w:lineRule="auto"/>
      </w:pPr>
    </w:p>
    <w:p w14:paraId="05ABF239" w14:textId="77777777" w:rsidR="00A066EB" w:rsidRDefault="00A066EB" w:rsidP="00A517CB">
      <w:pPr>
        <w:spacing w:line="259" w:lineRule="auto"/>
      </w:pPr>
    </w:p>
    <w:p w14:paraId="0A0F82C1" w14:textId="77777777" w:rsidR="00A066EB" w:rsidRDefault="00A066EB" w:rsidP="00A517CB">
      <w:pPr>
        <w:spacing w:line="259" w:lineRule="auto"/>
      </w:pPr>
    </w:p>
    <w:p w14:paraId="0C5A64B4" w14:textId="77777777" w:rsidR="00A066EB" w:rsidRDefault="00A066EB" w:rsidP="00A517CB">
      <w:pPr>
        <w:spacing w:line="259" w:lineRule="auto"/>
      </w:pPr>
    </w:p>
    <w:p w14:paraId="39A6DCA1" w14:textId="77777777" w:rsidR="001E3CBA" w:rsidRDefault="001E3CBA" w:rsidP="000A7A3E">
      <w:pPr>
        <w:widowControl w:val="0"/>
        <w:autoSpaceDE w:val="0"/>
        <w:autoSpaceDN w:val="0"/>
        <w:adjustRightInd w:val="0"/>
        <w:spacing w:after="0" w:line="240" w:lineRule="auto"/>
      </w:pPr>
    </w:p>
    <w:p w14:paraId="230B243A" w14:textId="77777777" w:rsidR="002D5DA9" w:rsidRDefault="002D5DA9" w:rsidP="000A7A3E">
      <w:pPr>
        <w:widowControl w:val="0"/>
        <w:autoSpaceDE w:val="0"/>
        <w:autoSpaceDN w:val="0"/>
        <w:adjustRightInd w:val="0"/>
        <w:spacing w:after="0" w:line="240" w:lineRule="auto"/>
      </w:pPr>
    </w:p>
    <w:p w14:paraId="3CB86EFE" w14:textId="77777777" w:rsidR="002D5DA9" w:rsidRDefault="002D5DA9" w:rsidP="000A7A3E">
      <w:pPr>
        <w:widowControl w:val="0"/>
        <w:autoSpaceDE w:val="0"/>
        <w:autoSpaceDN w:val="0"/>
        <w:adjustRightInd w:val="0"/>
        <w:spacing w:after="0" w:line="240" w:lineRule="auto"/>
      </w:pPr>
    </w:p>
    <w:p w14:paraId="7087AA47" w14:textId="77777777" w:rsidR="002D5DA9" w:rsidRDefault="002D5DA9" w:rsidP="000A7A3E">
      <w:pPr>
        <w:widowControl w:val="0"/>
        <w:autoSpaceDE w:val="0"/>
        <w:autoSpaceDN w:val="0"/>
        <w:adjustRightInd w:val="0"/>
        <w:spacing w:after="0" w:line="240" w:lineRule="auto"/>
      </w:pPr>
    </w:p>
    <w:p w14:paraId="4BDF91F4" w14:textId="77777777" w:rsidR="002D5DA9" w:rsidRDefault="002D5DA9" w:rsidP="000A7A3E">
      <w:pPr>
        <w:widowControl w:val="0"/>
        <w:autoSpaceDE w:val="0"/>
        <w:autoSpaceDN w:val="0"/>
        <w:adjustRightInd w:val="0"/>
        <w:spacing w:after="0" w:line="240" w:lineRule="auto"/>
      </w:pPr>
    </w:p>
    <w:p w14:paraId="24BA54F3" w14:textId="77777777" w:rsidR="002D5DA9" w:rsidRDefault="002D5DA9" w:rsidP="000A7A3E">
      <w:pPr>
        <w:widowControl w:val="0"/>
        <w:autoSpaceDE w:val="0"/>
        <w:autoSpaceDN w:val="0"/>
        <w:adjustRightInd w:val="0"/>
        <w:spacing w:after="0" w:line="240" w:lineRule="auto"/>
      </w:pPr>
    </w:p>
    <w:p w14:paraId="591AD539" w14:textId="77777777" w:rsidR="002D5DA9" w:rsidRDefault="002D5DA9" w:rsidP="000A7A3E">
      <w:pPr>
        <w:widowControl w:val="0"/>
        <w:autoSpaceDE w:val="0"/>
        <w:autoSpaceDN w:val="0"/>
        <w:adjustRightInd w:val="0"/>
        <w:spacing w:after="0" w:line="240" w:lineRule="auto"/>
      </w:pPr>
    </w:p>
    <w:p w14:paraId="5130A517" w14:textId="77777777" w:rsidR="002D5DA9" w:rsidRDefault="002D5DA9" w:rsidP="000A7A3E">
      <w:pPr>
        <w:widowControl w:val="0"/>
        <w:autoSpaceDE w:val="0"/>
        <w:autoSpaceDN w:val="0"/>
        <w:adjustRightInd w:val="0"/>
        <w:spacing w:after="0" w:line="240" w:lineRule="auto"/>
      </w:pPr>
    </w:p>
    <w:p w14:paraId="1D7E8D88" w14:textId="77777777" w:rsidR="002D5DA9" w:rsidRDefault="002D5DA9" w:rsidP="000A7A3E">
      <w:pPr>
        <w:widowControl w:val="0"/>
        <w:autoSpaceDE w:val="0"/>
        <w:autoSpaceDN w:val="0"/>
        <w:adjustRightInd w:val="0"/>
        <w:spacing w:after="0" w:line="240" w:lineRule="auto"/>
      </w:pPr>
    </w:p>
    <w:p w14:paraId="29A35D23" w14:textId="77777777" w:rsidR="002D5DA9" w:rsidRDefault="002D5DA9" w:rsidP="000A7A3E">
      <w:pPr>
        <w:widowControl w:val="0"/>
        <w:autoSpaceDE w:val="0"/>
        <w:autoSpaceDN w:val="0"/>
        <w:adjustRightInd w:val="0"/>
        <w:spacing w:after="0" w:line="240" w:lineRule="auto"/>
      </w:pPr>
    </w:p>
    <w:p w14:paraId="4C498343" w14:textId="77777777" w:rsidR="002D5DA9" w:rsidRDefault="002D5DA9" w:rsidP="000A7A3E">
      <w:pPr>
        <w:widowControl w:val="0"/>
        <w:autoSpaceDE w:val="0"/>
        <w:autoSpaceDN w:val="0"/>
        <w:adjustRightInd w:val="0"/>
        <w:spacing w:after="0" w:line="240" w:lineRule="auto"/>
      </w:pPr>
    </w:p>
    <w:p w14:paraId="42D34C8D" w14:textId="77777777" w:rsidR="002D5DA9" w:rsidRDefault="002D5DA9" w:rsidP="000A7A3E">
      <w:pPr>
        <w:widowControl w:val="0"/>
        <w:autoSpaceDE w:val="0"/>
        <w:autoSpaceDN w:val="0"/>
        <w:adjustRightInd w:val="0"/>
        <w:spacing w:after="0" w:line="240" w:lineRule="auto"/>
      </w:pPr>
    </w:p>
    <w:p w14:paraId="2EC2BA6E" w14:textId="77777777" w:rsidR="002D5DA9" w:rsidRDefault="002D5DA9" w:rsidP="000A7A3E">
      <w:pPr>
        <w:widowControl w:val="0"/>
        <w:autoSpaceDE w:val="0"/>
        <w:autoSpaceDN w:val="0"/>
        <w:adjustRightInd w:val="0"/>
        <w:spacing w:after="0" w:line="240" w:lineRule="auto"/>
      </w:pPr>
    </w:p>
    <w:p w14:paraId="0FB2F4A1" w14:textId="77777777" w:rsidR="002D5DA9" w:rsidRDefault="002D5DA9" w:rsidP="000A7A3E">
      <w:pPr>
        <w:widowControl w:val="0"/>
        <w:autoSpaceDE w:val="0"/>
        <w:autoSpaceDN w:val="0"/>
        <w:adjustRightInd w:val="0"/>
        <w:spacing w:after="0" w:line="240" w:lineRule="auto"/>
      </w:pPr>
    </w:p>
    <w:p w14:paraId="6FC5EB27" w14:textId="77777777" w:rsidR="002D5DA9" w:rsidRDefault="002D5DA9" w:rsidP="000A7A3E">
      <w:pPr>
        <w:widowControl w:val="0"/>
        <w:autoSpaceDE w:val="0"/>
        <w:autoSpaceDN w:val="0"/>
        <w:adjustRightInd w:val="0"/>
        <w:spacing w:after="0" w:line="240" w:lineRule="auto"/>
      </w:pPr>
    </w:p>
    <w:p w14:paraId="7332C5E5" w14:textId="77777777" w:rsidR="002D5DA9" w:rsidRDefault="002D5DA9" w:rsidP="000A7A3E">
      <w:pPr>
        <w:widowControl w:val="0"/>
        <w:autoSpaceDE w:val="0"/>
        <w:autoSpaceDN w:val="0"/>
        <w:adjustRightInd w:val="0"/>
        <w:spacing w:after="0" w:line="240" w:lineRule="auto"/>
      </w:pPr>
    </w:p>
    <w:p w14:paraId="670B179E" w14:textId="77777777" w:rsidR="002D5DA9" w:rsidRDefault="002D5DA9" w:rsidP="000A7A3E">
      <w:pPr>
        <w:widowControl w:val="0"/>
        <w:autoSpaceDE w:val="0"/>
        <w:autoSpaceDN w:val="0"/>
        <w:adjustRightInd w:val="0"/>
        <w:spacing w:after="0" w:line="240" w:lineRule="auto"/>
      </w:pPr>
    </w:p>
    <w:p w14:paraId="25907EC3" w14:textId="77777777" w:rsidR="002D5DA9" w:rsidRDefault="002D5DA9" w:rsidP="000A7A3E">
      <w:pPr>
        <w:widowControl w:val="0"/>
        <w:autoSpaceDE w:val="0"/>
        <w:autoSpaceDN w:val="0"/>
        <w:adjustRightInd w:val="0"/>
        <w:spacing w:after="0" w:line="240" w:lineRule="auto"/>
      </w:pPr>
    </w:p>
    <w:p w14:paraId="127CD29F" w14:textId="3C212008" w:rsidR="00BF4C49" w:rsidRDefault="00E80317" w:rsidP="000A7A3E">
      <w:pPr>
        <w:widowControl w:val="0"/>
        <w:autoSpaceDE w:val="0"/>
        <w:autoSpaceDN w:val="0"/>
        <w:adjustRightInd w:val="0"/>
        <w:spacing w:after="0" w:line="240" w:lineRule="auto"/>
      </w:pPr>
      <w:r>
        <w:t>ATTACHMENT</w:t>
      </w:r>
      <w:r w:rsidR="00A517CB" w:rsidRPr="00A517CB">
        <w:t xml:space="preserve"> </w:t>
      </w:r>
      <w:r w:rsidR="00127152">
        <w:t>A</w:t>
      </w:r>
    </w:p>
    <w:p w14:paraId="3DF6D13E" w14:textId="77777777" w:rsidR="00BF4C49" w:rsidRDefault="00BF4C49" w:rsidP="000A7A3E">
      <w:pPr>
        <w:widowControl w:val="0"/>
        <w:autoSpaceDE w:val="0"/>
        <w:autoSpaceDN w:val="0"/>
        <w:adjustRightInd w:val="0"/>
        <w:spacing w:after="0" w:line="240" w:lineRule="auto"/>
      </w:pPr>
    </w:p>
    <w:p w14:paraId="4276360B" w14:textId="59A8DB6D" w:rsidR="000A7A3E" w:rsidRDefault="000A7A3E" w:rsidP="000A7A3E">
      <w:pPr>
        <w:widowControl w:val="0"/>
        <w:autoSpaceDE w:val="0"/>
        <w:autoSpaceDN w:val="0"/>
        <w:adjustRightInd w:val="0"/>
        <w:spacing w:after="0" w:line="240" w:lineRule="auto"/>
        <w:rPr>
          <w:rFonts w:cs="Times New Roman"/>
          <w:szCs w:val="24"/>
        </w:rPr>
      </w:pPr>
      <w:r>
        <w:rPr>
          <w:rFonts w:cs="Times New Roman"/>
          <w:szCs w:val="24"/>
        </w:rPr>
        <w:t>Title: To amend the Federal Deposit Insurance Act</w:t>
      </w:r>
      <w:r w:rsidR="00727803">
        <w:rPr>
          <w:rFonts w:cs="Times New Roman"/>
          <w:szCs w:val="24"/>
        </w:rPr>
        <w:t xml:space="preserve"> and the Federal Home Loan Bank Act</w:t>
      </w:r>
      <w:r>
        <w:rPr>
          <w:rFonts w:cs="Times New Roman"/>
          <w:szCs w:val="24"/>
        </w:rPr>
        <w:t xml:space="preserve"> to establish a loan loss recovery protocol, and for other purposes. </w:t>
      </w:r>
    </w:p>
    <w:p w14:paraId="4C042BEC" w14:textId="77777777" w:rsidR="000A7A3E" w:rsidRDefault="000A7A3E" w:rsidP="000A7A3E">
      <w:pPr>
        <w:widowControl w:val="0"/>
        <w:autoSpaceDE w:val="0"/>
        <w:autoSpaceDN w:val="0"/>
        <w:adjustRightInd w:val="0"/>
        <w:spacing w:after="0" w:line="240" w:lineRule="auto"/>
        <w:rPr>
          <w:rFonts w:cs="Times New Roman"/>
          <w:szCs w:val="24"/>
        </w:rPr>
      </w:pPr>
    </w:p>
    <w:p w14:paraId="5715D41A" w14:textId="77777777" w:rsidR="000A7A3E" w:rsidRDefault="000A7A3E" w:rsidP="000A7A3E">
      <w:pPr>
        <w:widowControl w:val="0"/>
        <w:autoSpaceDE w:val="0"/>
        <w:autoSpaceDN w:val="0"/>
        <w:adjustRightInd w:val="0"/>
        <w:spacing w:after="0" w:line="240" w:lineRule="auto"/>
        <w:rPr>
          <w:rFonts w:cs="Times New Roman"/>
          <w:szCs w:val="24"/>
        </w:rPr>
      </w:pPr>
    </w:p>
    <w:p w14:paraId="7B76BB57" w14:textId="77777777" w:rsidR="000A7A3E" w:rsidRDefault="000A7A3E" w:rsidP="000A7A3E">
      <w:pPr>
        <w:widowControl w:val="0"/>
        <w:autoSpaceDE w:val="0"/>
        <w:autoSpaceDN w:val="0"/>
        <w:adjustRightInd w:val="0"/>
        <w:spacing w:before="120" w:after="0" w:line="240" w:lineRule="auto"/>
        <w:ind w:firstLine="240"/>
        <w:rPr>
          <w:rFonts w:cs="Times New Roman"/>
          <w:szCs w:val="24"/>
        </w:rPr>
      </w:pPr>
      <w:r>
        <w:rPr>
          <w:rFonts w:cs="Times New Roman"/>
          <w:szCs w:val="24"/>
        </w:rPr>
        <w:t>Be it enacted by the Senate and House of Representatives of the United States of America in Congress assembled,</w:t>
      </w:r>
    </w:p>
    <w:p w14:paraId="14FDE6E7" w14:textId="77777777" w:rsidR="000A7A3E" w:rsidRDefault="000A7A3E" w:rsidP="000A7A3E">
      <w:pPr>
        <w:widowControl w:val="0"/>
        <w:autoSpaceDE w:val="0"/>
        <w:autoSpaceDN w:val="0"/>
        <w:adjustRightInd w:val="0"/>
        <w:spacing w:before="120" w:after="0" w:line="240" w:lineRule="auto"/>
        <w:rPr>
          <w:rFonts w:cs="Times New Roman"/>
          <w:sz w:val="36"/>
          <w:szCs w:val="36"/>
        </w:rPr>
      </w:pPr>
      <w:r>
        <w:rPr>
          <w:rFonts w:cs="Times New Roman"/>
          <w:sz w:val="36"/>
          <w:szCs w:val="36"/>
        </w:rPr>
        <w:t>SECTION 1. SHORT TITLE.</w:t>
      </w:r>
    </w:p>
    <w:p w14:paraId="6B8FEDC7" w14:textId="77777777" w:rsidR="000A7A3E" w:rsidRDefault="000A7A3E" w:rsidP="000A7A3E">
      <w:pPr>
        <w:widowControl w:val="0"/>
        <w:autoSpaceDE w:val="0"/>
        <w:autoSpaceDN w:val="0"/>
        <w:adjustRightInd w:val="0"/>
        <w:spacing w:before="120" w:after="0" w:line="240" w:lineRule="auto"/>
        <w:ind w:firstLine="240"/>
        <w:rPr>
          <w:rFonts w:cs="Times New Roman"/>
          <w:szCs w:val="24"/>
        </w:rPr>
      </w:pPr>
      <w:r>
        <w:rPr>
          <w:rFonts w:cs="Times New Roman"/>
          <w:szCs w:val="24"/>
        </w:rPr>
        <w:t>This Act may be cited as the “Federal Home Loan Banks Advances Accountability Act</w:t>
      </w:r>
      <w:proofErr w:type="gramStart"/>
      <w:r>
        <w:rPr>
          <w:rFonts w:cs="Times New Roman"/>
          <w:szCs w:val="24"/>
        </w:rPr>
        <w:t>”.</w:t>
      </w:r>
      <w:proofErr w:type="gramEnd"/>
    </w:p>
    <w:p w14:paraId="0BA1DE89" w14:textId="77777777" w:rsidR="000A7A3E" w:rsidRDefault="000A7A3E" w:rsidP="000A7A3E">
      <w:pPr>
        <w:widowControl w:val="0"/>
        <w:autoSpaceDE w:val="0"/>
        <w:autoSpaceDN w:val="0"/>
        <w:adjustRightInd w:val="0"/>
        <w:spacing w:before="120" w:after="0" w:line="240" w:lineRule="auto"/>
        <w:rPr>
          <w:rFonts w:cs="Times New Roman"/>
          <w:sz w:val="36"/>
          <w:szCs w:val="36"/>
        </w:rPr>
      </w:pPr>
      <w:r>
        <w:rPr>
          <w:rFonts w:cs="Times New Roman"/>
          <w:sz w:val="36"/>
          <w:szCs w:val="36"/>
        </w:rPr>
        <w:t>SEC. 2. FEDERAL HOME LOAN BANK ADVANCES ACCOUNTABILITY.</w:t>
      </w:r>
    </w:p>
    <w:p w14:paraId="5BE2EF55" w14:textId="77777777" w:rsidR="000A7A3E" w:rsidRDefault="000A7A3E" w:rsidP="000A7A3E">
      <w:pPr>
        <w:widowControl w:val="0"/>
        <w:autoSpaceDE w:val="0"/>
        <w:autoSpaceDN w:val="0"/>
        <w:adjustRightInd w:val="0"/>
        <w:spacing w:before="120" w:after="0" w:line="240" w:lineRule="auto"/>
        <w:ind w:firstLine="240"/>
        <w:rPr>
          <w:rFonts w:cs="Times New Roman"/>
          <w:szCs w:val="24"/>
        </w:rPr>
      </w:pPr>
      <w:r>
        <w:rPr>
          <w:rFonts w:cs="Times New Roman"/>
          <w:szCs w:val="24"/>
        </w:rPr>
        <w:t xml:space="preserve">(a) In </w:t>
      </w:r>
      <w:proofErr w:type="gramStart"/>
      <w:r>
        <w:rPr>
          <w:rFonts w:cs="Times New Roman"/>
          <w:szCs w:val="24"/>
        </w:rPr>
        <w:t>General.—</w:t>
      </w:r>
      <w:proofErr w:type="gramEnd"/>
      <w:r>
        <w:rPr>
          <w:rFonts w:cs="Times New Roman"/>
          <w:szCs w:val="24"/>
        </w:rPr>
        <w:t>Section 38(k) of the Federal Deposit Insurance Act (12 U.S.C. 1831o(k)) is amended—</w:t>
      </w:r>
    </w:p>
    <w:p w14:paraId="2C04673F" w14:textId="77777777" w:rsidR="000A7A3E" w:rsidRDefault="000A7A3E" w:rsidP="000A7A3E">
      <w:pPr>
        <w:widowControl w:val="0"/>
        <w:autoSpaceDE w:val="0"/>
        <w:autoSpaceDN w:val="0"/>
        <w:adjustRightInd w:val="0"/>
        <w:spacing w:before="120" w:after="0" w:line="240" w:lineRule="auto"/>
        <w:ind w:left="480" w:firstLine="240"/>
        <w:rPr>
          <w:rFonts w:cs="Times New Roman"/>
          <w:szCs w:val="24"/>
        </w:rPr>
      </w:pPr>
      <w:r>
        <w:rPr>
          <w:rFonts w:cs="Times New Roman"/>
          <w:szCs w:val="24"/>
        </w:rPr>
        <w:t>(1) in paragraph (1)(B)—</w:t>
      </w:r>
    </w:p>
    <w:p w14:paraId="3FF9ADC9"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(A) in clause (iii), by striking “and” at the </w:t>
      </w:r>
      <w:proofErr w:type="gramStart"/>
      <w:r>
        <w:rPr>
          <w:rFonts w:cs="Times New Roman"/>
          <w:szCs w:val="24"/>
        </w:rPr>
        <w:t>end;</w:t>
      </w:r>
      <w:proofErr w:type="gramEnd"/>
    </w:p>
    <w:p w14:paraId="688CBFF3"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(B) in clause (iv), by striking the period at the end and inserting “; and</w:t>
      </w:r>
      <w:proofErr w:type="gramStart"/>
      <w:r>
        <w:rPr>
          <w:rFonts w:cs="Times New Roman"/>
          <w:szCs w:val="24"/>
        </w:rPr>
        <w:t>”;</w:t>
      </w:r>
      <w:proofErr w:type="gramEnd"/>
      <w:r>
        <w:rPr>
          <w:rFonts w:cs="Times New Roman"/>
          <w:szCs w:val="24"/>
        </w:rPr>
        <w:t xml:space="preserve"> and</w:t>
      </w:r>
    </w:p>
    <w:p w14:paraId="7AACB580"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(C) by adding at the </w:t>
      </w:r>
      <w:proofErr w:type="gramStart"/>
      <w:r>
        <w:rPr>
          <w:rFonts w:cs="Times New Roman"/>
          <w:szCs w:val="24"/>
        </w:rPr>
        <w:t>end</w:t>
      </w:r>
      <w:proofErr w:type="gramEnd"/>
      <w:r>
        <w:rPr>
          <w:rFonts w:cs="Times New Roman"/>
          <w:szCs w:val="24"/>
        </w:rPr>
        <w:t xml:space="preserve"> the following:</w:t>
      </w:r>
    </w:p>
    <w:p w14:paraId="4EBBE2BD" w14:textId="77777777" w:rsidR="000A7A3E" w:rsidRDefault="000A7A3E" w:rsidP="000A7A3E">
      <w:pPr>
        <w:widowControl w:val="0"/>
        <w:autoSpaceDE w:val="0"/>
        <w:autoSpaceDN w:val="0"/>
        <w:adjustRightInd w:val="0"/>
        <w:spacing w:before="120" w:after="0" w:line="240" w:lineRule="auto"/>
        <w:ind w:left="1440" w:firstLine="240"/>
        <w:rPr>
          <w:rFonts w:cs="Times New Roman"/>
          <w:szCs w:val="24"/>
        </w:rPr>
      </w:pPr>
      <w:r>
        <w:rPr>
          <w:rFonts w:cs="Times New Roman"/>
          <w:szCs w:val="24"/>
        </w:rPr>
        <w:t>“(v) in the case of a report described in paragraph (2)(B)(iv), the Federal Housing Finance Agency.”; and</w:t>
      </w:r>
    </w:p>
    <w:p w14:paraId="18F65497" w14:textId="77777777" w:rsidR="000A7A3E" w:rsidRDefault="000A7A3E" w:rsidP="000A7A3E">
      <w:pPr>
        <w:widowControl w:val="0"/>
        <w:autoSpaceDE w:val="0"/>
        <w:autoSpaceDN w:val="0"/>
        <w:adjustRightInd w:val="0"/>
        <w:spacing w:before="120" w:after="0" w:line="240" w:lineRule="auto"/>
        <w:ind w:left="480" w:firstLine="240"/>
        <w:rPr>
          <w:rFonts w:cs="Times New Roman"/>
          <w:szCs w:val="24"/>
        </w:rPr>
      </w:pPr>
      <w:r>
        <w:rPr>
          <w:rFonts w:cs="Times New Roman"/>
          <w:szCs w:val="24"/>
        </w:rPr>
        <w:t>(2) in paragraph (2)(B)—</w:t>
      </w:r>
    </w:p>
    <w:p w14:paraId="3D17D5DC"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(A) in clause (ii), by striking “and” at the </w:t>
      </w:r>
      <w:proofErr w:type="gramStart"/>
      <w:r>
        <w:rPr>
          <w:rFonts w:cs="Times New Roman"/>
          <w:szCs w:val="24"/>
        </w:rPr>
        <w:t>end;</w:t>
      </w:r>
      <w:proofErr w:type="gramEnd"/>
    </w:p>
    <w:p w14:paraId="56742AD1"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(B) in clause (iii), by striking the period at the end and inserting “; and</w:t>
      </w:r>
      <w:proofErr w:type="gramStart"/>
      <w:r>
        <w:rPr>
          <w:rFonts w:cs="Times New Roman"/>
          <w:szCs w:val="24"/>
        </w:rPr>
        <w:t>”;</w:t>
      </w:r>
      <w:proofErr w:type="gramEnd"/>
      <w:r>
        <w:rPr>
          <w:rFonts w:cs="Times New Roman"/>
          <w:szCs w:val="24"/>
        </w:rPr>
        <w:t xml:space="preserve"> and</w:t>
      </w:r>
    </w:p>
    <w:p w14:paraId="419B8238" w14:textId="77777777" w:rsidR="000A7A3E" w:rsidRDefault="000A7A3E" w:rsidP="000A7A3E">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(C) by adding at the </w:t>
      </w:r>
      <w:proofErr w:type="gramStart"/>
      <w:r>
        <w:rPr>
          <w:rFonts w:cs="Times New Roman"/>
          <w:szCs w:val="24"/>
        </w:rPr>
        <w:t>end</w:t>
      </w:r>
      <w:proofErr w:type="gramEnd"/>
      <w:r>
        <w:rPr>
          <w:rFonts w:cs="Times New Roman"/>
          <w:szCs w:val="24"/>
        </w:rPr>
        <w:t xml:space="preserve"> the following:</w:t>
      </w:r>
    </w:p>
    <w:p w14:paraId="05DF8693" w14:textId="77777777" w:rsidR="000A7A3E" w:rsidRDefault="000A7A3E" w:rsidP="000A7A3E">
      <w:pPr>
        <w:widowControl w:val="0"/>
        <w:autoSpaceDE w:val="0"/>
        <w:autoSpaceDN w:val="0"/>
        <w:adjustRightInd w:val="0"/>
        <w:spacing w:before="120" w:after="0" w:line="240" w:lineRule="auto"/>
        <w:ind w:left="1440" w:firstLine="240"/>
        <w:rPr>
          <w:rFonts w:cs="Times New Roman"/>
          <w:szCs w:val="24"/>
        </w:rPr>
      </w:pPr>
      <w:r>
        <w:rPr>
          <w:rFonts w:cs="Times New Roman"/>
          <w:szCs w:val="24"/>
        </w:rPr>
        <w:t>“(iv) any amount if—</w:t>
      </w:r>
    </w:p>
    <w:p w14:paraId="6B3A5BEA" w14:textId="77777777" w:rsidR="000A7A3E" w:rsidRDefault="000A7A3E" w:rsidP="000A7A3E">
      <w:pPr>
        <w:widowControl w:val="0"/>
        <w:autoSpaceDE w:val="0"/>
        <w:autoSpaceDN w:val="0"/>
        <w:adjustRightInd w:val="0"/>
        <w:spacing w:before="120" w:after="0" w:line="240" w:lineRule="auto"/>
        <w:ind w:left="1920" w:firstLine="240"/>
        <w:rPr>
          <w:rFonts w:cs="Times New Roman"/>
          <w:szCs w:val="24"/>
        </w:rPr>
      </w:pPr>
      <w:r>
        <w:rPr>
          <w:rFonts w:cs="Times New Roman"/>
          <w:szCs w:val="24"/>
        </w:rPr>
        <w:t xml:space="preserve">“(I) the depository institution, at the time the Corporation </w:t>
      </w:r>
      <w:proofErr w:type="gramStart"/>
      <w:r>
        <w:rPr>
          <w:rFonts w:cs="Times New Roman"/>
          <w:szCs w:val="24"/>
        </w:rPr>
        <w:t>is appointed</w:t>
      </w:r>
      <w:proofErr w:type="gramEnd"/>
      <w:r>
        <w:rPr>
          <w:rFonts w:cs="Times New Roman"/>
          <w:szCs w:val="24"/>
        </w:rPr>
        <w:t xml:space="preserve"> receiver, has advances outstanding from a Federal Home Loan Bank; and</w:t>
      </w:r>
    </w:p>
    <w:p w14:paraId="38E507C9" w14:textId="77777777" w:rsidR="000A7A3E" w:rsidRDefault="000A7A3E" w:rsidP="000A7A3E">
      <w:pPr>
        <w:widowControl w:val="0"/>
        <w:autoSpaceDE w:val="0"/>
        <w:autoSpaceDN w:val="0"/>
        <w:adjustRightInd w:val="0"/>
        <w:spacing w:before="120" w:after="0" w:line="240" w:lineRule="auto"/>
        <w:ind w:left="1920" w:firstLine="240"/>
        <w:rPr>
          <w:rFonts w:cs="Times New Roman"/>
          <w:szCs w:val="24"/>
        </w:rPr>
      </w:pPr>
      <w:r>
        <w:rPr>
          <w:rFonts w:cs="Times New Roman"/>
          <w:szCs w:val="24"/>
        </w:rPr>
        <w:t xml:space="preserve">“(II) the Corporation </w:t>
      </w:r>
      <w:proofErr w:type="gramStart"/>
      <w:r>
        <w:rPr>
          <w:rFonts w:cs="Times New Roman"/>
          <w:szCs w:val="24"/>
        </w:rPr>
        <w:t>is required</w:t>
      </w:r>
      <w:proofErr w:type="gramEnd"/>
      <w:r>
        <w:rPr>
          <w:rFonts w:cs="Times New Roman"/>
          <w:szCs w:val="24"/>
        </w:rPr>
        <w:t xml:space="preserve"> to—</w:t>
      </w:r>
    </w:p>
    <w:p w14:paraId="45687386" w14:textId="77777777" w:rsidR="000A7A3E" w:rsidRDefault="000A7A3E" w:rsidP="000A7A3E">
      <w:pPr>
        <w:widowControl w:val="0"/>
        <w:autoSpaceDE w:val="0"/>
        <w:autoSpaceDN w:val="0"/>
        <w:adjustRightInd w:val="0"/>
        <w:spacing w:before="120" w:after="0" w:line="240" w:lineRule="auto"/>
        <w:ind w:left="2400" w:firstLine="240"/>
        <w:rPr>
          <w:rFonts w:cs="Times New Roman"/>
          <w:szCs w:val="24"/>
        </w:rPr>
      </w:pPr>
      <w:r>
        <w:rPr>
          <w:rFonts w:cs="Times New Roman"/>
          <w:szCs w:val="24"/>
        </w:rPr>
        <w:t>“(aa) repay the advances described in subclause (I), interest, and prepayment penalties; or</w:t>
      </w:r>
    </w:p>
    <w:p w14:paraId="5324BCC9" w14:textId="77777777" w:rsidR="000A7A3E" w:rsidRDefault="000A7A3E" w:rsidP="000A7A3E">
      <w:pPr>
        <w:widowControl w:val="0"/>
        <w:autoSpaceDE w:val="0"/>
        <w:autoSpaceDN w:val="0"/>
        <w:adjustRightInd w:val="0"/>
        <w:spacing w:before="120" w:after="0" w:line="240" w:lineRule="auto"/>
        <w:ind w:left="2400" w:firstLine="240"/>
        <w:rPr>
          <w:rFonts w:cs="Times New Roman"/>
          <w:szCs w:val="24"/>
        </w:rPr>
      </w:pPr>
      <w:r>
        <w:rPr>
          <w:rFonts w:cs="Times New Roman"/>
          <w:szCs w:val="24"/>
        </w:rPr>
        <w:t>“(bb) sell any assets securing the advances at a loss to the Deposit Insurance Fund.</w:t>
      </w:r>
    </w:p>
    <w:p w14:paraId="436B5472" w14:textId="77777777" w:rsidR="000A7A3E" w:rsidRDefault="000A7A3E" w:rsidP="000A7A3E">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[“(1) SECTION TBD] any amount if the depository institution, at the time the National Credit Union Association is appointed receiver, has advances outstanding from a Federal </w:t>
      </w:r>
      <w:r>
        <w:rPr>
          <w:rFonts w:cs="Times New Roman"/>
          <w:szCs w:val="24"/>
        </w:rPr>
        <w:lastRenderedPageBreak/>
        <w:t>Home Loan Bank and the NCUA is required to repay such advances and interest, prepayment penalties, or sell any assets securing such advances at a loss to the National Credit Union Association.”]</w:t>
      </w:r>
    </w:p>
    <w:p w14:paraId="156F7DF9" w14:textId="734B1B9F" w:rsidR="00EA63C2" w:rsidRDefault="000A7A3E"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[(1) SECTION TBD] any amount if the depository institution, at the time the State</w:t>
      </w:r>
      <w:r w:rsidR="00EA63C2" w:rsidRPr="00EA63C2">
        <w:rPr>
          <w:rFonts w:cs="Times New Roman"/>
          <w:szCs w:val="24"/>
        </w:rPr>
        <w:t xml:space="preserve"> </w:t>
      </w:r>
      <w:r w:rsidR="00EA63C2">
        <w:rPr>
          <w:rFonts w:cs="Times New Roman"/>
          <w:szCs w:val="24"/>
        </w:rPr>
        <w:t>Insurance Guaranty Agency is appointed receiver, has advances outstanding from a Federal Home Loan Bank and the State Agency is required to repay such advances and interest, prepayment penalties, or sell any assets securing such advances at a loss to the State Agency.”]</w:t>
      </w:r>
    </w:p>
    <w:p w14:paraId="71407A1E" w14:textId="77777777" w:rsidR="00EA63C2" w:rsidRDefault="00EA63C2" w:rsidP="00EA63C2">
      <w:pPr>
        <w:widowControl w:val="0"/>
        <w:autoSpaceDE w:val="0"/>
        <w:autoSpaceDN w:val="0"/>
        <w:adjustRightInd w:val="0"/>
        <w:spacing w:before="120" w:after="0" w:line="240" w:lineRule="auto"/>
        <w:ind w:firstLine="240"/>
        <w:rPr>
          <w:rFonts w:cs="Times New Roman"/>
          <w:szCs w:val="24"/>
        </w:rPr>
      </w:pPr>
      <w:r>
        <w:rPr>
          <w:rFonts w:cs="Times New Roman"/>
          <w:szCs w:val="24"/>
        </w:rPr>
        <w:t xml:space="preserve">(b) Federal Home Loan Bank Loan Loss Recovery </w:t>
      </w:r>
      <w:proofErr w:type="gramStart"/>
      <w:r>
        <w:rPr>
          <w:rFonts w:cs="Times New Roman"/>
          <w:szCs w:val="24"/>
        </w:rPr>
        <w:t>Protocol.—</w:t>
      </w:r>
      <w:proofErr w:type="gramEnd"/>
    </w:p>
    <w:p w14:paraId="5199C7BC"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(1) </w:t>
      </w:r>
      <w:r>
        <w:rPr>
          <w:rFonts w:cs="Times New Roman"/>
          <w:smallCaps/>
          <w:szCs w:val="24"/>
        </w:rPr>
        <w:t xml:space="preserve">In </w:t>
      </w:r>
      <w:proofErr w:type="gramStart"/>
      <w:r>
        <w:rPr>
          <w:rFonts w:cs="Times New Roman"/>
          <w:smallCaps/>
          <w:szCs w:val="24"/>
        </w:rPr>
        <w:t>general</w:t>
      </w:r>
      <w:r>
        <w:rPr>
          <w:rFonts w:cs="Times New Roman"/>
          <w:szCs w:val="24"/>
        </w:rPr>
        <w:t>.—</w:t>
      </w:r>
      <w:proofErr w:type="gramEnd"/>
      <w:r>
        <w:rPr>
          <w:rFonts w:cs="Times New Roman"/>
          <w:szCs w:val="24"/>
        </w:rPr>
        <w:t>Section 10 of the Federal Home Loan Bank Act (12 U.S.C. 1430) is amended—</w:t>
      </w:r>
    </w:p>
    <w:p w14:paraId="13905470"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(A) by redesignating subsections (g) through (k) as subsections (f) through (j), </w:t>
      </w:r>
      <w:proofErr w:type="gramStart"/>
      <w:r>
        <w:rPr>
          <w:rFonts w:cs="Times New Roman"/>
          <w:szCs w:val="24"/>
        </w:rPr>
        <w:t>respectively;</w:t>
      </w:r>
      <w:proofErr w:type="gramEnd"/>
    </w:p>
    <w:p w14:paraId="2303F7B3"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(B) in subsection (i)(10), as so redesignated, by striking “subsection (i)” and inserting “subsection (h)”; and</w:t>
      </w:r>
    </w:p>
    <w:p w14:paraId="6A424B8B"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(C) by adding at the </w:t>
      </w:r>
      <w:proofErr w:type="gramStart"/>
      <w:r>
        <w:rPr>
          <w:rFonts w:cs="Times New Roman"/>
          <w:szCs w:val="24"/>
        </w:rPr>
        <w:t>end</w:t>
      </w:r>
      <w:proofErr w:type="gramEnd"/>
      <w:r>
        <w:rPr>
          <w:rFonts w:cs="Times New Roman"/>
          <w:szCs w:val="24"/>
        </w:rPr>
        <w:t xml:space="preserve"> the following:</w:t>
      </w:r>
    </w:p>
    <w:p w14:paraId="0C58F235" w14:textId="77777777" w:rsidR="00EA63C2" w:rsidRDefault="00EA63C2" w:rsidP="00EA63C2">
      <w:pPr>
        <w:widowControl w:val="0"/>
        <w:autoSpaceDE w:val="0"/>
        <w:autoSpaceDN w:val="0"/>
        <w:adjustRightInd w:val="0"/>
        <w:spacing w:before="120" w:after="0" w:line="240" w:lineRule="auto"/>
        <w:ind w:firstLine="240"/>
        <w:rPr>
          <w:rFonts w:cs="Times New Roman"/>
          <w:szCs w:val="24"/>
        </w:rPr>
      </w:pPr>
      <w:r>
        <w:rPr>
          <w:rFonts w:cs="Times New Roman"/>
          <w:szCs w:val="24"/>
        </w:rPr>
        <w:t xml:space="preserve">“(k) Advances </w:t>
      </w:r>
      <w:proofErr w:type="gramStart"/>
      <w:r>
        <w:rPr>
          <w:rFonts w:cs="Times New Roman"/>
          <w:szCs w:val="24"/>
        </w:rPr>
        <w:t>Accountability.—</w:t>
      </w:r>
      <w:proofErr w:type="gramEnd"/>
    </w:p>
    <w:p w14:paraId="4B50A582"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“(1) </w:t>
      </w:r>
      <w:r>
        <w:rPr>
          <w:rFonts w:cs="Times New Roman"/>
          <w:smallCaps/>
          <w:szCs w:val="24"/>
        </w:rPr>
        <w:t>In general</w:t>
      </w:r>
      <w:r>
        <w:rPr>
          <w:rFonts w:cs="Times New Roman"/>
          <w:szCs w:val="24"/>
        </w:rPr>
        <w:t>.—After receiving reports from the Inspector General of the Federal Deposit Insurance Corporation pursuant to section 38(k)(2)(B)(iv) of the Federal Deposit Insurance Act (12 U.S.C. 1831o(k)(2)(B)(iv)), the Agency shall calculate the total annual losses incurred by the Deposit Insurance Fund resulting from advances by the Banks.</w:t>
      </w:r>
    </w:p>
    <w:p w14:paraId="6FEA464A"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“(2) </w:t>
      </w:r>
      <w:proofErr w:type="gramStart"/>
      <w:r>
        <w:rPr>
          <w:rFonts w:cs="Times New Roman"/>
          <w:smallCaps/>
          <w:szCs w:val="24"/>
        </w:rPr>
        <w:t>Assessment</w:t>
      </w:r>
      <w:r>
        <w:rPr>
          <w:rFonts w:cs="Times New Roman"/>
          <w:szCs w:val="24"/>
        </w:rPr>
        <w:t>.—</w:t>
      </w:r>
      <w:proofErr w:type="gramEnd"/>
      <w:r>
        <w:rPr>
          <w:rFonts w:cs="Times New Roman"/>
          <w:szCs w:val="24"/>
        </w:rPr>
        <w:t>The Agency shall calculate the pro rata share of each Bank for the total losses as described in paragraph (1) based on the share of each Bank of year-end advances balances for all Banks.</w:t>
      </w:r>
    </w:p>
    <w:p w14:paraId="09976B77"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“(3) </w:t>
      </w:r>
      <w:proofErr w:type="gramStart"/>
      <w:r>
        <w:rPr>
          <w:rFonts w:cs="Times New Roman"/>
          <w:smallCaps/>
          <w:szCs w:val="24"/>
        </w:rPr>
        <w:t>Notice</w:t>
      </w:r>
      <w:r>
        <w:rPr>
          <w:rFonts w:cs="Times New Roman"/>
          <w:szCs w:val="24"/>
        </w:rPr>
        <w:t>.—</w:t>
      </w:r>
      <w:proofErr w:type="gramEnd"/>
      <w:r>
        <w:rPr>
          <w:rFonts w:cs="Times New Roman"/>
          <w:szCs w:val="24"/>
        </w:rPr>
        <w:t>The Agency shall submit to the relevant Bank an annual notice that includes the amount described in paragraph (2).</w:t>
      </w:r>
    </w:p>
    <w:p w14:paraId="11025AF9"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“(4) </w:t>
      </w:r>
      <w:r>
        <w:rPr>
          <w:rFonts w:cs="Times New Roman"/>
          <w:smallCaps/>
          <w:szCs w:val="24"/>
        </w:rPr>
        <w:t xml:space="preserve">Contribution to </w:t>
      </w:r>
      <w:proofErr w:type="gramStart"/>
      <w:r>
        <w:rPr>
          <w:rFonts w:cs="Times New Roman"/>
          <w:smallCaps/>
          <w:szCs w:val="24"/>
        </w:rPr>
        <w:t>program</w:t>
      </w:r>
      <w:r>
        <w:rPr>
          <w:rFonts w:cs="Times New Roman"/>
          <w:szCs w:val="24"/>
        </w:rPr>
        <w:t>.—</w:t>
      </w:r>
      <w:proofErr w:type="gramEnd"/>
      <w:r>
        <w:rPr>
          <w:rFonts w:cs="Times New Roman"/>
          <w:szCs w:val="24"/>
        </w:rPr>
        <w:t>Each Bank shall contribute an amount equal to the amount described in paragraph (2) to the Affordable Housing Program.</w:t>
      </w:r>
    </w:p>
    <w:p w14:paraId="2268B26A"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“(5) </w:t>
      </w:r>
      <w:r>
        <w:rPr>
          <w:rFonts w:cs="Times New Roman"/>
          <w:smallCaps/>
          <w:szCs w:val="24"/>
        </w:rPr>
        <w:t xml:space="preserve">Recalculation of financial </w:t>
      </w:r>
      <w:proofErr w:type="gramStart"/>
      <w:r>
        <w:rPr>
          <w:rFonts w:cs="Times New Roman"/>
          <w:smallCaps/>
          <w:szCs w:val="24"/>
        </w:rPr>
        <w:t>statements</w:t>
      </w:r>
      <w:r>
        <w:rPr>
          <w:rFonts w:cs="Times New Roman"/>
          <w:szCs w:val="24"/>
        </w:rPr>
        <w:t>.—</w:t>
      </w:r>
      <w:proofErr w:type="gramEnd"/>
    </w:p>
    <w:p w14:paraId="25914994"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“(A) </w:t>
      </w:r>
      <w:r>
        <w:rPr>
          <w:rFonts w:cs="Times New Roman"/>
          <w:smallCaps/>
          <w:szCs w:val="24"/>
        </w:rPr>
        <w:t xml:space="preserve">In </w:t>
      </w:r>
      <w:proofErr w:type="gramStart"/>
      <w:r>
        <w:rPr>
          <w:rFonts w:cs="Times New Roman"/>
          <w:smallCaps/>
          <w:szCs w:val="24"/>
        </w:rPr>
        <w:t>general</w:t>
      </w:r>
      <w:r>
        <w:rPr>
          <w:rFonts w:cs="Times New Roman"/>
          <w:szCs w:val="24"/>
        </w:rPr>
        <w:t>.—</w:t>
      </w:r>
      <w:proofErr w:type="gramEnd"/>
      <w:r>
        <w:rPr>
          <w:rFonts w:cs="Times New Roman"/>
          <w:szCs w:val="24"/>
        </w:rPr>
        <w:t>Each Bank that has one or more members described in paragraph (1) shall recalculate any financial statements used in determining executive incentive payments factoring in the payments described in that paragraph.</w:t>
      </w:r>
    </w:p>
    <w:p w14:paraId="51C067AA"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 xml:space="preserve">“(B) </w:t>
      </w:r>
      <w:r>
        <w:rPr>
          <w:rFonts w:cs="Times New Roman"/>
          <w:smallCaps/>
          <w:szCs w:val="24"/>
        </w:rPr>
        <w:t xml:space="preserve">Executive incentive </w:t>
      </w:r>
      <w:proofErr w:type="gramStart"/>
      <w:r>
        <w:rPr>
          <w:rFonts w:cs="Times New Roman"/>
          <w:smallCaps/>
          <w:szCs w:val="24"/>
        </w:rPr>
        <w:t>payments</w:t>
      </w:r>
      <w:r>
        <w:rPr>
          <w:rFonts w:cs="Times New Roman"/>
          <w:szCs w:val="24"/>
        </w:rPr>
        <w:t>.—</w:t>
      </w:r>
      <w:proofErr w:type="gramEnd"/>
      <w:r>
        <w:rPr>
          <w:rFonts w:cs="Times New Roman"/>
          <w:szCs w:val="24"/>
        </w:rPr>
        <w:t>Each Bank shall adjust executive incentive payments described in subparagraph (A) and withhold any executive incentive payments paid or to be paid based on the unadjusted financial statements.</w:t>
      </w:r>
    </w:p>
    <w:p w14:paraId="5D55C7BD" w14:textId="77777777" w:rsidR="00EA63C2" w:rsidRDefault="00EA63C2" w:rsidP="00EA63C2">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“(6) </w:t>
      </w:r>
      <w:r>
        <w:rPr>
          <w:rFonts w:cs="Times New Roman"/>
          <w:smallCaps/>
          <w:szCs w:val="24"/>
        </w:rPr>
        <w:t xml:space="preserve">Calculation of </w:t>
      </w:r>
      <w:proofErr w:type="gramStart"/>
      <w:r>
        <w:rPr>
          <w:rFonts w:cs="Times New Roman"/>
          <w:smallCaps/>
          <w:szCs w:val="24"/>
        </w:rPr>
        <w:t>losses</w:t>
      </w:r>
      <w:r>
        <w:rPr>
          <w:rFonts w:cs="Times New Roman"/>
          <w:szCs w:val="24"/>
        </w:rPr>
        <w:t>.—</w:t>
      </w:r>
      <w:proofErr w:type="gramEnd"/>
      <w:r>
        <w:rPr>
          <w:rFonts w:cs="Times New Roman"/>
          <w:szCs w:val="24"/>
        </w:rPr>
        <w:t>The Agency, in coordination with the Federal Deposit Insurance Corporation, the National Credit Union Administration, and State insurance guaranty funds, shall establish a standardized methodology for calculating losses if a receiver is required to—</w:t>
      </w:r>
    </w:p>
    <w:p w14:paraId="3EDC757A"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t>“(A) repay Bank advances, interest, and prepayment penalties; or</w:t>
      </w:r>
    </w:p>
    <w:p w14:paraId="2A939EAA" w14:textId="77777777" w:rsidR="00EA63C2" w:rsidRDefault="00EA63C2" w:rsidP="00EA63C2">
      <w:pPr>
        <w:widowControl w:val="0"/>
        <w:autoSpaceDE w:val="0"/>
        <w:autoSpaceDN w:val="0"/>
        <w:adjustRightInd w:val="0"/>
        <w:spacing w:before="120" w:after="0" w:line="240" w:lineRule="auto"/>
        <w:ind w:left="960" w:firstLine="240"/>
        <w:rPr>
          <w:rFonts w:cs="Times New Roman"/>
          <w:szCs w:val="24"/>
        </w:rPr>
      </w:pPr>
      <w:r>
        <w:rPr>
          <w:rFonts w:cs="Times New Roman"/>
          <w:szCs w:val="24"/>
        </w:rPr>
        <w:lastRenderedPageBreak/>
        <w:t>“(B) sell any assets securing the advances described in subparagraph (A).</w:t>
      </w:r>
    </w:p>
    <w:p w14:paraId="000F417E" w14:textId="7C3AB553" w:rsidR="00A517CB" w:rsidRDefault="00EA63C2" w:rsidP="00EA63C2">
      <w:pPr>
        <w:spacing w:line="259" w:lineRule="auto"/>
        <w:rPr>
          <w:rFonts w:cs="Times New Roman"/>
          <w:szCs w:val="24"/>
        </w:rPr>
      </w:pPr>
      <w:r>
        <w:rPr>
          <w:rFonts w:cs="Times New Roman"/>
          <w:szCs w:val="24"/>
        </w:rPr>
        <w:t xml:space="preserve">“(7) </w:t>
      </w:r>
      <w:proofErr w:type="gramStart"/>
      <w:r>
        <w:rPr>
          <w:rFonts w:cs="Times New Roman"/>
          <w:smallCaps/>
          <w:szCs w:val="24"/>
        </w:rPr>
        <w:t>Reports</w:t>
      </w:r>
      <w:r>
        <w:rPr>
          <w:rFonts w:cs="Times New Roman"/>
          <w:szCs w:val="24"/>
        </w:rPr>
        <w:t>.—</w:t>
      </w:r>
      <w:proofErr w:type="gramEnd"/>
      <w:r>
        <w:rPr>
          <w:rFonts w:cs="Times New Roman"/>
          <w:szCs w:val="24"/>
        </w:rPr>
        <w:t>The Federal Deposit Insurance Corporation, the National Credit Union Administration, and State insurance guaranty funds shall submit to the appropriate agency</w:t>
      </w:r>
    </w:p>
    <w:p w14:paraId="728D2C94" w14:textId="77777777" w:rsidR="00071BA5" w:rsidRDefault="00071BA5" w:rsidP="00071BA5">
      <w:pPr>
        <w:widowControl w:val="0"/>
        <w:autoSpaceDE w:val="0"/>
        <w:autoSpaceDN w:val="0"/>
        <w:adjustRightInd w:val="0"/>
        <w:spacing w:before="120" w:after="0" w:line="240" w:lineRule="auto"/>
        <w:ind w:left="480" w:firstLine="240"/>
        <w:rPr>
          <w:rFonts w:cs="Times New Roman"/>
          <w:szCs w:val="24"/>
        </w:rPr>
      </w:pPr>
      <w:r>
        <w:rPr>
          <w:rFonts w:cs="Times New Roman"/>
          <w:szCs w:val="24"/>
        </w:rPr>
        <w:t>an annual report on the total payments described in paragraph (1).”.</w:t>
      </w:r>
    </w:p>
    <w:p w14:paraId="2CF418F6" w14:textId="77777777" w:rsidR="00071BA5" w:rsidRDefault="00071BA5" w:rsidP="00071BA5">
      <w:pPr>
        <w:widowControl w:val="0"/>
        <w:autoSpaceDE w:val="0"/>
        <w:autoSpaceDN w:val="0"/>
        <w:adjustRightInd w:val="0"/>
        <w:spacing w:before="120" w:after="0" w:line="240" w:lineRule="auto"/>
        <w:ind w:firstLine="240"/>
        <w:rPr>
          <w:rFonts w:cs="Times New Roman"/>
          <w:szCs w:val="24"/>
        </w:rPr>
      </w:pPr>
      <w:r>
        <w:rPr>
          <w:rFonts w:cs="Times New Roman"/>
          <w:szCs w:val="24"/>
        </w:rPr>
        <w:t xml:space="preserve">(c) Technical and Conforming </w:t>
      </w:r>
      <w:proofErr w:type="gramStart"/>
      <w:r>
        <w:rPr>
          <w:rFonts w:cs="Times New Roman"/>
          <w:szCs w:val="24"/>
        </w:rPr>
        <w:t>Amendments.—</w:t>
      </w:r>
      <w:proofErr w:type="gramEnd"/>
    </w:p>
    <w:p w14:paraId="2B6E5E20" w14:textId="77777777" w:rsidR="00071BA5" w:rsidRDefault="00071BA5" w:rsidP="00071BA5">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(1) Section 21B(f)(2)(C) of the Federal Home Loan Bank Act (12 U.S.C. 1441b(f)(2)(C)) </w:t>
      </w:r>
      <w:proofErr w:type="gramStart"/>
      <w:r>
        <w:rPr>
          <w:rFonts w:cs="Times New Roman"/>
          <w:szCs w:val="24"/>
        </w:rPr>
        <w:t>is amended</w:t>
      </w:r>
      <w:proofErr w:type="gramEnd"/>
      <w:r>
        <w:rPr>
          <w:rFonts w:cs="Times New Roman"/>
          <w:szCs w:val="24"/>
        </w:rPr>
        <w:t xml:space="preserve"> by striking “10(j)” each place the term appears and inserting “10(h)”.</w:t>
      </w:r>
    </w:p>
    <w:p w14:paraId="441DB36A" w14:textId="77777777" w:rsidR="00071BA5" w:rsidRDefault="00071BA5" w:rsidP="00071BA5">
      <w:pPr>
        <w:widowControl w:val="0"/>
        <w:autoSpaceDE w:val="0"/>
        <w:autoSpaceDN w:val="0"/>
        <w:adjustRightInd w:val="0"/>
        <w:spacing w:before="120" w:after="0" w:line="240" w:lineRule="auto"/>
        <w:ind w:left="480" w:firstLine="240"/>
        <w:rPr>
          <w:rFonts w:cs="Times New Roman"/>
          <w:szCs w:val="24"/>
        </w:rPr>
      </w:pPr>
      <w:r>
        <w:rPr>
          <w:rFonts w:cs="Times New Roman"/>
          <w:szCs w:val="24"/>
        </w:rPr>
        <w:t xml:space="preserve">(2) Section 1371(a)(2) of the Federal Housing Enterprises Financial Safety and Soundness Act of 1992 (12 U.S.C. 4631(a)(2)) </w:t>
      </w:r>
      <w:proofErr w:type="gramStart"/>
      <w:r>
        <w:rPr>
          <w:rFonts w:cs="Times New Roman"/>
          <w:szCs w:val="24"/>
        </w:rPr>
        <w:t>is amended</w:t>
      </w:r>
      <w:proofErr w:type="gramEnd"/>
      <w:r>
        <w:rPr>
          <w:rFonts w:cs="Times New Roman"/>
          <w:szCs w:val="24"/>
        </w:rPr>
        <w:t xml:space="preserve"> by striking “10(j) of the Federal Home Loan Bank Act (12 U.S.C. 1430(j))” and inserting “10(i) of the Federal Home Loan Bank Act (12 U.S.C. 1430(i))”.</w:t>
      </w:r>
    </w:p>
    <w:p w14:paraId="22E627AF" w14:textId="77777777" w:rsidR="00071BA5" w:rsidRPr="00A517CB" w:rsidRDefault="00071BA5" w:rsidP="00EA63C2">
      <w:pPr>
        <w:spacing w:line="259" w:lineRule="auto"/>
      </w:pPr>
    </w:p>
    <w:p w14:paraId="009CE873" w14:textId="77777777" w:rsidR="00B276AA" w:rsidRDefault="00B276AA" w:rsidP="00D40706"/>
    <w:p w14:paraId="313389FD" w14:textId="77777777" w:rsidR="00B276AA" w:rsidRDefault="00B276AA" w:rsidP="00D40706"/>
    <w:p w14:paraId="66200DD9" w14:textId="77777777" w:rsidR="00B276AA" w:rsidRDefault="00B276AA" w:rsidP="00D40706"/>
    <w:p w14:paraId="45866E8F" w14:textId="77777777" w:rsidR="00B276AA" w:rsidRDefault="00B276AA" w:rsidP="00D40706"/>
    <w:p w14:paraId="728F9B36" w14:textId="77777777" w:rsidR="00B276AA" w:rsidRDefault="00B276AA" w:rsidP="00D40706"/>
    <w:p w14:paraId="2DD4760A" w14:textId="77777777" w:rsidR="00B276AA" w:rsidRDefault="00B276AA" w:rsidP="00D40706"/>
    <w:p w14:paraId="7201088C" w14:textId="77777777" w:rsidR="00B276AA" w:rsidRDefault="00B276AA" w:rsidP="00D40706"/>
    <w:p w14:paraId="3F07927E" w14:textId="77777777" w:rsidR="00B276AA" w:rsidRDefault="00B276AA" w:rsidP="00D40706"/>
    <w:p w14:paraId="2EFD74A1" w14:textId="77777777" w:rsidR="00B276AA" w:rsidRDefault="00B276AA" w:rsidP="00D40706"/>
    <w:p w14:paraId="0148D0B9" w14:textId="77777777" w:rsidR="00B276AA" w:rsidRDefault="00B276AA" w:rsidP="00D40706"/>
    <w:p w14:paraId="6AB3CD1A" w14:textId="77777777" w:rsidR="00B276AA" w:rsidRDefault="00B276AA" w:rsidP="00D40706"/>
    <w:p w14:paraId="6795BCF6" w14:textId="77777777" w:rsidR="00B276AA" w:rsidRDefault="00B276AA" w:rsidP="00D40706"/>
    <w:p w14:paraId="05C12ADB" w14:textId="77777777" w:rsidR="00B276AA" w:rsidRDefault="00B276AA" w:rsidP="00D40706"/>
    <w:p w14:paraId="32607D2F" w14:textId="77777777" w:rsidR="00B276AA" w:rsidRDefault="00B276AA" w:rsidP="00D40706"/>
    <w:p w14:paraId="72529B6B" w14:textId="77777777" w:rsidR="00B276AA" w:rsidRDefault="00B276AA" w:rsidP="00D40706"/>
    <w:p w14:paraId="26EF31A7" w14:textId="77777777" w:rsidR="00B276AA" w:rsidRDefault="00B276AA" w:rsidP="00D40706"/>
    <w:p w14:paraId="4CFDDE57" w14:textId="77777777" w:rsidR="00B276AA" w:rsidRDefault="00B276AA" w:rsidP="00D40706"/>
    <w:p w14:paraId="4F1CF8D1" w14:textId="77777777" w:rsidR="00B276AA" w:rsidRDefault="00B276AA" w:rsidP="00D40706"/>
    <w:p w14:paraId="1154A90B" w14:textId="77777777" w:rsidR="00B276AA" w:rsidRDefault="00B276AA" w:rsidP="00D40706"/>
    <w:p w14:paraId="4386DC9A" w14:textId="77777777" w:rsidR="00B276AA" w:rsidRDefault="00B276AA" w:rsidP="00D40706"/>
    <w:p w14:paraId="4FB13862" w14:textId="27C9EB78" w:rsidR="00B276AA" w:rsidRDefault="00B276AA" w:rsidP="00D40706">
      <w:r>
        <w:t>ATTACHMENT B</w:t>
      </w:r>
    </w:p>
    <w:p w14:paraId="3AED2DE1" w14:textId="77777777" w:rsidR="00B276AA" w:rsidRDefault="00B276AA" w:rsidP="00D40706"/>
    <w:p w14:paraId="34D9CD6F" w14:textId="5CCCE154" w:rsidR="00D40706" w:rsidRDefault="00D40706" w:rsidP="00D40706">
      <w:r>
        <w:t>117TH CONGRESS</w:t>
      </w:r>
    </w:p>
    <w:p w14:paraId="22AADD43" w14:textId="77777777" w:rsidR="00D40706" w:rsidRDefault="00D40706" w:rsidP="00D40706">
      <w:r>
        <w:t xml:space="preserve"> 2ND SESSION </w:t>
      </w:r>
    </w:p>
    <w:p w14:paraId="0FF72730" w14:textId="77777777" w:rsidR="00D40706" w:rsidRDefault="00D40706" w:rsidP="00D40706">
      <w:pPr>
        <w:jc w:val="center"/>
        <w:rPr>
          <w:b/>
          <w:bCs/>
          <w:sz w:val="48"/>
          <w:szCs w:val="48"/>
        </w:rPr>
      </w:pPr>
      <w:r>
        <w:rPr>
          <w:b/>
          <w:bCs/>
          <w:sz w:val="48"/>
          <w:szCs w:val="48"/>
        </w:rPr>
        <w:t>S. ____</w:t>
      </w:r>
    </w:p>
    <w:p w14:paraId="17A719BB" w14:textId="77777777" w:rsidR="00D40706" w:rsidRDefault="00D40706" w:rsidP="00D40706">
      <w:r>
        <w:t xml:space="preserve">To address the issues surrounding the Federal Home Loan Bank System. </w:t>
      </w:r>
    </w:p>
    <w:p w14:paraId="0092E4BE" w14:textId="77777777" w:rsidR="00D40706" w:rsidRDefault="00D40706" w:rsidP="00D40706">
      <w:pPr>
        <w:jc w:val="center"/>
      </w:pPr>
      <w:bookmarkStart w:id="0" w:name="_Hlk97466876"/>
      <w:r>
        <w:t>_____________________________</w:t>
      </w:r>
    </w:p>
    <w:bookmarkEnd w:id="0"/>
    <w:p w14:paraId="1E5DFD48" w14:textId="77777777" w:rsidR="00D40706" w:rsidRDefault="00D40706" w:rsidP="00D40706">
      <w:pPr>
        <w:jc w:val="center"/>
      </w:pPr>
      <w:r>
        <w:t>IN THE SENATE OF THE UNITED STATES</w:t>
      </w:r>
    </w:p>
    <w:p w14:paraId="16CA65BD" w14:textId="77777777" w:rsidR="00D40706" w:rsidRDefault="00D40706" w:rsidP="00D40706">
      <w:pPr>
        <w:jc w:val="center"/>
      </w:pPr>
      <w:r>
        <w:t xml:space="preserve">March </w:t>
      </w:r>
      <w:proofErr w:type="gramStart"/>
      <w:r>
        <w:t xml:space="preserve">  ,</w:t>
      </w:r>
      <w:proofErr w:type="gramEnd"/>
      <w:r>
        <w:t xml:space="preserve"> 2022</w:t>
      </w:r>
    </w:p>
    <w:p w14:paraId="6DADB393" w14:textId="77777777" w:rsidR="00D40706" w:rsidRDefault="00D40706" w:rsidP="00D40706">
      <w:pPr>
        <w:jc w:val="center"/>
      </w:pPr>
      <w:r>
        <w:t xml:space="preserve">Ms./Mr. ___________ introduced the following bill which </w:t>
      </w:r>
      <w:proofErr w:type="gramStart"/>
      <w:r>
        <w:t>was read</w:t>
      </w:r>
      <w:proofErr w:type="gramEnd"/>
      <w:r>
        <w:t xml:space="preserve"> twice and referred to the Committee on Banking, Housing, and Urban Affairs</w:t>
      </w:r>
    </w:p>
    <w:p w14:paraId="3BCF0188" w14:textId="77777777" w:rsidR="00D40706" w:rsidRDefault="00D40706" w:rsidP="00D40706">
      <w:pPr>
        <w:jc w:val="center"/>
      </w:pPr>
      <w:r>
        <w:t>_____________________________</w:t>
      </w:r>
    </w:p>
    <w:p w14:paraId="0F7A88AA" w14:textId="77777777" w:rsidR="00D40706" w:rsidRDefault="00D40706" w:rsidP="00D40706">
      <w:pPr>
        <w:jc w:val="center"/>
      </w:pPr>
    </w:p>
    <w:p w14:paraId="6AD99575" w14:textId="77777777" w:rsidR="00D40706" w:rsidRDefault="00D40706" w:rsidP="00D40706">
      <w:pPr>
        <w:jc w:val="center"/>
        <w:rPr>
          <w:b/>
          <w:bCs/>
          <w:sz w:val="44"/>
          <w:szCs w:val="44"/>
        </w:rPr>
      </w:pPr>
      <w:r>
        <w:rPr>
          <w:b/>
          <w:bCs/>
          <w:sz w:val="44"/>
          <w:szCs w:val="44"/>
        </w:rPr>
        <w:t>A BILL</w:t>
      </w:r>
    </w:p>
    <w:p w14:paraId="38479015" w14:textId="77777777" w:rsidR="00D40706" w:rsidRDefault="00D40706" w:rsidP="00D40706">
      <w:r>
        <w:t>To address the issues surrounding the Federal Home Loan Bank System</w:t>
      </w:r>
      <w:proofErr w:type="gramStart"/>
      <w:r>
        <w:t xml:space="preserve">.  </w:t>
      </w:r>
      <w:proofErr w:type="gramEnd"/>
    </w:p>
    <w:p w14:paraId="2C6F42BB" w14:textId="77777777" w:rsidR="00D40706" w:rsidRDefault="00D40706" w:rsidP="00D40706"/>
    <w:p w14:paraId="435FD640" w14:textId="77777777" w:rsidR="00D40706" w:rsidRDefault="00D40706" w:rsidP="00D40706">
      <w:pPr>
        <w:rPr>
          <w:i/>
          <w:iCs/>
        </w:rPr>
      </w:pPr>
      <w:r>
        <w:rPr>
          <w:i/>
          <w:iCs/>
        </w:rPr>
        <w:t xml:space="preserve">Be it enacted by the Senate and House of Representatives of the United States of America in Congress assembled, </w:t>
      </w:r>
    </w:p>
    <w:p w14:paraId="4EAB38AE" w14:textId="77777777" w:rsidR="00D40706" w:rsidRDefault="00D40706" w:rsidP="00D40706">
      <w:pPr>
        <w:rPr>
          <w:i/>
          <w:iCs/>
        </w:rPr>
      </w:pPr>
      <w:r>
        <w:rPr>
          <w:i/>
          <w:iCs/>
        </w:rPr>
        <w:t xml:space="preserve"> </w:t>
      </w:r>
    </w:p>
    <w:p w14:paraId="19AA467A" w14:textId="77777777" w:rsidR="00D40706" w:rsidRDefault="00D40706" w:rsidP="00D40706">
      <w:r>
        <w:rPr>
          <w:b/>
          <w:bCs/>
        </w:rPr>
        <w:t>SECTION 1. SHORT TITLE</w:t>
      </w:r>
      <w:proofErr w:type="gramStart"/>
      <w:r>
        <w:t xml:space="preserve">.  </w:t>
      </w:r>
      <w:proofErr w:type="gramEnd"/>
    </w:p>
    <w:p w14:paraId="345E72F0" w14:textId="77777777" w:rsidR="00D40706" w:rsidRDefault="00D40706" w:rsidP="00D40706">
      <w:r>
        <w:t xml:space="preserve">This Act may </w:t>
      </w:r>
      <w:proofErr w:type="gramStart"/>
      <w:r>
        <w:t>be cited</w:t>
      </w:r>
      <w:proofErr w:type="gramEnd"/>
      <w:r>
        <w:t xml:space="preserve"> as the ‘‘Federal Home Loan Bank Inquiry Commission Act’’</w:t>
      </w:r>
    </w:p>
    <w:p w14:paraId="266C3901" w14:textId="77777777" w:rsidR="00D40706" w:rsidRDefault="00D40706" w:rsidP="00D40706"/>
    <w:p w14:paraId="20D3B0B5" w14:textId="77777777" w:rsidR="00D40706" w:rsidRDefault="00D40706" w:rsidP="00D40706">
      <w:pPr>
        <w:rPr>
          <w:b/>
          <w:bCs/>
        </w:rPr>
      </w:pPr>
      <w:r>
        <w:rPr>
          <w:b/>
          <w:bCs/>
        </w:rPr>
        <w:t>SEC. 2. FEDERAL HOME LOAN BANK INQUIRY COMMISSION.</w:t>
      </w:r>
    </w:p>
    <w:p w14:paraId="742EE552" w14:textId="77777777" w:rsidR="00D40706" w:rsidRDefault="00D40706" w:rsidP="00D40706">
      <w:r>
        <w:t xml:space="preserve">(a) ESTABLISHMENT OF COMMISSION. — There is established in the legislative branch the Federal Home Loan Bank Inquiry Commission (referred to as the ‘‘Commission’’) to examine the structure, operations, products, </w:t>
      </w:r>
      <w:proofErr w:type="gramStart"/>
      <w:r>
        <w:t>costs</w:t>
      </w:r>
      <w:proofErr w:type="gramEnd"/>
      <w:r>
        <w:t xml:space="preserve"> and usefulness of the Federal Home Loan Banks. </w:t>
      </w:r>
    </w:p>
    <w:p w14:paraId="46206543" w14:textId="77777777" w:rsidR="00D40706" w:rsidRDefault="00D40706" w:rsidP="00D40706">
      <w:r>
        <w:t xml:space="preserve">(b) COMPOSITION OF THE COMMISSION.— (1) MEMBERS.—The Commission shall be composed of 10 members, of whom (A) 3 members shall be appointed by the majority leader of </w:t>
      </w:r>
      <w:r>
        <w:lastRenderedPageBreak/>
        <w:t xml:space="preserve">the Senate, in consultation with relevant Committees; (B) 3 members shall be appointed by the Speaker of the House of Representatives, in consultation with relevant Committees; (C) 2 members shall be appointed by the minority leader of the Senate, in consultation with relevant Committees; and (D) 2 members shall be appointed by the minority leader of the House of Representatives, in consultation with relevant Committees. (2) QUALIFICATIONS; LIMITATION. — (A) IN GENERAL. —It is the sense of the Congress that individuals appointed to the Commission should be prominent United States citizens with national recognition and significant depth of experience in such fields as banking, regulation of markets, taxation, finance, economics, consumer protection, and housing. (B) LIMITATION. —No person who is a member of Congress or an officer or employee of the Federal Government or any State or local government may serve as a member of the Commission. (3) CHAIRPERSON; VICE CHAIRPERSON. — (A) IN GENERAL. —Subject to the requirements of subparagraph (B), the Chairperson of the Commission shall </w:t>
      </w:r>
      <w:proofErr w:type="gramStart"/>
      <w:r>
        <w:t>be selected</w:t>
      </w:r>
      <w:proofErr w:type="gramEnd"/>
      <w:r>
        <w:t xml:space="preserve"> jointly by the Majority Leader of the Senate and the Speaker of the House of Representatives, and the Vice Chairperson shall be selected jointly by the Minority Leader of the Senate and the Minority Leader of the House of Representatives. (B) POLITICAL PARTY AFFILIATION. —The Chairperson and Vice Chairperson of the Commission may not be from the same political party. (4) MEETINGS, QUORUM; VACANCIES. — (A) MEETINGS. — (i) INITIAL MEETING. —The initial meeting of the Commission shall be as soon as possible after a quorum of members have </w:t>
      </w:r>
      <w:proofErr w:type="gramStart"/>
      <w:r>
        <w:t>been appointed</w:t>
      </w:r>
      <w:proofErr w:type="gramEnd"/>
      <w:r>
        <w:t xml:space="preserve">. (ii) SUBSEQUENT MEETINGS. —After the initial meeting of the Commission, the Commission shall meet upon the call of the Chairperson or a majority of its members. (B) QUORUM. —6 members of the Commission shall constitute a quorum. (C) VACANCIES. —Any vacancy on the Commission shall— (i) not affect the powers of the Commission; and (ii) be filled in the same </w:t>
      </w:r>
      <w:proofErr w:type="gramStart"/>
      <w:r>
        <w:t>manner in which</w:t>
      </w:r>
      <w:proofErr w:type="gramEnd"/>
      <w:r>
        <w:t xml:space="preserve"> the original appointment was made. </w:t>
      </w:r>
    </w:p>
    <w:p w14:paraId="63D99986" w14:textId="77777777" w:rsidR="00D40706" w:rsidRDefault="00D40706" w:rsidP="00D40706">
      <w:r>
        <w:t xml:space="preserve">(c) FUNCTIONS OF THE COMMISSION.—The functions of the Commission are: (1) to examine the current structure and operations of the Federal Home Loan Banks specifically with respect to — (A) the cost of the Banks’ operations including the cost of the government’s implicit guaranty of the Banks’ debt; (B) the public interest served by the Banks;  (C) the relevance of the Banks’ mission to current economic conditions; (D) the appropriateness of Bank membership requirements in light of changes in the financial services industry; (E) standards regarding collateral that is or may be eligible to be pledged at the Banks in return for advances; (F) the appropriateness of the Banks’ compensation structures in light of their status as government sponsored entities; (G) the costs and the benefits of consolidation of the Banks into one or more banks; and (H) the role if any that the Banks can play in remediating the effects of climate change; lending to small businesses and consumers; financing infrastructure and the supply chain of affordable and market rate housing; and, preserving naturally occurring affordable housing (NOAH); and, (2) to submit a report under subsection (h) building upon the work of other entities, and avoiding unnecessary duplication, by reviewing the record of the Federal Housing Finance Agency, the Committee on Banking, Housing, and Urban Affairs of the Senate, the Committee on Financial Services of the House of Representatives, other congressional committees, the Government Accountability Office, other legislative panels, and any other department, agency, bureau, board, commission, office, independent establishment, or </w:t>
      </w:r>
      <w:r>
        <w:lastRenderedPageBreak/>
        <w:t xml:space="preserve">instrumentality of the United States (to the fullest extent permitted by law) with respect to the current financial and economic crisis. </w:t>
      </w:r>
    </w:p>
    <w:p w14:paraId="2DE38FE2" w14:textId="77777777" w:rsidR="00D40706" w:rsidRDefault="00D40706" w:rsidP="00D40706">
      <w:r>
        <w:t xml:space="preserve">(d) POWERS OF THE COMMISSION. — (1) HEARINGS AND EVIDENCE. —The Commission may, for purposes of </w:t>
      </w:r>
      <w:proofErr w:type="gramStart"/>
      <w:r>
        <w:t>carrying out</w:t>
      </w:r>
      <w:proofErr w:type="gramEnd"/>
      <w:r>
        <w:t xml:space="preserve"> this section— (A) hold hearings, sit and act at times and places, take testimony, receive evidence, and administer oaths; and (B) require, by subpoena or otherwise, the attendance and testimony of witnesses and the production of books, records, correspondence, memoranda, papers, and documents. (2) SUBPOENAS. — (A) SERVICE. —Subpoenas issued under paragraph (1)(B) may </w:t>
      </w:r>
      <w:proofErr w:type="gramStart"/>
      <w:r>
        <w:t>be served</w:t>
      </w:r>
      <w:proofErr w:type="gramEnd"/>
      <w:r>
        <w:t xml:space="preserve"> by any person designated by the Commission. (B) ENFORCEMENT. — (i) IN GENERAL. —In the case of contumacy or failure to obey a subpoena issued under paragraph (1)(B), the United States district court for the judicial district in which the subpoenaed person resides, is served, or may be found, or where the subpoena is returnable, may issue an order requiring such person to appear at any designated place to testify or to produce documentary or other evidence. Any failure to obey the order of the court may </w:t>
      </w:r>
      <w:proofErr w:type="gramStart"/>
      <w:r>
        <w:t>be punished</w:t>
      </w:r>
      <w:proofErr w:type="gramEnd"/>
      <w:r>
        <w:t xml:space="preserve"> by the court as a contempt of that court. (ii) ADDITIONAL ENFORCEMENT. —Sections 102 through 104 of the Revised Statutes of the United States (2 U.S.C. 192 through 194) shall apply in the case of any failure of any witness to comply with any subpoena or to testify when summoned under the authority of this section. (iii) ISSUANCE. —A subpoena may be issued under this subsection only— (I) by the agreement of the Chairperson and the Vice Chairperson; or (II) by the affirmative vote of </w:t>
      </w:r>
      <w:proofErr w:type="gramStart"/>
      <w:r>
        <w:t>a majority of</w:t>
      </w:r>
      <w:proofErr w:type="gramEnd"/>
      <w:r>
        <w:t xml:space="preserve"> the Commission, including an affirmative vote of at least one member appointed under subparagraph (C) or (D) of subsection (b)(1), a majority being present. (3) CONTRACTING. —The Commission may </w:t>
      </w:r>
      <w:proofErr w:type="gramStart"/>
      <w:r>
        <w:t>enter into</w:t>
      </w:r>
      <w:proofErr w:type="gramEnd"/>
      <w:r>
        <w:t xml:space="preserve"> contracts to enable the Commission to discharge its duties under this section. (4) INFORMATION FROM FEDERAL AGENCIES AND OTHER ENTITIES. —  IN GENERAL. —The Commission may secure directly from any department, agency, bureau, board, commission, independent establishment, or instrumentality of the United States any information related to any inquiry of the Commission conducted under this section, including information of a confidential nature (which the Commission shall maintain in a secure manner). Each such department, agency, bureau, board, commission, office, independent establishment, or instrumentality shall furnish such information directly to the Commission upon request. (5) ADMINISTRATIVE SUPPORT SERVICES.—Upon the request of the Commission— (A) the Administrator of General Services shall provide to the Commission, on a reimbursable basis, the administrative support services necessary for the Commission to carry out its responsibilities under this Act; and (B) other Federal departments and agencies may provide to the Commission any administrative support services as may be determined by the head of such department or agency to be advisable and authorized by law. (6) DONATIONS OF GOODS AND SERVICES. —The Commission may accept, use, and dispose of gifts or donations of services or property. (7) POSTAL SERVICES. —The Commission may use the United States mails in the same manner and under the same conditions as departments and agencies of the United States. (8) POWERS OF SUBCOMMITTEES, MEMBERS, AND AGENTS. — Any subcommittee, member, or agent of the Commission may, if authorized by the Commission, take any action which the Commission is authorized to take by this section. </w:t>
      </w:r>
    </w:p>
    <w:p w14:paraId="0E13A1A7" w14:textId="77777777" w:rsidR="00D40706" w:rsidRDefault="00D40706" w:rsidP="00D40706">
      <w:r>
        <w:t xml:space="preserve">(e) STAFF OF THE COMMISSION. — (1) DIRECTOR. —The Commission shall have a Director who shall </w:t>
      </w:r>
      <w:proofErr w:type="gramStart"/>
      <w:r>
        <w:t>be appointed</w:t>
      </w:r>
      <w:proofErr w:type="gramEnd"/>
      <w:r>
        <w:t xml:space="preserve"> by the Chairperson and the Vice Chairperson, acting jointly. (2) </w:t>
      </w:r>
      <w:r>
        <w:lastRenderedPageBreak/>
        <w:t xml:space="preserve">STAFF. —The Chairperson and the Vice Chairperson may jointly appoint additional personnel, as may be necessary, to enable the Commission to </w:t>
      </w:r>
      <w:proofErr w:type="gramStart"/>
      <w:r>
        <w:t>carry out</w:t>
      </w:r>
      <w:proofErr w:type="gramEnd"/>
      <w:r>
        <w:t xml:space="preserve"> its functions. (3) APPLICABILITY OF CERTAIN CIVIL SERVICE LAWS.—The Director and staff of the Commission may be appointed without regard to the provisions of title 5, United States Code, governing appointments in the competitive service, and may be paid without regard to the provisions of chapter 51 and subchapter III of chapter 53 of such title relating to classification and General Schedule pay rates, except that no rate of pay fixed under this paragraph may exceed the equivalent of that payable for a position at level V of the Executive Schedule under section 5316 of title 5, United States Code. Any individual appointed under paragraph (1) or (2) shall be treated as an employee for purposes of chapters 63, 81, 83, 84, 85, 87, 89, 89A, 89B, and </w:t>
      </w:r>
      <w:proofErr w:type="gramStart"/>
      <w:r>
        <w:t>90</w:t>
      </w:r>
      <w:proofErr w:type="gramEnd"/>
      <w:r>
        <w:t xml:space="preserve"> of that title. (4) DETAILEES. —Any Federal Government employee may </w:t>
      </w:r>
      <w:proofErr w:type="gramStart"/>
      <w:r>
        <w:t>be detailed</w:t>
      </w:r>
      <w:proofErr w:type="gramEnd"/>
      <w:r>
        <w:t xml:space="preserve"> to the Commission without reimbursement from the Commission, and such </w:t>
      </w:r>
      <w:proofErr w:type="spellStart"/>
      <w:r>
        <w:t>detailee</w:t>
      </w:r>
      <w:proofErr w:type="spellEnd"/>
      <w:r>
        <w:t xml:space="preserve"> shall retain the rights, status, and privileges of his or her regular employment without interruption. (5) CONSULTANT SERVICES. —The Commission is authorized to procure the services of experts and consultants in accordance with section 3109 of title 5, United States Code, but at rates not to exceed the daily rate paid a person occupying a position at level IV of the Executive Schedule under section 5315 of title 5, United States Code. </w:t>
      </w:r>
    </w:p>
    <w:p w14:paraId="222D4143" w14:textId="77777777" w:rsidR="00D40706" w:rsidRDefault="00D40706" w:rsidP="00D40706">
      <w:r>
        <w:t xml:space="preserve">(f) COMPENSATION AND TRAVEL EXPENSES. — (1) COMPENSATION. —Each member of the Commission may be compensated at a rate not to exceed the daily equivalent of the annual rate of basic pay in effect for a position at level IV of the Executive Schedule under section 5315 of title 5, United States Code, for each day during which that member is engaged in the actual performance of the duties of the Commission. (2) TRAVEL EXPENSES. —While away from their homes or regular places of business in the performance of services for the Commission, members of the Commission shall </w:t>
      </w:r>
      <w:proofErr w:type="gramStart"/>
      <w:r>
        <w:t>be allowed</w:t>
      </w:r>
      <w:proofErr w:type="gramEnd"/>
      <w:r>
        <w:t xml:space="preserve"> travel expenses, including per diem in lieu of subsistence, in the same manner as persons employed intermittently in the Government service are allowed expenses under section 5703(b) of title 5, United States Code. </w:t>
      </w:r>
    </w:p>
    <w:p w14:paraId="3D2D66A8" w14:textId="77777777" w:rsidR="00D40706" w:rsidRDefault="00D40706" w:rsidP="00D40706">
      <w:r>
        <w:t xml:space="preserve">(g) NONAPPLICABILITY OF FEDERAL ADVISORY COMMITTEE ACT. — The Federal Advisory Committee Act (5 U.S.C. App.) shall not apply to the Commission. </w:t>
      </w:r>
    </w:p>
    <w:p w14:paraId="11C8012B" w14:textId="77777777" w:rsidR="00D40706" w:rsidRDefault="00D40706" w:rsidP="00D40706">
      <w:r>
        <w:t xml:space="preserve">(h) REPORT OF THE COMMISSION; APPEARANCE BEFORE AND CONSULTATIONS WITH CONGRESS. — (1) REPORT. —On ___________, 2023, the Commission shall submit to the President and to the Congress a report containing the findings, </w:t>
      </w:r>
      <w:proofErr w:type="gramStart"/>
      <w:r>
        <w:t>conclusions</w:t>
      </w:r>
      <w:proofErr w:type="gramEnd"/>
      <w:r>
        <w:t xml:space="preserve"> and recommendations of the Commission on the operations of the Federal Home Loan Banks. (2) INSTITUTION-SPECIFIC REPORTS </w:t>
      </w:r>
      <w:proofErr w:type="gramStart"/>
      <w:r>
        <w:t>AUTHORIZED.—</w:t>
      </w:r>
      <w:proofErr w:type="gramEnd"/>
      <w:r>
        <w:t xml:space="preserve">At the discretion of the chairperson of the Commission, the report under paragraph (1) may include reports or specific findings on any financial institution examined by the Commission under subsection (c)(2). APPEARANCE BEFORE THE CONGRESS. —The chairperson of the Commission shall, not later than 120 days after the date of submission of the final reports under paragraph (1), appear before the Committee on Banking, Housing, and Urban Affairs of the Senate and the Committee on Financial Services of the House of Representatives regarding such reports and the findings of the Commission. (4) CONSULTATIONS WITH THE CONGRESS. —The Commission shall consult with the Committee on Banking, Housing, and Urban Affairs of the Senate, the Committee on Financial Services of the House of Representatives, and other relevant committees </w:t>
      </w:r>
      <w:r>
        <w:lastRenderedPageBreak/>
        <w:t xml:space="preserve">of the Congress, for purposes of informing the Congress on the work of the Commission. (i) TERMINATION OF COMMISSION. — (1) IN GENERAL. —The Commission, and all the authorities of this section, shall terminate 60 days after the date on which the final report </w:t>
      </w:r>
      <w:proofErr w:type="gramStart"/>
      <w:r>
        <w:t>is submitted</w:t>
      </w:r>
      <w:proofErr w:type="gramEnd"/>
      <w:r>
        <w:t xml:space="preserve"> under subsection (h). (2) ADMINISTRATIVE ACTIVITIES BEFORE TERMINATION. —The Commission may use the 60-day period referred to in paragraph (1) for the purpose of concluding the activities of the Commission, including providing testimony to committees of the Congress concerning reports of the Commission and disseminating the final report submitted under subsection (h). (j) AUTHORIZATION OF APPROPRIATION. —There is authorized to </w:t>
      </w:r>
      <w:proofErr w:type="gramStart"/>
      <w:r>
        <w:t>be appropriated</w:t>
      </w:r>
      <w:proofErr w:type="gramEnd"/>
      <w:r>
        <w:t xml:space="preserve"> to the Secretary of the Treasury such sums as are necessary to cover the costs of the Commission. Approved __, 2022.</w:t>
      </w:r>
    </w:p>
    <w:p w14:paraId="39C05D6B" w14:textId="77777777" w:rsidR="003378E6" w:rsidRDefault="00705C1B"/>
    <w:sectPr w:rsidR="0033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92519"/>
    <w:multiLevelType w:val="hybridMultilevel"/>
    <w:tmpl w:val="F172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D7F82"/>
    <w:multiLevelType w:val="hybridMultilevel"/>
    <w:tmpl w:val="296C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803092">
    <w:abstractNumId w:val="1"/>
  </w:num>
  <w:num w:numId="2" w16cid:durableId="15008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4D"/>
    <w:rsid w:val="0000211B"/>
    <w:rsid w:val="00012C16"/>
    <w:rsid w:val="00032938"/>
    <w:rsid w:val="00037E42"/>
    <w:rsid w:val="00043F86"/>
    <w:rsid w:val="000469EC"/>
    <w:rsid w:val="0005069C"/>
    <w:rsid w:val="00071BA5"/>
    <w:rsid w:val="00073435"/>
    <w:rsid w:val="00075A14"/>
    <w:rsid w:val="00096039"/>
    <w:rsid w:val="000A0150"/>
    <w:rsid w:val="000A7A3E"/>
    <w:rsid w:val="000B3687"/>
    <w:rsid w:val="000C62FD"/>
    <w:rsid w:val="000D59FC"/>
    <w:rsid w:val="000E5764"/>
    <w:rsid w:val="000E6842"/>
    <w:rsid w:val="000E77A1"/>
    <w:rsid w:val="000F059E"/>
    <w:rsid w:val="000F5681"/>
    <w:rsid w:val="00120FCF"/>
    <w:rsid w:val="00123BBF"/>
    <w:rsid w:val="00127152"/>
    <w:rsid w:val="00127B67"/>
    <w:rsid w:val="00133166"/>
    <w:rsid w:val="00135380"/>
    <w:rsid w:val="00142D1B"/>
    <w:rsid w:val="00153998"/>
    <w:rsid w:val="00153A8F"/>
    <w:rsid w:val="001571D3"/>
    <w:rsid w:val="0016529A"/>
    <w:rsid w:val="001675F4"/>
    <w:rsid w:val="00172898"/>
    <w:rsid w:val="001A4B65"/>
    <w:rsid w:val="001A5E4C"/>
    <w:rsid w:val="001B1826"/>
    <w:rsid w:val="001B48A5"/>
    <w:rsid w:val="001B696D"/>
    <w:rsid w:val="001E3CBA"/>
    <w:rsid w:val="001F0E47"/>
    <w:rsid w:val="001F2F24"/>
    <w:rsid w:val="001F341C"/>
    <w:rsid w:val="001F64B5"/>
    <w:rsid w:val="002000AB"/>
    <w:rsid w:val="00202004"/>
    <w:rsid w:val="00202F29"/>
    <w:rsid w:val="00210920"/>
    <w:rsid w:val="00220849"/>
    <w:rsid w:val="00224F75"/>
    <w:rsid w:val="00230088"/>
    <w:rsid w:val="00242B51"/>
    <w:rsid w:val="00244C6A"/>
    <w:rsid w:val="002517A3"/>
    <w:rsid w:val="00260B03"/>
    <w:rsid w:val="002700EA"/>
    <w:rsid w:val="002A3188"/>
    <w:rsid w:val="002A45F1"/>
    <w:rsid w:val="002B0D19"/>
    <w:rsid w:val="002D5DA9"/>
    <w:rsid w:val="002D6233"/>
    <w:rsid w:val="002F3772"/>
    <w:rsid w:val="002F51B1"/>
    <w:rsid w:val="00305AC7"/>
    <w:rsid w:val="00313E27"/>
    <w:rsid w:val="003144DA"/>
    <w:rsid w:val="003225DF"/>
    <w:rsid w:val="00323CA2"/>
    <w:rsid w:val="00336B49"/>
    <w:rsid w:val="00344A24"/>
    <w:rsid w:val="00356C77"/>
    <w:rsid w:val="003742E3"/>
    <w:rsid w:val="003759B8"/>
    <w:rsid w:val="00377338"/>
    <w:rsid w:val="00381C40"/>
    <w:rsid w:val="00385EAC"/>
    <w:rsid w:val="00385F03"/>
    <w:rsid w:val="00386A07"/>
    <w:rsid w:val="003906E9"/>
    <w:rsid w:val="00390700"/>
    <w:rsid w:val="00394C72"/>
    <w:rsid w:val="00396AE1"/>
    <w:rsid w:val="003D6C97"/>
    <w:rsid w:val="003E3D5F"/>
    <w:rsid w:val="003E5197"/>
    <w:rsid w:val="003F35C6"/>
    <w:rsid w:val="004062C8"/>
    <w:rsid w:val="0041438D"/>
    <w:rsid w:val="00462803"/>
    <w:rsid w:val="00463B21"/>
    <w:rsid w:val="004665EF"/>
    <w:rsid w:val="00472314"/>
    <w:rsid w:val="004A38AB"/>
    <w:rsid w:val="004F2DBE"/>
    <w:rsid w:val="005221CA"/>
    <w:rsid w:val="00522CDC"/>
    <w:rsid w:val="005345DA"/>
    <w:rsid w:val="005465E4"/>
    <w:rsid w:val="005662F1"/>
    <w:rsid w:val="00566AFE"/>
    <w:rsid w:val="00577726"/>
    <w:rsid w:val="00580870"/>
    <w:rsid w:val="005856CB"/>
    <w:rsid w:val="005862A1"/>
    <w:rsid w:val="005961DB"/>
    <w:rsid w:val="005B7B4D"/>
    <w:rsid w:val="005C5289"/>
    <w:rsid w:val="005E420C"/>
    <w:rsid w:val="005E5BB5"/>
    <w:rsid w:val="00623106"/>
    <w:rsid w:val="00651C2E"/>
    <w:rsid w:val="00662A0F"/>
    <w:rsid w:val="0066566E"/>
    <w:rsid w:val="00682BA9"/>
    <w:rsid w:val="00692E80"/>
    <w:rsid w:val="00697FC3"/>
    <w:rsid w:val="006A4690"/>
    <w:rsid w:val="006B10A2"/>
    <w:rsid w:val="006B25F7"/>
    <w:rsid w:val="006B3FC8"/>
    <w:rsid w:val="006C4653"/>
    <w:rsid w:val="006C4EA4"/>
    <w:rsid w:val="006C5752"/>
    <w:rsid w:val="006C5E5E"/>
    <w:rsid w:val="006E6D99"/>
    <w:rsid w:val="00705C1B"/>
    <w:rsid w:val="00723A3D"/>
    <w:rsid w:val="00727803"/>
    <w:rsid w:val="00731360"/>
    <w:rsid w:val="00737E2E"/>
    <w:rsid w:val="00742E75"/>
    <w:rsid w:val="00751BCE"/>
    <w:rsid w:val="0077037E"/>
    <w:rsid w:val="00777663"/>
    <w:rsid w:val="00796D99"/>
    <w:rsid w:val="007C158F"/>
    <w:rsid w:val="007C3F70"/>
    <w:rsid w:val="007C4A8E"/>
    <w:rsid w:val="007C629B"/>
    <w:rsid w:val="007D3B4F"/>
    <w:rsid w:val="007E3937"/>
    <w:rsid w:val="007E62A2"/>
    <w:rsid w:val="007F1EBB"/>
    <w:rsid w:val="008018BF"/>
    <w:rsid w:val="00801AA9"/>
    <w:rsid w:val="0080643B"/>
    <w:rsid w:val="00812F8B"/>
    <w:rsid w:val="0087709F"/>
    <w:rsid w:val="00885954"/>
    <w:rsid w:val="00885F2A"/>
    <w:rsid w:val="008930A5"/>
    <w:rsid w:val="00893532"/>
    <w:rsid w:val="008A2515"/>
    <w:rsid w:val="008C131B"/>
    <w:rsid w:val="008C6A61"/>
    <w:rsid w:val="008E3268"/>
    <w:rsid w:val="008E674E"/>
    <w:rsid w:val="008F779B"/>
    <w:rsid w:val="00903E2A"/>
    <w:rsid w:val="0090631B"/>
    <w:rsid w:val="00912458"/>
    <w:rsid w:val="0091665B"/>
    <w:rsid w:val="00943DD0"/>
    <w:rsid w:val="0094480D"/>
    <w:rsid w:val="00954166"/>
    <w:rsid w:val="009620D0"/>
    <w:rsid w:val="00965247"/>
    <w:rsid w:val="00967C16"/>
    <w:rsid w:val="00977FD3"/>
    <w:rsid w:val="00983205"/>
    <w:rsid w:val="00994CF0"/>
    <w:rsid w:val="009A1E33"/>
    <w:rsid w:val="009A45CC"/>
    <w:rsid w:val="009B5034"/>
    <w:rsid w:val="009B7377"/>
    <w:rsid w:val="009C4775"/>
    <w:rsid w:val="009D0A27"/>
    <w:rsid w:val="009D5830"/>
    <w:rsid w:val="009F0946"/>
    <w:rsid w:val="009F0B98"/>
    <w:rsid w:val="009F4255"/>
    <w:rsid w:val="00A066EB"/>
    <w:rsid w:val="00A21F17"/>
    <w:rsid w:val="00A30C36"/>
    <w:rsid w:val="00A3122E"/>
    <w:rsid w:val="00A34F53"/>
    <w:rsid w:val="00A517CB"/>
    <w:rsid w:val="00A524F0"/>
    <w:rsid w:val="00A53A12"/>
    <w:rsid w:val="00A71A4C"/>
    <w:rsid w:val="00A74C99"/>
    <w:rsid w:val="00A84A2C"/>
    <w:rsid w:val="00A9746A"/>
    <w:rsid w:val="00AA7F75"/>
    <w:rsid w:val="00AB1EAC"/>
    <w:rsid w:val="00AC3BF2"/>
    <w:rsid w:val="00AD3B2A"/>
    <w:rsid w:val="00AD51F4"/>
    <w:rsid w:val="00AE37B6"/>
    <w:rsid w:val="00B11616"/>
    <w:rsid w:val="00B20077"/>
    <w:rsid w:val="00B26DF7"/>
    <w:rsid w:val="00B276AA"/>
    <w:rsid w:val="00B61435"/>
    <w:rsid w:val="00B73966"/>
    <w:rsid w:val="00B95B49"/>
    <w:rsid w:val="00BC70BE"/>
    <w:rsid w:val="00BD59D2"/>
    <w:rsid w:val="00BD5AC6"/>
    <w:rsid w:val="00BD6689"/>
    <w:rsid w:val="00BE6415"/>
    <w:rsid w:val="00BF0B6A"/>
    <w:rsid w:val="00BF4C49"/>
    <w:rsid w:val="00C270C1"/>
    <w:rsid w:val="00C34D73"/>
    <w:rsid w:val="00C41036"/>
    <w:rsid w:val="00C451EA"/>
    <w:rsid w:val="00C560EA"/>
    <w:rsid w:val="00C570C1"/>
    <w:rsid w:val="00C62407"/>
    <w:rsid w:val="00C6258F"/>
    <w:rsid w:val="00C96A5E"/>
    <w:rsid w:val="00C971C8"/>
    <w:rsid w:val="00CA1F00"/>
    <w:rsid w:val="00CA71EE"/>
    <w:rsid w:val="00CB4D0A"/>
    <w:rsid w:val="00CC23BF"/>
    <w:rsid w:val="00CC619B"/>
    <w:rsid w:val="00CF4313"/>
    <w:rsid w:val="00CF7CF2"/>
    <w:rsid w:val="00D1234C"/>
    <w:rsid w:val="00D243D1"/>
    <w:rsid w:val="00D268C9"/>
    <w:rsid w:val="00D40706"/>
    <w:rsid w:val="00D45FA9"/>
    <w:rsid w:val="00D47E8F"/>
    <w:rsid w:val="00D545DF"/>
    <w:rsid w:val="00D54EAF"/>
    <w:rsid w:val="00D55CAF"/>
    <w:rsid w:val="00D55D40"/>
    <w:rsid w:val="00D85D6D"/>
    <w:rsid w:val="00D91962"/>
    <w:rsid w:val="00D939A2"/>
    <w:rsid w:val="00DA5BD2"/>
    <w:rsid w:val="00DB2CA4"/>
    <w:rsid w:val="00DC3CBD"/>
    <w:rsid w:val="00DC4341"/>
    <w:rsid w:val="00DC5C8D"/>
    <w:rsid w:val="00DC7576"/>
    <w:rsid w:val="00DD04C9"/>
    <w:rsid w:val="00DD2074"/>
    <w:rsid w:val="00DE29DB"/>
    <w:rsid w:val="00E01D58"/>
    <w:rsid w:val="00E05463"/>
    <w:rsid w:val="00E0736A"/>
    <w:rsid w:val="00E20CBE"/>
    <w:rsid w:val="00E26806"/>
    <w:rsid w:val="00E32F90"/>
    <w:rsid w:val="00E51425"/>
    <w:rsid w:val="00E5494B"/>
    <w:rsid w:val="00E80317"/>
    <w:rsid w:val="00E84EBE"/>
    <w:rsid w:val="00E93F7A"/>
    <w:rsid w:val="00EA39EB"/>
    <w:rsid w:val="00EA63C2"/>
    <w:rsid w:val="00EB0B87"/>
    <w:rsid w:val="00EB6FC9"/>
    <w:rsid w:val="00EC6330"/>
    <w:rsid w:val="00F147BC"/>
    <w:rsid w:val="00F15337"/>
    <w:rsid w:val="00F266F9"/>
    <w:rsid w:val="00F34470"/>
    <w:rsid w:val="00F43874"/>
    <w:rsid w:val="00F546ED"/>
    <w:rsid w:val="00F561E4"/>
    <w:rsid w:val="00F57328"/>
    <w:rsid w:val="00F601BF"/>
    <w:rsid w:val="00F67C0B"/>
    <w:rsid w:val="00F84BCF"/>
    <w:rsid w:val="00F954F8"/>
    <w:rsid w:val="00FA054A"/>
    <w:rsid w:val="00FB164E"/>
    <w:rsid w:val="00FB64E6"/>
    <w:rsid w:val="00FD624B"/>
    <w:rsid w:val="00FF2A0E"/>
    <w:rsid w:val="00FF2FDB"/>
    <w:rsid w:val="00F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2D79"/>
  <w15:chartTrackingRefBased/>
  <w15:docId w15:val="{DBC5BF6D-16DB-4D6E-BBE5-B878ECD2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E77A1"/>
    <w:pPr>
      <w:framePr w:w="7920" w:h="1980" w:hRule="exact" w:hSpace="180" w:wrap="auto" w:hAnchor="page" w:xAlign="center" w:yAlign="bottom"/>
      <w:spacing w:after="0" w:line="240" w:lineRule="auto"/>
      <w:ind w:left="2880"/>
    </w:pPr>
    <w:rPr>
      <w:rFonts w:ascii="Arial" w:eastAsiaTheme="majorEastAsia" w:hAnsi="Arial" w:cstheme="majorBidi"/>
      <w:b/>
      <w:szCs w:val="24"/>
    </w:rPr>
  </w:style>
  <w:style w:type="character" w:styleId="Hyperlink">
    <w:name w:val="Hyperlink"/>
    <w:basedOn w:val="DefaultParagraphFont"/>
    <w:uiPriority w:val="99"/>
    <w:unhideWhenUsed/>
    <w:rsid w:val="005B7B4D"/>
    <w:rPr>
      <w:color w:val="0563C1" w:themeColor="hyperlink"/>
      <w:u w:val="single"/>
    </w:rPr>
  </w:style>
  <w:style w:type="character" w:styleId="UnresolvedMention">
    <w:name w:val="Unresolved Mention"/>
    <w:basedOn w:val="DefaultParagraphFont"/>
    <w:uiPriority w:val="99"/>
    <w:semiHidden/>
    <w:unhideWhenUsed/>
    <w:rsid w:val="00D85D6D"/>
    <w:rPr>
      <w:color w:val="605E5C"/>
      <w:shd w:val="clear" w:color="auto" w:fill="E1DFDD"/>
    </w:rPr>
  </w:style>
  <w:style w:type="paragraph" w:customStyle="1" w:styleId="Default">
    <w:name w:val="Default"/>
    <w:rsid w:val="00D268C9"/>
    <w:pPr>
      <w:autoSpaceDE w:val="0"/>
      <w:autoSpaceDN w:val="0"/>
      <w:adjustRightInd w:val="0"/>
      <w:spacing w:after="0" w:line="240" w:lineRule="auto"/>
    </w:pPr>
    <w:rPr>
      <w:rFonts w:ascii="Lato" w:hAnsi="Lato" w:cs="Lat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4620">
      <w:bodyDiv w:val="1"/>
      <w:marLeft w:val="0"/>
      <w:marRight w:val="0"/>
      <w:marTop w:val="0"/>
      <w:marBottom w:val="0"/>
      <w:divBdr>
        <w:top w:val="none" w:sz="0" w:space="0" w:color="auto"/>
        <w:left w:val="none" w:sz="0" w:space="0" w:color="auto"/>
        <w:bottom w:val="none" w:sz="0" w:space="0" w:color="auto"/>
        <w:right w:val="none" w:sz="0" w:space="0" w:color="auto"/>
      </w:divBdr>
    </w:div>
    <w:div w:id="1027634645">
      <w:bodyDiv w:val="1"/>
      <w:marLeft w:val="0"/>
      <w:marRight w:val="0"/>
      <w:marTop w:val="0"/>
      <w:marBottom w:val="0"/>
      <w:divBdr>
        <w:top w:val="none" w:sz="0" w:space="0" w:color="auto"/>
        <w:left w:val="none" w:sz="0" w:space="0" w:color="auto"/>
        <w:bottom w:val="none" w:sz="0" w:space="0" w:color="auto"/>
        <w:right w:val="none" w:sz="0" w:space="0" w:color="auto"/>
      </w:divBdr>
    </w:div>
    <w:div w:id="14944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business/finance/bankers-us-midsize-lenders-battle-keep-deposits-after-exodus-2023-03-28/?mkt_tok=ODUwLVRBQS01MTEAAAGKzEAxXKkdGVs2CV-Hpl3LtZvm6OLCJP_iVI35OmW1_NIUBzsLuY5JCWY60carVz7TOztRzLr5Ut8pGWlPTp9wdyKyFDcxBx-ls_6BKMSkYnAI"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ehill.com/opinion/finance/3786767-its-not-a-wonderful-bureaucr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banker.com/news/critics-allege-federal-home-loan-bank-system-amounts-to-corporate-welfare" TargetMode="External"/><Relationship Id="rId11" Type="http://schemas.openxmlformats.org/officeDocument/2006/relationships/theme" Target="theme/theme1.xml"/><Relationship Id="rId5" Type="http://schemas.openxmlformats.org/officeDocument/2006/relationships/hyperlink" Target="mailto:ckhurley@b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0E7D6-ED2F-4D45-8866-2723811FED8E}"/>
</file>

<file path=customXml/itemProps2.xml><?xml version="1.0" encoding="utf-8"?>
<ds:datastoreItem xmlns:ds="http://schemas.openxmlformats.org/officeDocument/2006/customXml" ds:itemID="{6CEF7E22-595E-49B2-B0AF-5ABC91388D30}"/>
</file>

<file path=customXml/itemProps3.xml><?xml version="1.0" encoding="utf-8"?>
<ds:datastoreItem xmlns:ds="http://schemas.openxmlformats.org/officeDocument/2006/customXml" ds:itemID="{EDCC960D-7077-4F48-A9DE-E1B11E1F65E3}"/>
</file>

<file path=docProps/app.xml><?xml version="1.0" encoding="utf-8"?>
<Properties xmlns="http://schemas.openxmlformats.org/officeDocument/2006/extended-properties" xmlns:vt="http://schemas.openxmlformats.org/officeDocument/2006/docPropsVTypes">
  <Template>Normal</Template>
  <TotalTime>510</TotalTime>
  <Pages>13</Pages>
  <Words>4261</Words>
  <Characters>24289</Characters>
  <Application>Microsoft Office Word</Application>
  <DocSecurity>0</DocSecurity>
  <Lines>202</Lines>
  <Paragraphs>56</Paragraphs>
  <ScaleCrop>false</ScaleCrop>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Cornelius K</dc:creator>
  <cp:keywords/>
  <dc:description/>
  <cp:lastModifiedBy>Hurley, Cornelius K</cp:lastModifiedBy>
  <cp:revision>281</cp:revision>
  <dcterms:created xsi:type="dcterms:W3CDTF">2023-03-29T01:48:00Z</dcterms:created>
  <dcterms:modified xsi:type="dcterms:W3CDTF">2023-03-31T15:35:00Z</dcterms:modified>
</cp:coreProperties>
</file>