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B7" w:rsidRDefault="00B763B7" w:rsidP="00B763B7">
      <w:pPr>
        <w:pStyle w:val="Default"/>
      </w:pPr>
    </w:p>
    <w:p w:rsidR="00B763B7" w:rsidRDefault="00DF7A69" w:rsidP="00B763B7">
      <w:pPr>
        <w:rPr>
          <w:sz w:val="22"/>
          <w:szCs w:val="22"/>
        </w:rPr>
      </w:pPr>
      <w:r>
        <w:rPr>
          <w:sz w:val="22"/>
          <w:szCs w:val="22"/>
        </w:rPr>
        <w:t>March 30</w:t>
      </w:r>
      <w:r w:rsidR="00B763B7">
        <w:rPr>
          <w:sz w:val="22"/>
          <w:szCs w:val="22"/>
        </w:rPr>
        <w:t>, 2023</w:t>
      </w:r>
    </w:p>
    <w:p w:rsidR="00B763B7" w:rsidRDefault="00B763B7" w:rsidP="00B763B7">
      <w:pPr>
        <w:rPr>
          <w:sz w:val="22"/>
          <w:szCs w:val="22"/>
        </w:rPr>
      </w:pPr>
    </w:p>
    <w:p w:rsidR="00B763B7" w:rsidRPr="00B763B7" w:rsidRDefault="00B763B7" w:rsidP="00B763B7">
      <w:pPr>
        <w:rPr>
          <w:sz w:val="22"/>
          <w:szCs w:val="22"/>
        </w:rPr>
      </w:pPr>
      <w:r w:rsidRPr="00B763B7">
        <w:rPr>
          <w:sz w:val="22"/>
          <w:szCs w:val="22"/>
        </w:rPr>
        <w:t xml:space="preserve">The Honorable Sandra Thompson </w:t>
      </w:r>
    </w:p>
    <w:p w:rsidR="00B763B7" w:rsidRPr="00B763B7" w:rsidRDefault="00B763B7" w:rsidP="00B763B7">
      <w:pPr>
        <w:rPr>
          <w:sz w:val="22"/>
          <w:szCs w:val="22"/>
        </w:rPr>
      </w:pPr>
      <w:r w:rsidRPr="00B763B7">
        <w:rPr>
          <w:sz w:val="22"/>
          <w:szCs w:val="22"/>
        </w:rPr>
        <w:t xml:space="preserve">Director Federal Housing Finance Agency </w:t>
      </w:r>
    </w:p>
    <w:p w:rsidR="00B763B7" w:rsidRDefault="00B763B7" w:rsidP="00B763B7">
      <w:pPr>
        <w:rPr>
          <w:sz w:val="22"/>
          <w:szCs w:val="22"/>
        </w:rPr>
      </w:pPr>
      <w:r w:rsidRPr="00B763B7">
        <w:rPr>
          <w:sz w:val="22"/>
          <w:szCs w:val="22"/>
        </w:rPr>
        <w:t xml:space="preserve">Constitution Center 400 7th Street, SW </w:t>
      </w:r>
    </w:p>
    <w:p w:rsidR="00114270" w:rsidRPr="00B763B7" w:rsidRDefault="00B763B7" w:rsidP="00B763B7">
      <w:r w:rsidRPr="00B763B7">
        <w:rPr>
          <w:sz w:val="22"/>
          <w:szCs w:val="22"/>
        </w:rPr>
        <w:t xml:space="preserve">Washington, D.C. 20219 </w:t>
      </w:r>
    </w:p>
    <w:p w:rsidR="00114270" w:rsidRDefault="00114270" w:rsidP="00114270"/>
    <w:p w:rsidR="00B763B7" w:rsidRDefault="00B763B7" w:rsidP="00B763B7">
      <w:pPr>
        <w:pStyle w:val="Default"/>
        <w:rPr>
          <w:sz w:val="22"/>
          <w:szCs w:val="22"/>
        </w:rPr>
      </w:pPr>
      <w:r>
        <w:rPr>
          <w:i/>
          <w:iCs/>
          <w:sz w:val="22"/>
          <w:szCs w:val="22"/>
        </w:rPr>
        <w:t xml:space="preserve">Delivered Electronically </w:t>
      </w:r>
    </w:p>
    <w:p w:rsidR="00114270" w:rsidRDefault="00114270" w:rsidP="00114270"/>
    <w:p w:rsidR="00505F26" w:rsidRDefault="00505F26" w:rsidP="00505F26">
      <w:pPr>
        <w:jc w:val="center"/>
      </w:pPr>
    </w:p>
    <w:p w:rsidR="00CC2347" w:rsidRDefault="00114270">
      <w:r>
        <w:t xml:space="preserve">The </w:t>
      </w:r>
      <w:r w:rsidR="007006D6">
        <w:t xml:space="preserve">Federal Housing Finance Agency’s </w:t>
      </w:r>
      <w:r w:rsidR="006D43A6">
        <w:t>“System at 100” review</w:t>
      </w:r>
      <w:r w:rsidR="00505F26">
        <w:t xml:space="preserve"> of the Federal Home Loan Bank (FHLB) System </w:t>
      </w:r>
      <w:r w:rsidR="00B763B7">
        <w:t>has</w:t>
      </w:r>
      <w:r>
        <w:t xml:space="preserve"> raise</w:t>
      </w:r>
      <w:r w:rsidR="0006385D">
        <w:t>d a fundamental</w:t>
      </w:r>
      <w:r>
        <w:t xml:space="preserve"> question: </w:t>
      </w:r>
      <w:r w:rsidR="006D43A6">
        <w:t xml:space="preserve">Is the Home Loan </w:t>
      </w:r>
      <w:r w:rsidR="00505F26">
        <w:t>banks’ mission</w:t>
      </w:r>
      <w:r w:rsidR="006D43A6">
        <w:t xml:space="preserve"> </w:t>
      </w:r>
      <w:r>
        <w:t xml:space="preserve">to boost liquidity or housing? </w:t>
      </w:r>
      <w:r w:rsidR="0006385D">
        <w:t>The</w:t>
      </w:r>
      <w:r w:rsidR="006D43A6">
        <w:t xml:space="preserve"> answer is “both.” </w:t>
      </w:r>
      <w:r w:rsidR="00B763B7">
        <w:t xml:space="preserve">My views are formed </w:t>
      </w:r>
      <w:r w:rsidR="00CC2347">
        <w:t>by</w:t>
      </w:r>
      <w:r w:rsidR="00B763B7">
        <w:t xml:space="preserve"> more than 40 years of financial</w:t>
      </w:r>
      <w:r w:rsidR="00CC2347">
        <w:t xml:space="preserve"> services industry exper</w:t>
      </w:r>
      <w:r w:rsidR="0006385D">
        <w:t>ience in academia, the Federal Reserve System</w:t>
      </w:r>
      <w:r w:rsidR="00CC2347">
        <w:t xml:space="preserve">, private banking and, most recently, as an Independent Director and Risk Committee Chair of the FHLBank Cincinnati. </w:t>
      </w:r>
    </w:p>
    <w:p w:rsidR="00CC2347" w:rsidRDefault="00CC2347"/>
    <w:p w:rsidR="00505F26" w:rsidRDefault="006D43A6">
      <w:r>
        <w:t>The System was created back in the 1930’s to support the housing sector at a time when its major members</w:t>
      </w:r>
      <w:r w:rsidR="00B849C8">
        <w:t>, thrift institutions,</w:t>
      </w:r>
      <w:r>
        <w:t xml:space="preserve"> were largely involved only in making mortgage loans. Borrowing funds from the newly established FHLB’s obviously involved “raising liquidity” to fund mortgages.  </w:t>
      </w:r>
    </w:p>
    <w:p w:rsidR="00505F26" w:rsidRDefault="00505F26"/>
    <w:p w:rsidR="00505F26" w:rsidRDefault="006D43A6">
      <w:r>
        <w:t xml:space="preserve">In those days, there was no such thing as “asset-liability management” and no financial institutions were required (or chose) to write down a “liquidity management policy.”  By the time commercial banks </w:t>
      </w:r>
      <w:r w:rsidR="00B210A8">
        <w:t xml:space="preserve">and credit unions </w:t>
      </w:r>
      <w:r>
        <w:t xml:space="preserve">were permitted to join the </w:t>
      </w:r>
      <w:r w:rsidR="00505F26">
        <w:t xml:space="preserve">System in 1989, the management and </w:t>
      </w:r>
      <w:r w:rsidR="00B210A8">
        <w:t>Boards of Directors</w:t>
      </w:r>
      <w:r w:rsidR="00505F26">
        <w:t xml:space="preserve"> of depository institutions</w:t>
      </w:r>
      <w:r w:rsidR="00B210A8">
        <w:t xml:space="preserve">, with the encouragement of their respective regulatory agencies, all had a strong focus on asset-liability and liquidity management, </w:t>
      </w:r>
      <w:r w:rsidR="00505F26">
        <w:t>guided by written, board-</w:t>
      </w:r>
      <w:r w:rsidR="00B210A8">
        <w:t xml:space="preserve">approved policies. </w:t>
      </w:r>
      <w:r w:rsidR="0006385D">
        <w:t xml:space="preserve"> These concepts and methods had to be developed and gradually enhanced over a period of time, all in the service of improving risk management.</w:t>
      </w:r>
    </w:p>
    <w:p w:rsidR="00505F26" w:rsidRDefault="00505F26"/>
    <w:p w:rsidR="00505F26" w:rsidRDefault="00B210A8">
      <w:r>
        <w:t xml:space="preserve">Today, all depository institutions are required by their respective regulators to identify “contingent sources of liquidity” in their </w:t>
      </w:r>
      <w:r w:rsidR="00FB3AFC">
        <w:t>poli</w:t>
      </w:r>
      <w:r w:rsidR="00B849C8">
        <w:t xml:space="preserve">cies.  These funds are expected to </w:t>
      </w:r>
      <w:r>
        <w:t xml:space="preserve">be available to address any shortfalls caused by what economists call “liquidity shocks.” </w:t>
      </w:r>
      <w:r w:rsidR="00FB3AFC">
        <w:t>The sources of liquidity shocks are unanticipated declines in deposits or unexpected increases in loan demand. One method to address these liquidity shortfalls is to borrow the needed funds in the capital markets. But over 9 out of every 10 depository institutions lack</w:t>
      </w:r>
      <w:r w:rsidR="00505F26">
        <w:t>s</w:t>
      </w:r>
      <w:r w:rsidR="00FB3AFC">
        <w:t xml:space="preserve"> access to the capital markets as a result of a so-called “market imperfection.” Because of large fixed costs associated with issuing securities, intermediaries in the capital markets will only underwrite securities </w:t>
      </w:r>
      <w:r w:rsidR="00B849C8">
        <w:t>in large</w:t>
      </w:r>
      <w:r w:rsidR="00FB3AFC">
        <w:t xml:space="preserve"> amounts. </w:t>
      </w:r>
      <w:r w:rsidR="00505F26">
        <w:t xml:space="preserve">The classic assumption in economic analysis of free, unfettered access to markets </w:t>
      </w:r>
      <w:r w:rsidR="00B849C8">
        <w:t xml:space="preserve">consequently </w:t>
      </w:r>
      <w:r w:rsidR="00505F26">
        <w:t xml:space="preserve">does not hold for small financial institutions facing the capital markets. </w:t>
      </w:r>
      <w:r w:rsidR="00FB3AFC">
        <w:t xml:space="preserve">But </w:t>
      </w:r>
      <w:r w:rsidR="00505F26">
        <w:t xml:space="preserve">through its “Office of Finance,” </w:t>
      </w:r>
      <w:r w:rsidR="00FB3AFC">
        <w:t>the FHLB’s can borrow in the capital markets in large sums</w:t>
      </w:r>
      <w:r w:rsidR="00B849C8">
        <w:t>.</w:t>
      </w:r>
      <w:r w:rsidR="00505F26">
        <w:t xml:space="preserve"> Having accessed the market</w:t>
      </w:r>
      <w:r w:rsidR="00C57F65">
        <w:t>, the FHLB’s</w:t>
      </w:r>
      <w:r w:rsidR="002B2551">
        <w:t>, in turn,</w:t>
      </w:r>
      <w:r w:rsidR="00FB3AFC">
        <w:t xml:space="preserve"> </w:t>
      </w:r>
      <w:r w:rsidR="00C57F65">
        <w:t xml:space="preserve">can </w:t>
      </w:r>
      <w:r w:rsidR="00FB3AFC">
        <w:lastRenderedPageBreak/>
        <w:t xml:space="preserve">lend these funds to member institutions in smaller amounts. </w:t>
      </w:r>
      <w:r w:rsidR="002B2551">
        <w:t xml:space="preserve"> By acting as a classic financial intermediary, the FHLB’s solve the market imperfection problem.  Not surprisingly, almost all community-oriented institutions identify FHLB borrowings (“advances’) as a primary source of contingent liquidity in their policies. </w:t>
      </w:r>
      <w:r w:rsidR="00C57F65">
        <w:t xml:space="preserve">When the FHLB System was created over 90 years ago, the concept of “capital market imperfections” was as foreign to financial institution managers as asset-liability and liquidity management were.  </w:t>
      </w:r>
    </w:p>
    <w:p w:rsidR="00505F26" w:rsidRDefault="00505F26"/>
    <w:p w:rsidR="00505F26" w:rsidRDefault="002B2551">
      <w:r>
        <w:t xml:space="preserve">Since a small number of </w:t>
      </w:r>
      <w:r w:rsidR="00C57F65">
        <w:t xml:space="preserve">very </w:t>
      </w:r>
      <w:r>
        <w:t xml:space="preserve">large financial institutions can access the capital markets, it might be argued they should not be permitted to be members of the FHLB System. But these institutions </w:t>
      </w:r>
      <w:r w:rsidR="00C57F65">
        <w:t xml:space="preserve">were not excluded in the enabling legislation. Today, they </w:t>
      </w:r>
      <w:r>
        <w:t xml:space="preserve">are large users of FHLB funding and hence underwrite a substantial portion of the infrastructure costs of operating the </w:t>
      </w:r>
      <w:r w:rsidR="00814916">
        <w:t>System. Excluding the</w:t>
      </w:r>
      <w:r w:rsidR="00C57F65">
        <w:t>se</w:t>
      </w:r>
      <w:r w:rsidR="00814916">
        <w:t xml:space="preserve"> large institutions would consequently force consolidation in the System and substantially shrink both its assets and its earnings. The drop in earnings would yield a concomitant decline in the System’s contribution to affordable housing. </w:t>
      </w:r>
    </w:p>
    <w:p w:rsidR="00505F26" w:rsidRDefault="00505F26"/>
    <w:p w:rsidR="00C57F65" w:rsidRDefault="00814916">
      <w:r>
        <w:t>Some have suggested that the FHFA should seek to require the FHLB’s to lend only to support housing-related lending. But tying FHLB advances to explicit funding of home finance will increase prospective liquidity risk in the banking system by short-circuiting access to advances for addressing liquidity shortfalls on th</w:t>
      </w:r>
      <w:r w:rsidR="00505F26">
        <w:t>e</w:t>
      </w:r>
      <w:r>
        <w:t xml:space="preserve"> liability</w:t>
      </w:r>
      <w:r w:rsidR="00505F26">
        <w:t xml:space="preserve"> side of the balance sheet. Lenders would then be forced to decline requests for loans, including housing-related loans. </w:t>
      </w:r>
      <w:r w:rsidR="0006385D">
        <w:t xml:space="preserve"> </w:t>
      </w:r>
    </w:p>
    <w:p w:rsidR="00C57F65" w:rsidRDefault="00C57F65"/>
    <w:p w:rsidR="00C57F65" w:rsidRDefault="00505F26">
      <w:r>
        <w:t>It would seem to be counterproductive for the FHFA to implement regulations or support legislation that could reduce funds available for affordable ho</w:t>
      </w:r>
      <w:r w:rsidR="00C57F65">
        <w:t xml:space="preserve">using and increase </w:t>
      </w:r>
      <w:r>
        <w:t>potential liquidity risk in the financial</w:t>
      </w:r>
      <w:r w:rsidR="00C57F65">
        <w:t xml:space="preserve"> system.  S</w:t>
      </w:r>
      <w:r>
        <w:t>ignific</w:t>
      </w:r>
      <w:r w:rsidR="00C57F65">
        <w:t xml:space="preserve">ant evolution and innovation are hallmarks of </w:t>
      </w:r>
      <w:r>
        <w:t>the financial system since the 1930’s</w:t>
      </w:r>
      <w:r w:rsidR="0006385D">
        <w:t>, and</w:t>
      </w:r>
      <w:r>
        <w:t xml:space="preserve"> we should not be surprised to see </w:t>
      </w:r>
      <w:r w:rsidR="00C57F65">
        <w:t xml:space="preserve">that </w:t>
      </w:r>
      <w:r>
        <w:t xml:space="preserve">the FHLB System has evolved along with it. </w:t>
      </w:r>
      <w:r w:rsidR="00814916">
        <w:t xml:space="preserve">  </w:t>
      </w:r>
    </w:p>
    <w:p w:rsidR="00C57F65" w:rsidRDefault="00C57F65"/>
    <w:p w:rsidR="00CC2347" w:rsidRDefault="00CC2347" w:rsidP="00CC2347">
      <w:r>
        <w:t xml:space="preserve">Sincerely, </w:t>
      </w:r>
    </w:p>
    <w:p w:rsidR="00CC2347" w:rsidRDefault="00CC2347" w:rsidP="00CC2347">
      <w:bookmarkStart w:id="0" w:name="_GoBack"/>
      <w:bookmarkEnd w:id="0"/>
    </w:p>
    <w:p w:rsidR="00DF7A69" w:rsidRDefault="00DF7A69" w:rsidP="00CC2347"/>
    <w:p w:rsidR="00CC2347" w:rsidRDefault="00CC2347" w:rsidP="00CC2347">
      <w:r>
        <w:t>Donald J. Mullineaux, Ph.D.</w:t>
      </w:r>
    </w:p>
    <w:p w:rsidR="00CC2347" w:rsidRDefault="00CC2347" w:rsidP="00CC2347">
      <w:r>
        <w:t>DuPont Endowed Chair in Banking and Financial Services Emeritus in the Gatton College of Business and Economics</w:t>
      </w:r>
      <w:r w:rsidR="00260931">
        <w:t xml:space="preserve"> at the University of Kentucky</w:t>
      </w:r>
    </w:p>
    <w:p w:rsidR="00DF7A69" w:rsidRDefault="00DF7A69" w:rsidP="00CC2347">
      <w:r>
        <w:t xml:space="preserve">FHLB Cincinnati Independent Director, Risk Committee Chair </w:t>
      </w:r>
    </w:p>
    <w:p w:rsidR="00B849C8" w:rsidRDefault="00B849C8"/>
    <w:sectPr w:rsidR="00B849C8" w:rsidSect="00B00C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D6"/>
    <w:rsid w:val="0006385D"/>
    <w:rsid w:val="00114270"/>
    <w:rsid w:val="00260931"/>
    <w:rsid w:val="002B2551"/>
    <w:rsid w:val="004F5FDA"/>
    <w:rsid w:val="00505F26"/>
    <w:rsid w:val="006D43A6"/>
    <w:rsid w:val="007006D6"/>
    <w:rsid w:val="00814916"/>
    <w:rsid w:val="00A5551C"/>
    <w:rsid w:val="00B00CD1"/>
    <w:rsid w:val="00B210A8"/>
    <w:rsid w:val="00B763B7"/>
    <w:rsid w:val="00B849C8"/>
    <w:rsid w:val="00C57F65"/>
    <w:rsid w:val="00CC2347"/>
    <w:rsid w:val="00CD3413"/>
    <w:rsid w:val="00DF7A69"/>
    <w:rsid w:val="00E75007"/>
    <w:rsid w:val="00FB3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77C75"/>
  <w14:defaultImageDpi w14:val="300"/>
  <w15:docId w15:val="{F5A3057C-FB98-4BE2-BF96-CBB38BB9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3B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3045">
      <w:bodyDiv w:val="1"/>
      <w:marLeft w:val="0"/>
      <w:marRight w:val="0"/>
      <w:marTop w:val="0"/>
      <w:marBottom w:val="0"/>
      <w:divBdr>
        <w:top w:val="none" w:sz="0" w:space="0" w:color="auto"/>
        <w:left w:val="none" w:sz="0" w:space="0" w:color="auto"/>
        <w:bottom w:val="none" w:sz="0" w:space="0" w:color="auto"/>
        <w:right w:val="none" w:sz="0" w:space="0" w:color="auto"/>
      </w:divBdr>
    </w:div>
    <w:div w:id="1665468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D26C2-2239-4151-8F4A-09806DEF3765}"/>
</file>

<file path=customXml/itemProps2.xml><?xml version="1.0" encoding="utf-8"?>
<ds:datastoreItem xmlns:ds="http://schemas.openxmlformats.org/officeDocument/2006/customXml" ds:itemID="{8FBA227A-347B-4938-81EA-8772B88E8E95}"/>
</file>

<file path=customXml/itemProps3.xml><?xml version="1.0" encoding="utf-8"?>
<ds:datastoreItem xmlns:ds="http://schemas.openxmlformats.org/officeDocument/2006/customXml" ds:itemID="{EBFD47FF-C123-4006-AA5F-8DF5E5F1124F}"/>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Mullineaux</dc:creator>
  <cp:keywords/>
  <dc:description/>
  <cp:lastModifiedBy>Dallas, Melissa D</cp:lastModifiedBy>
  <cp:revision>3</cp:revision>
  <dcterms:created xsi:type="dcterms:W3CDTF">2023-03-20T18:50:00Z</dcterms:created>
  <dcterms:modified xsi:type="dcterms:W3CDTF">2023-03-30T14:43:00Z</dcterms:modified>
</cp:coreProperties>
</file>