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43B61" w14:textId="0FF02A2E" w:rsidR="00092C44" w:rsidRDefault="00000000" w:rsidP="00FE5360">
      <w:pPr>
        <w:spacing w:after="0"/>
        <w:rPr>
          <w:rFonts w:ascii="Arial" w:hAnsi="Arial" w:cs="Arial"/>
          <w:sz w:val="24"/>
          <w:szCs w:val="24"/>
        </w:rPr>
      </w:pPr>
    </w:p>
    <w:p w14:paraId="0B8EE0A2" w14:textId="034C69FE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0004521C" w14:textId="77777777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258ADF29" w14:textId="40CEA95B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March 22, 2023</w:t>
      </w:r>
    </w:p>
    <w:p w14:paraId="5343CFD7" w14:textId="6B895341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0E4BD0E3" w14:textId="0D995A14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4F215AED" w14:textId="615A9B5A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Federal Housing Finance Agency </w:t>
      </w:r>
    </w:p>
    <w:p w14:paraId="6C06C4B4" w14:textId="284E2E41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400 7</w:t>
      </w:r>
      <w:r w:rsidRPr="00FE5360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Street, SW</w:t>
      </w:r>
    </w:p>
    <w:p w14:paraId="5A51467C" w14:textId="3D0ECD74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Washington, D.C. 200241</w:t>
      </w:r>
    </w:p>
    <w:p w14:paraId="7BECAA56" w14:textId="414FA538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2782387A" w14:textId="21962E72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Cc: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FHLBSF - Public Affairs Team</w:t>
      </w:r>
    </w:p>
    <w:p w14:paraId="712DBA7F" w14:textId="02588D88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1A3A4365" w14:textId="48383AE2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56E6400A" w14:textId="430219BE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Universal Bank</w:t>
      </w:r>
    </w:p>
    <w:p w14:paraId="42A2744D" w14:textId="3E0EE3FF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3455 Nogales Street, 2</w:t>
      </w:r>
      <w:r w:rsidRPr="00FE536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Floor</w:t>
      </w:r>
    </w:p>
    <w:p w14:paraId="5C4D7318" w14:textId="113E7616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West Covina, CA. 91792</w:t>
      </w:r>
    </w:p>
    <w:p w14:paraId="2444E6B0" w14:textId="0252A65D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6304F635" w14:textId="77777777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73392E5C" w14:textId="77777777" w:rsidR="00826C49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SUBJECT: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26C49">
        <w:rPr>
          <w:rFonts w:ascii="Arial" w:hAnsi="Arial" w:cs="Arial"/>
          <w:sz w:val="24"/>
          <w:szCs w:val="24"/>
        </w:rPr>
        <w:t xml:space="preserve">Comments to FHFA on review of FHLBanks </w:t>
      </w:r>
    </w:p>
    <w:p w14:paraId="6D299F1C" w14:textId="77777777" w:rsidR="00826C49" w:rsidRDefault="00826C49" w:rsidP="00FE5360">
      <w:pPr>
        <w:spacing w:after="0"/>
        <w:rPr>
          <w:rFonts w:ascii="Arial" w:hAnsi="Arial" w:cs="Arial"/>
          <w:sz w:val="24"/>
          <w:szCs w:val="24"/>
        </w:rPr>
      </w:pPr>
    </w:p>
    <w:p w14:paraId="0690FD6C" w14:textId="77777777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7D7237BF" w14:textId="2C6A56CF" w:rsidR="00826C49" w:rsidRDefault="00826C49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topics outline the vital role, unique value, and broad community impact that the FHLBSF provides to Universal Bank</w:t>
      </w:r>
      <w:r w:rsidR="0085249B">
        <w:rPr>
          <w:rFonts w:ascii="Arial" w:hAnsi="Arial" w:cs="Arial"/>
          <w:sz w:val="24"/>
          <w:szCs w:val="24"/>
        </w:rPr>
        <w:t xml:space="preserve"> (the Bank)</w:t>
      </w:r>
      <w:r>
        <w:rPr>
          <w:rFonts w:ascii="Arial" w:hAnsi="Arial" w:cs="Arial"/>
          <w:sz w:val="24"/>
          <w:szCs w:val="24"/>
        </w:rPr>
        <w:t xml:space="preserve"> and </w:t>
      </w:r>
      <w:r w:rsidR="0085249B">
        <w:rPr>
          <w:rFonts w:ascii="Arial" w:hAnsi="Arial" w:cs="Arial"/>
          <w:sz w:val="24"/>
          <w:szCs w:val="24"/>
        </w:rPr>
        <w:t>community</w:t>
      </w:r>
      <w:r>
        <w:rPr>
          <w:rFonts w:ascii="Arial" w:hAnsi="Arial" w:cs="Arial"/>
          <w:sz w:val="24"/>
          <w:szCs w:val="24"/>
        </w:rPr>
        <w:t xml:space="preserve"> it serves.</w:t>
      </w:r>
    </w:p>
    <w:p w14:paraId="7ED9FEFB" w14:textId="77777777" w:rsidR="00826C49" w:rsidRDefault="00826C49" w:rsidP="00FE5360">
      <w:pPr>
        <w:spacing w:after="0"/>
        <w:rPr>
          <w:rFonts w:ascii="Arial" w:hAnsi="Arial" w:cs="Arial"/>
          <w:sz w:val="24"/>
          <w:szCs w:val="24"/>
        </w:rPr>
      </w:pPr>
    </w:p>
    <w:p w14:paraId="7EB68DBD" w14:textId="77777777" w:rsidR="00826C49" w:rsidRDefault="00826C49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is Universal Bank a member of FHLBSF?</w:t>
      </w:r>
    </w:p>
    <w:p w14:paraId="68C62393" w14:textId="77777777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51531D5C" w14:textId="4D4FA53A" w:rsidR="0085249B" w:rsidRDefault="00826C49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Response: FHLBSF is a valuable resource to </w:t>
      </w:r>
      <w:r w:rsidR="0085249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Bank primarily for their available products and services. Today, </w:t>
      </w:r>
      <w:r w:rsidR="0085249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Bank utilizes </w:t>
      </w:r>
      <w:r w:rsidR="0085249B">
        <w:rPr>
          <w:rFonts w:ascii="Arial" w:hAnsi="Arial" w:cs="Arial"/>
          <w:sz w:val="24"/>
          <w:szCs w:val="24"/>
        </w:rPr>
        <w:t>its established</w:t>
      </w:r>
      <w:r>
        <w:rPr>
          <w:rFonts w:ascii="Arial" w:hAnsi="Arial" w:cs="Arial"/>
          <w:sz w:val="24"/>
          <w:szCs w:val="24"/>
        </w:rPr>
        <w:t xml:space="preserve"> FHLBSF borrowing line as an alternative source of liquidity and </w:t>
      </w:r>
      <w:r w:rsidR="0085249B">
        <w:rPr>
          <w:rFonts w:ascii="Arial" w:hAnsi="Arial" w:cs="Arial"/>
          <w:sz w:val="24"/>
          <w:szCs w:val="24"/>
        </w:rPr>
        <w:t>is part of the Community Investment Program (CIP) offered by the FHLBSF.</w:t>
      </w:r>
    </w:p>
    <w:p w14:paraId="03827492" w14:textId="3EBEB7FE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35A55288" w14:textId="506EE1DE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Bank has also been part of the FHLB AHEAD program, which assists in supporting non-profit organizations our local community. </w:t>
      </w:r>
    </w:p>
    <w:p w14:paraId="48DBEA19" w14:textId="37B0A2DD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0E64D3B3" w14:textId="0356D0E2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How does the Bank use the FHLBank?</w:t>
      </w:r>
    </w:p>
    <w:p w14:paraId="34982DDE" w14:textId="4D24673A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08990426" w14:textId="7CFCC623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Response: See response above</w:t>
      </w:r>
      <w:r w:rsidR="00645BED">
        <w:rPr>
          <w:rFonts w:ascii="Arial" w:hAnsi="Arial" w:cs="Arial"/>
          <w:sz w:val="24"/>
          <w:szCs w:val="24"/>
        </w:rPr>
        <w:t>.</w:t>
      </w:r>
    </w:p>
    <w:p w14:paraId="084A1FE2" w14:textId="1EB5DB9F" w:rsidR="00645BED" w:rsidRDefault="00645BED" w:rsidP="00FE5360">
      <w:pPr>
        <w:spacing w:after="0"/>
        <w:rPr>
          <w:rFonts w:ascii="Arial" w:hAnsi="Arial" w:cs="Arial"/>
          <w:sz w:val="24"/>
          <w:szCs w:val="24"/>
        </w:rPr>
      </w:pPr>
    </w:p>
    <w:p w14:paraId="68FE51A3" w14:textId="2597B578" w:rsidR="00645BED" w:rsidRDefault="00645BED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is the impact of the Banks FHLBank membership on the Banks ability to serve our customers and communities?</w:t>
      </w:r>
    </w:p>
    <w:p w14:paraId="48197F81" w14:textId="153D5993" w:rsidR="00645BED" w:rsidRDefault="00645BED" w:rsidP="00FE5360">
      <w:pPr>
        <w:spacing w:after="0"/>
        <w:rPr>
          <w:rFonts w:ascii="Arial" w:hAnsi="Arial" w:cs="Arial"/>
          <w:sz w:val="24"/>
          <w:szCs w:val="24"/>
        </w:rPr>
      </w:pPr>
    </w:p>
    <w:p w14:paraId="6DA20A7B" w14:textId="7B142DA7" w:rsidR="00645BED" w:rsidRDefault="00645BED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Response: As mentioned above, the primary service that the FHLBSF provides today is providing an additional liquidity source to the Bank and supporting the Bank in building relationships with non-profit organizations that support our local community.</w:t>
      </w:r>
    </w:p>
    <w:p w14:paraId="5028481E" w14:textId="346388D5" w:rsidR="007015FB" w:rsidRDefault="007015FB" w:rsidP="00FE5360">
      <w:pPr>
        <w:spacing w:after="0"/>
        <w:rPr>
          <w:rFonts w:ascii="Arial" w:hAnsi="Arial" w:cs="Arial"/>
          <w:sz w:val="24"/>
          <w:szCs w:val="24"/>
        </w:rPr>
      </w:pPr>
    </w:p>
    <w:p w14:paraId="6985165D" w14:textId="5906671D" w:rsidR="007015FB" w:rsidRDefault="007015FB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would be the effect to the Banks business if the FHLA restricted access to the FHLBSF because,</w:t>
      </w:r>
    </w:p>
    <w:p w14:paraId="65AE97E7" w14:textId="130B4546" w:rsidR="007015FB" w:rsidRDefault="007015FB" w:rsidP="007015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Banks asset size</w:t>
      </w:r>
    </w:p>
    <w:p w14:paraId="20461ED4" w14:textId="565AE0D9" w:rsidR="007015FB" w:rsidRDefault="007015FB" w:rsidP="007015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lending products </w:t>
      </w:r>
    </w:p>
    <w:p w14:paraId="7770D572" w14:textId="2E04A44D" w:rsidR="007015FB" w:rsidRDefault="007015FB" w:rsidP="007015FB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advances exclusively for mortgages or housing-related products.</w:t>
      </w:r>
    </w:p>
    <w:p w14:paraId="6F10847C" w14:textId="7C03EE2D" w:rsidR="007015FB" w:rsidRDefault="007015FB" w:rsidP="007015FB">
      <w:pPr>
        <w:spacing w:after="0"/>
        <w:rPr>
          <w:rFonts w:ascii="Arial" w:hAnsi="Arial" w:cs="Arial"/>
          <w:sz w:val="24"/>
          <w:szCs w:val="24"/>
        </w:rPr>
      </w:pPr>
    </w:p>
    <w:p w14:paraId="4BFAFA33" w14:textId="0FEBDB94" w:rsidR="007015FB" w:rsidRDefault="007015FB" w:rsidP="00701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Response: to respond to the 3</w:t>
      </w:r>
      <w:r w:rsidRPr="007015FB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bullet above, the Bank does not originate single-family loans (SFRs), therefore FHLB advances to fund SFR loans is not needed.</w:t>
      </w:r>
    </w:p>
    <w:p w14:paraId="665383DF" w14:textId="2CF6EA50" w:rsidR="007015FB" w:rsidRDefault="007015FB" w:rsidP="007015FB">
      <w:pPr>
        <w:spacing w:after="0"/>
        <w:rPr>
          <w:rFonts w:ascii="Arial" w:hAnsi="Arial" w:cs="Arial"/>
          <w:sz w:val="24"/>
          <w:szCs w:val="24"/>
        </w:rPr>
      </w:pPr>
    </w:p>
    <w:p w14:paraId="1787D2E9" w14:textId="1B1C3B79" w:rsidR="007015FB" w:rsidRPr="007015FB" w:rsidRDefault="0091296C" w:rsidP="007015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FHLA were to restrict access to the FHLBSF could</w:t>
      </w:r>
      <w:r w:rsidR="005278FF">
        <w:rPr>
          <w:rFonts w:ascii="Arial" w:hAnsi="Arial" w:cs="Arial"/>
          <w:sz w:val="24"/>
          <w:szCs w:val="24"/>
        </w:rPr>
        <w:t xml:space="preserve"> possibly have an impact on the Banks asset size if borrowing capacity were to be reduced limiting usage as an alternative liquidity source for the Bank. </w:t>
      </w:r>
    </w:p>
    <w:p w14:paraId="5CD5B2B4" w14:textId="77777777" w:rsidR="007015FB" w:rsidRDefault="007015FB" w:rsidP="00FE5360">
      <w:pPr>
        <w:spacing w:after="0"/>
        <w:rPr>
          <w:rFonts w:ascii="Arial" w:hAnsi="Arial" w:cs="Arial"/>
          <w:sz w:val="24"/>
          <w:szCs w:val="24"/>
        </w:rPr>
      </w:pPr>
    </w:p>
    <w:p w14:paraId="32A02D9D" w14:textId="4602AE2F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6FE12C38" w14:textId="77777777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442A7AC9" w14:textId="77777777" w:rsidR="0085249B" w:rsidRDefault="0085249B" w:rsidP="00FE5360">
      <w:pPr>
        <w:spacing w:after="0"/>
        <w:rPr>
          <w:rFonts w:ascii="Arial" w:hAnsi="Arial" w:cs="Arial"/>
          <w:sz w:val="24"/>
          <w:szCs w:val="24"/>
        </w:rPr>
      </w:pPr>
    </w:p>
    <w:p w14:paraId="37C4E8A5" w14:textId="7C9A3D31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CE84771" w14:textId="16098A9A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0716F38A" w14:textId="1689B473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3BDC65E9" w14:textId="77777777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050D16AE" w14:textId="622BBAF2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42AFB66C" w14:textId="69F62546" w:rsid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p w14:paraId="2300D8AE" w14:textId="77777777" w:rsidR="00FE5360" w:rsidRPr="00FE5360" w:rsidRDefault="00FE5360" w:rsidP="00FE5360">
      <w:pPr>
        <w:spacing w:after="0"/>
        <w:rPr>
          <w:rFonts w:ascii="Arial" w:hAnsi="Arial" w:cs="Arial"/>
          <w:sz w:val="24"/>
          <w:szCs w:val="24"/>
        </w:rPr>
      </w:pPr>
    </w:p>
    <w:sectPr w:rsidR="00FE5360" w:rsidRPr="00FE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94319"/>
    <w:multiLevelType w:val="hybridMultilevel"/>
    <w:tmpl w:val="BD3060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594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60"/>
    <w:rsid w:val="005278FF"/>
    <w:rsid w:val="005E61EB"/>
    <w:rsid w:val="00645BED"/>
    <w:rsid w:val="007015FB"/>
    <w:rsid w:val="00826C49"/>
    <w:rsid w:val="0085249B"/>
    <w:rsid w:val="0091296C"/>
    <w:rsid w:val="00A12C05"/>
    <w:rsid w:val="00EF57E2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CE3FD"/>
  <w15:chartTrackingRefBased/>
  <w15:docId w15:val="{A06B310C-9968-49E9-9206-0F7846B0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D259E4-1312-4DC2-A834-E2470C191AB7}"/>
</file>

<file path=customXml/itemProps2.xml><?xml version="1.0" encoding="utf-8"?>
<ds:datastoreItem xmlns:ds="http://schemas.openxmlformats.org/officeDocument/2006/customXml" ds:itemID="{B84C7100-B213-47FE-B72C-7082B77E640F}"/>
</file>

<file path=customXml/itemProps3.xml><?xml version="1.0" encoding="utf-8"?>
<ds:datastoreItem xmlns:ds="http://schemas.openxmlformats.org/officeDocument/2006/customXml" ds:itemID="{D20E57AA-3740-4830-91C8-5AAB82937E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Masuda</dc:creator>
  <cp:keywords/>
  <dc:description/>
  <cp:lastModifiedBy>Wayne Masuda</cp:lastModifiedBy>
  <cp:revision>3</cp:revision>
  <dcterms:created xsi:type="dcterms:W3CDTF">2023-03-22T16:52:00Z</dcterms:created>
  <dcterms:modified xsi:type="dcterms:W3CDTF">2023-03-22T18:27:00Z</dcterms:modified>
</cp:coreProperties>
</file>