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9679D" w14:textId="7F02FF5C" w:rsidR="00B17D97" w:rsidRDefault="00B17D97" w:rsidP="001F4FBB">
      <w:pPr>
        <w:rPr>
          <w:b/>
          <w:u w:val="single"/>
        </w:rPr>
      </w:pPr>
      <w:r w:rsidRPr="00ED0DD9">
        <w:rPr>
          <w:noProof/>
        </w:rPr>
        <w:drawing>
          <wp:anchor distT="0" distB="0" distL="114300" distR="114300" simplePos="0" relativeHeight="251658240" behindDoc="0" locked="0" layoutInCell="1" allowOverlap="1" wp14:anchorId="7FE4704D" wp14:editId="16EB3F9E">
            <wp:simplePos x="0" y="0"/>
            <wp:positionH relativeFrom="margin">
              <wp:align>left</wp:align>
            </wp:positionH>
            <wp:positionV relativeFrom="paragraph">
              <wp:posOffset>347</wp:posOffset>
            </wp:positionV>
            <wp:extent cx="2133600" cy="609253"/>
            <wp:effectExtent l="0" t="0" r="0" b="635"/>
            <wp:wrapSquare wrapText="bothSides"/>
            <wp:docPr id="1" name="Picture 1" descr="C:\Users\dhunt\AppData\Local\Microsoft\Windows\INetCache\Content.Outlook\UQTD540Q\Homeownership Alliance Logo (Light  Dark Blue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unt\AppData\Local\Microsoft\Windows\INetCache\Content.Outlook\UQTD540Q\Homeownership Alliance Logo (Light  Dark Blue Tex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6092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4FBB">
        <w:rPr>
          <w:b/>
          <w:u w:val="single"/>
        </w:rPr>
        <w:br w:type="textWrapping" w:clear="all"/>
      </w:r>
    </w:p>
    <w:p w14:paraId="18316BAC" w14:textId="4596203D" w:rsidR="00FF0FB8" w:rsidRPr="0041522A" w:rsidRDefault="00285F12" w:rsidP="00467747">
      <w:pPr>
        <w:jc w:val="center"/>
        <w:rPr>
          <w:rFonts w:ascii="Cambria" w:hAnsi="Cambria"/>
          <w:b/>
          <w:sz w:val="24"/>
          <w:szCs w:val="24"/>
          <w:u w:val="single"/>
        </w:rPr>
      </w:pPr>
      <w:r w:rsidRPr="0041522A">
        <w:rPr>
          <w:rFonts w:ascii="Cambria" w:hAnsi="Cambria"/>
          <w:b/>
          <w:sz w:val="24"/>
          <w:szCs w:val="24"/>
          <w:u w:val="single"/>
        </w:rPr>
        <w:t>Homeownership Alliance</w:t>
      </w:r>
      <w:r w:rsidR="003A5F98" w:rsidRPr="0041522A">
        <w:rPr>
          <w:rFonts w:ascii="Cambria" w:hAnsi="Cambria"/>
          <w:b/>
          <w:sz w:val="24"/>
          <w:szCs w:val="24"/>
          <w:u w:val="single"/>
        </w:rPr>
        <w:t xml:space="preserve"> </w:t>
      </w:r>
      <w:r w:rsidR="001C4778" w:rsidRPr="0041522A">
        <w:rPr>
          <w:rFonts w:ascii="Cambria" w:hAnsi="Cambria"/>
          <w:b/>
          <w:sz w:val="24"/>
          <w:szCs w:val="24"/>
          <w:u w:val="single"/>
        </w:rPr>
        <w:t>Comments</w:t>
      </w:r>
      <w:r w:rsidR="00D60AF6" w:rsidRPr="0041522A">
        <w:rPr>
          <w:rFonts w:ascii="Cambria" w:hAnsi="Cambria"/>
          <w:b/>
          <w:sz w:val="24"/>
          <w:szCs w:val="24"/>
          <w:u w:val="single"/>
        </w:rPr>
        <w:t xml:space="preserve"> on FHFA</w:t>
      </w:r>
      <w:r w:rsidR="00FF0FB8" w:rsidRPr="0041522A">
        <w:rPr>
          <w:rFonts w:ascii="Cambria" w:hAnsi="Cambria"/>
          <w:b/>
          <w:sz w:val="24"/>
          <w:szCs w:val="24"/>
          <w:u w:val="single"/>
        </w:rPr>
        <w:t xml:space="preserve"> </w:t>
      </w:r>
      <w:r w:rsidR="003A5F98" w:rsidRPr="0041522A">
        <w:rPr>
          <w:rFonts w:ascii="Cambria" w:hAnsi="Cambria"/>
          <w:b/>
          <w:sz w:val="24"/>
          <w:szCs w:val="24"/>
          <w:u w:val="single"/>
        </w:rPr>
        <w:t>Comprehensive Review of</w:t>
      </w:r>
      <w:r w:rsidR="00FF0FB8" w:rsidRPr="0041522A">
        <w:rPr>
          <w:rFonts w:ascii="Cambria" w:hAnsi="Cambria"/>
          <w:b/>
          <w:sz w:val="24"/>
          <w:szCs w:val="24"/>
          <w:u w:val="single"/>
        </w:rPr>
        <w:t xml:space="preserve"> FHLB System</w:t>
      </w:r>
      <w:r w:rsidR="001C4778" w:rsidRPr="0041522A">
        <w:rPr>
          <w:rFonts w:ascii="Cambria" w:hAnsi="Cambria"/>
          <w:b/>
          <w:sz w:val="24"/>
          <w:szCs w:val="24"/>
          <w:u w:val="single"/>
        </w:rPr>
        <w:t xml:space="preserve"> </w:t>
      </w:r>
    </w:p>
    <w:p w14:paraId="1F3011B0" w14:textId="77777777" w:rsidR="00D00C05" w:rsidRPr="0041522A" w:rsidRDefault="00D00C05" w:rsidP="00467747">
      <w:pPr>
        <w:pStyle w:val="ListParagraph"/>
        <w:ind w:left="0"/>
        <w:rPr>
          <w:rFonts w:ascii="Cambria" w:hAnsi="Cambria"/>
          <w:sz w:val="24"/>
          <w:szCs w:val="24"/>
        </w:rPr>
      </w:pPr>
    </w:p>
    <w:p w14:paraId="0D9A949C" w14:textId="516898B9" w:rsidR="00135A58" w:rsidRPr="0041522A" w:rsidRDefault="009B6259" w:rsidP="00467747">
      <w:pPr>
        <w:pStyle w:val="ListParagraph"/>
        <w:ind w:left="0"/>
        <w:rPr>
          <w:rFonts w:ascii="Cambria" w:hAnsi="Cambria"/>
          <w:sz w:val="24"/>
          <w:szCs w:val="24"/>
        </w:rPr>
      </w:pPr>
      <w:r w:rsidRPr="0041522A">
        <w:rPr>
          <w:rFonts w:ascii="Cambria" w:hAnsi="Cambria"/>
          <w:sz w:val="24"/>
          <w:szCs w:val="24"/>
        </w:rPr>
        <w:t>The F</w:t>
      </w:r>
      <w:r w:rsidR="007F30CB" w:rsidRPr="0041522A">
        <w:rPr>
          <w:rFonts w:ascii="Cambria" w:hAnsi="Cambria"/>
          <w:sz w:val="24"/>
          <w:szCs w:val="24"/>
        </w:rPr>
        <w:t xml:space="preserve">ederal Home Loan Bank System </w:t>
      </w:r>
      <w:r w:rsidR="0017441D">
        <w:rPr>
          <w:rFonts w:ascii="Cambria" w:hAnsi="Cambria"/>
          <w:sz w:val="24"/>
          <w:szCs w:val="24"/>
        </w:rPr>
        <w:t>(</w:t>
      </w:r>
      <w:r w:rsidR="007F30CB" w:rsidRPr="0041522A">
        <w:rPr>
          <w:rFonts w:ascii="Cambria" w:hAnsi="Cambria"/>
          <w:sz w:val="24"/>
          <w:szCs w:val="24"/>
        </w:rPr>
        <w:t>FHLB System</w:t>
      </w:r>
      <w:r w:rsidR="00135A58" w:rsidRPr="0041522A">
        <w:rPr>
          <w:rFonts w:ascii="Cambria" w:hAnsi="Cambria"/>
          <w:sz w:val="24"/>
          <w:szCs w:val="24"/>
        </w:rPr>
        <w:t xml:space="preserve">) </w:t>
      </w:r>
      <w:r w:rsidRPr="0041522A">
        <w:rPr>
          <w:rFonts w:ascii="Cambria" w:hAnsi="Cambria"/>
          <w:sz w:val="24"/>
          <w:szCs w:val="24"/>
        </w:rPr>
        <w:t xml:space="preserve">was created during the Great Depression to provide reliable liquidity </w:t>
      </w:r>
      <w:r w:rsidR="00135A58" w:rsidRPr="0041522A">
        <w:rPr>
          <w:rFonts w:ascii="Cambria" w:hAnsi="Cambria"/>
          <w:sz w:val="24"/>
          <w:szCs w:val="24"/>
        </w:rPr>
        <w:t xml:space="preserve">to financial institutions </w:t>
      </w:r>
      <w:r w:rsidR="00E57342" w:rsidRPr="0041522A">
        <w:rPr>
          <w:rFonts w:ascii="Cambria" w:hAnsi="Cambria"/>
          <w:sz w:val="24"/>
          <w:szCs w:val="24"/>
        </w:rPr>
        <w:t xml:space="preserve">responsible </w:t>
      </w:r>
      <w:r w:rsidRPr="0041522A">
        <w:rPr>
          <w:rFonts w:ascii="Cambria" w:hAnsi="Cambria"/>
          <w:sz w:val="24"/>
          <w:szCs w:val="24"/>
        </w:rPr>
        <w:t xml:space="preserve">for </w:t>
      </w:r>
      <w:r w:rsidR="00F63857" w:rsidRPr="0041522A">
        <w:rPr>
          <w:rFonts w:ascii="Cambria" w:hAnsi="Cambria"/>
          <w:sz w:val="24"/>
          <w:szCs w:val="24"/>
        </w:rPr>
        <w:t xml:space="preserve">supporting </w:t>
      </w:r>
      <w:r w:rsidRPr="0041522A">
        <w:rPr>
          <w:rFonts w:ascii="Cambria" w:hAnsi="Cambria"/>
          <w:sz w:val="24"/>
          <w:szCs w:val="24"/>
        </w:rPr>
        <w:t>home mortgage lending</w:t>
      </w:r>
      <w:r w:rsidR="00F63857" w:rsidRPr="0041522A">
        <w:rPr>
          <w:rFonts w:ascii="Cambria" w:hAnsi="Cambria"/>
          <w:sz w:val="24"/>
          <w:szCs w:val="24"/>
        </w:rPr>
        <w:t xml:space="preserve"> and community investment</w:t>
      </w:r>
      <w:r w:rsidRPr="0041522A">
        <w:rPr>
          <w:rFonts w:ascii="Cambria" w:hAnsi="Cambria"/>
          <w:sz w:val="24"/>
          <w:szCs w:val="24"/>
        </w:rPr>
        <w:t>.</w:t>
      </w:r>
      <w:r w:rsidRPr="0041522A">
        <w:rPr>
          <w:rFonts w:ascii="Cambria" w:hAnsi="Cambria"/>
          <w:b/>
          <w:sz w:val="24"/>
          <w:szCs w:val="24"/>
        </w:rPr>
        <w:t xml:space="preserve"> </w:t>
      </w:r>
      <w:r w:rsidR="00135A58" w:rsidRPr="0041522A">
        <w:rPr>
          <w:rFonts w:ascii="Cambria" w:hAnsi="Cambria"/>
          <w:sz w:val="24"/>
          <w:szCs w:val="24"/>
        </w:rPr>
        <w:t xml:space="preserve">Consistent with this vision, </w:t>
      </w:r>
      <w:r w:rsidR="006C5FD4" w:rsidRPr="0041522A">
        <w:rPr>
          <w:rFonts w:ascii="Cambria" w:hAnsi="Cambria"/>
          <w:sz w:val="24"/>
          <w:szCs w:val="24"/>
        </w:rPr>
        <w:t xml:space="preserve">the </w:t>
      </w:r>
      <w:r w:rsidR="00135A58" w:rsidRPr="0041522A">
        <w:rPr>
          <w:rFonts w:ascii="Cambria" w:hAnsi="Cambria"/>
          <w:sz w:val="24"/>
          <w:szCs w:val="24"/>
        </w:rPr>
        <w:t>Federal Home Loan Banks (FHLBs</w:t>
      </w:r>
      <w:r w:rsidR="007E7CF1" w:rsidRPr="0041522A">
        <w:rPr>
          <w:rFonts w:ascii="Cambria" w:hAnsi="Cambria"/>
          <w:sz w:val="24"/>
          <w:szCs w:val="24"/>
        </w:rPr>
        <w:t xml:space="preserve">, </w:t>
      </w:r>
      <w:proofErr w:type="spellStart"/>
      <w:r w:rsidR="007E7CF1" w:rsidRPr="0041522A">
        <w:rPr>
          <w:rFonts w:ascii="Cambria" w:hAnsi="Cambria"/>
          <w:sz w:val="24"/>
          <w:szCs w:val="24"/>
        </w:rPr>
        <w:t>FHLBanks</w:t>
      </w:r>
      <w:proofErr w:type="spellEnd"/>
      <w:r w:rsidR="00E57342" w:rsidRPr="0041522A">
        <w:rPr>
          <w:rFonts w:ascii="Cambria" w:hAnsi="Cambria"/>
          <w:sz w:val="24"/>
          <w:szCs w:val="24"/>
        </w:rPr>
        <w:t xml:space="preserve"> or Banks</w:t>
      </w:r>
      <w:r w:rsidR="00135A58" w:rsidRPr="0041522A">
        <w:rPr>
          <w:rFonts w:ascii="Cambria" w:hAnsi="Cambria"/>
          <w:sz w:val="24"/>
          <w:szCs w:val="24"/>
        </w:rPr>
        <w:t xml:space="preserve">) delivered </w:t>
      </w:r>
      <w:r w:rsidR="000D6A1B" w:rsidRPr="0041522A">
        <w:rPr>
          <w:rFonts w:ascii="Cambria" w:hAnsi="Cambria"/>
          <w:sz w:val="24"/>
          <w:szCs w:val="24"/>
        </w:rPr>
        <w:t xml:space="preserve">significant </w:t>
      </w:r>
      <w:r w:rsidR="00135A58" w:rsidRPr="0041522A">
        <w:rPr>
          <w:rFonts w:ascii="Cambria" w:hAnsi="Cambria"/>
          <w:sz w:val="24"/>
          <w:szCs w:val="24"/>
        </w:rPr>
        <w:t xml:space="preserve">mission benefits </w:t>
      </w:r>
      <w:r w:rsidR="007030F5" w:rsidRPr="0041522A">
        <w:rPr>
          <w:rFonts w:ascii="Cambria" w:hAnsi="Cambria"/>
          <w:sz w:val="24"/>
          <w:szCs w:val="24"/>
        </w:rPr>
        <w:t>that advanced</w:t>
      </w:r>
      <w:r w:rsidR="000D6A1B" w:rsidRPr="0041522A">
        <w:rPr>
          <w:rFonts w:ascii="Cambria" w:hAnsi="Cambria"/>
          <w:sz w:val="24"/>
          <w:szCs w:val="24"/>
        </w:rPr>
        <w:t xml:space="preserve"> affordable homeownership and community </w:t>
      </w:r>
      <w:r w:rsidR="007F7167" w:rsidRPr="0041522A">
        <w:rPr>
          <w:rFonts w:ascii="Cambria" w:hAnsi="Cambria"/>
          <w:sz w:val="24"/>
          <w:szCs w:val="24"/>
        </w:rPr>
        <w:t>investment</w:t>
      </w:r>
      <w:r w:rsidR="00135A58" w:rsidRPr="0041522A">
        <w:rPr>
          <w:rFonts w:ascii="Cambria" w:hAnsi="Cambria"/>
          <w:sz w:val="24"/>
          <w:szCs w:val="24"/>
        </w:rPr>
        <w:t xml:space="preserve"> </w:t>
      </w:r>
      <w:r w:rsidR="000D6A1B" w:rsidRPr="0041522A">
        <w:rPr>
          <w:rFonts w:ascii="Cambria" w:hAnsi="Cambria"/>
          <w:sz w:val="24"/>
          <w:szCs w:val="24"/>
        </w:rPr>
        <w:t>as part of the broader U.S. housing finance system</w:t>
      </w:r>
      <w:r w:rsidR="00517D9D" w:rsidRPr="0041522A">
        <w:rPr>
          <w:rFonts w:ascii="Cambria" w:hAnsi="Cambria"/>
          <w:sz w:val="24"/>
          <w:szCs w:val="24"/>
        </w:rPr>
        <w:t xml:space="preserve"> over time</w:t>
      </w:r>
      <w:r w:rsidR="000D6A1B" w:rsidRPr="0041522A">
        <w:rPr>
          <w:rFonts w:ascii="Cambria" w:hAnsi="Cambria"/>
          <w:sz w:val="24"/>
          <w:szCs w:val="24"/>
        </w:rPr>
        <w:t>.</w:t>
      </w:r>
      <w:r w:rsidR="001A0602" w:rsidRPr="0041522A">
        <w:rPr>
          <w:rFonts w:ascii="Cambria" w:hAnsi="Cambria"/>
          <w:b/>
          <w:sz w:val="24"/>
          <w:szCs w:val="24"/>
        </w:rPr>
        <w:t xml:space="preserve"> </w:t>
      </w:r>
      <w:r w:rsidR="00135A58" w:rsidRPr="0041522A">
        <w:rPr>
          <w:rFonts w:ascii="Cambria" w:hAnsi="Cambria"/>
          <w:b/>
          <w:sz w:val="24"/>
          <w:szCs w:val="24"/>
        </w:rPr>
        <w:t xml:space="preserve"> </w:t>
      </w:r>
      <w:r w:rsidR="00135A58" w:rsidRPr="0041522A">
        <w:rPr>
          <w:rFonts w:ascii="Cambria" w:hAnsi="Cambria"/>
          <w:sz w:val="24"/>
          <w:szCs w:val="24"/>
        </w:rPr>
        <w:t xml:space="preserve">In particular, </w:t>
      </w:r>
      <w:r w:rsidR="001A2C37" w:rsidRPr="0041522A">
        <w:rPr>
          <w:rFonts w:ascii="Cambria" w:hAnsi="Cambria"/>
          <w:sz w:val="24"/>
          <w:szCs w:val="24"/>
        </w:rPr>
        <w:t xml:space="preserve">the </w:t>
      </w:r>
      <w:r w:rsidR="000D6A1B" w:rsidRPr="0041522A">
        <w:rPr>
          <w:rFonts w:ascii="Cambria" w:hAnsi="Cambria"/>
          <w:sz w:val="24"/>
          <w:szCs w:val="24"/>
        </w:rPr>
        <w:t>FHLBs have provided</w:t>
      </w:r>
      <w:r w:rsidR="00B92076" w:rsidRPr="0041522A">
        <w:rPr>
          <w:rFonts w:ascii="Cambria" w:hAnsi="Cambria"/>
          <w:sz w:val="24"/>
          <w:szCs w:val="24"/>
        </w:rPr>
        <w:t xml:space="preserve"> </w:t>
      </w:r>
      <w:r w:rsidR="00BE5AFC" w:rsidRPr="0041522A">
        <w:rPr>
          <w:rFonts w:ascii="Cambria" w:hAnsi="Cambria"/>
          <w:sz w:val="24"/>
          <w:szCs w:val="24"/>
        </w:rPr>
        <w:t xml:space="preserve">important </w:t>
      </w:r>
      <w:r w:rsidR="00D74F13">
        <w:rPr>
          <w:rFonts w:ascii="Cambria" w:hAnsi="Cambria"/>
          <w:sz w:val="24"/>
          <w:szCs w:val="24"/>
        </w:rPr>
        <w:t>access for</w:t>
      </w:r>
      <w:r w:rsidR="00135A58" w:rsidRPr="0041522A">
        <w:rPr>
          <w:rFonts w:ascii="Cambria" w:hAnsi="Cambria"/>
          <w:sz w:val="24"/>
          <w:szCs w:val="24"/>
        </w:rPr>
        <w:t xml:space="preserve"> </w:t>
      </w:r>
      <w:r w:rsidR="00D74F13">
        <w:rPr>
          <w:rFonts w:ascii="Cambria" w:hAnsi="Cambria"/>
          <w:sz w:val="24"/>
          <w:szCs w:val="24"/>
        </w:rPr>
        <w:t xml:space="preserve">its </w:t>
      </w:r>
      <w:r w:rsidR="005D2DA1">
        <w:rPr>
          <w:rFonts w:ascii="Cambria" w:hAnsi="Cambria"/>
          <w:sz w:val="24"/>
          <w:szCs w:val="24"/>
        </w:rPr>
        <w:t>M</w:t>
      </w:r>
      <w:r w:rsidR="00DB2B76" w:rsidRPr="0041522A">
        <w:rPr>
          <w:rFonts w:ascii="Cambria" w:hAnsi="Cambria"/>
          <w:sz w:val="24"/>
          <w:szCs w:val="24"/>
        </w:rPr>
        <w:t xml:space="preserve">embers and nonprofit housing development partners to essential </w:t>
      </w:r>
      <w:r w:rsidR="000D6A1B" w:rsidRPr="0041522A">
        <w:rPr>
          <w:rFonts w:ascii="Cambria" w:hAnsi="Cambria"/>
          <w:sz w:val="24"/>
          <w:szCs w:val="24"/>
        </w:rPr>
        <w:t>capital, liquidity, gap-filler subsid</w:t>
      </w:r>
      <w:r w:rsidR="00135A58" w:rsidRPr="0041522A">
        <w:rPr>
          <w:rFonts w:ascii="Cambria" w:hAnsi="Cambria"/>
          <w:sz w:val="24"/>
          <w:szCs w:val="24"/>
        </w:rPr>
        <w:t>ies</w:t>
      </w:r>
      <w:r w:rsidR="000D6A1B" w:rsidRPr="0041522A">
        <w:rPr>
          <w:rFonts w:ascii="Cambria" w:hAnsi="Cambria"/>
          <w:sz w:val="24"/>
          <w:szCs w:val="24"/>
        </w:rPr>
        <w:t xml:space="preserve"> and homebuyer assistance</w:t>
      </w:r>
      <w:r w:rsidR="00D00C05" w:rsidRPr="0041522A">
        <w:rPr>
          <w:rFonts w:ascii="Cambria" w:hAnsi="Cambria"/>
          <w:sz w:val="24"/>
          <w:szCs w:val="24"/>
        </w:rPr>
        <w:t xml:space="preserve">, which in turn, </w:t>
      </w:r>
      <w:r w:rsidR="00BC2B5C" w:rsidRPr="0041522A">
        <w:rPr>
          <w:rFonts w:ascii="Cambria" w:hAnsi="Cambria"/>
          <w:sz w:val="24"/>
          <w:szCs w:val="24"/>
        </w:rPr>
        <w:t xml:space="preserve">has </w:t>
      </w:r>
      <w:r w:rsidR="000D6A1B" w:rsidRPr="0041522A">
        <w:rPr>
          <w:rFonts w:ascii="Cambria" w:hAnsi="Cambria"/>
          <w:sz w:val="24"/>
          <w:szCs w:val="24"/>
        </w:rPr>
        <w:t xml:space="preserve">made many </w:t>
      </w:r>
      <w:r w:rsidR="00135A58" w:rsidRPr="0041522A">
        <w:rPr>
          <w:rFonts w:ascii="Cambria" w:hAnsi="Cambria"/>
          <w:sz w:val="24"/>
          <w:szCs w:val="24"/>
        </w:rPr>
        <w:t>affordable housing</w:t>
      </w:r>
      <w:r w:rsidR="00E57342" w:rsidRPr="0041522A">
        <w:rPr>
          <w:rFonts w:ascii="Cambria" w:hAnsi="Cambria"/>
          <w:sz w:val="24"/>
          <w:szCs w:val="24"/>
        </w:rPr>
        <w:t xml:space="preserve"> </w:t>
      </w:r>
      <w:r w:rsidR="000D6A1B" w:rsidRPr="0041522A">
        <w:rPr>
          <w:rFonts w:ascii="Cambria" w:hAnsi="Cambria"/>
          <w:sz w:val="24"/>
          <w:szCs w:val="24"/>
        </w:rPr>
        <w:t xml:space="preserve">projects </w:t>
      </w:r>
      <w:r w:rsidR="00135A58" w:rsidRPr="0041522A">
        <w:rPr>
          <w:rFonts w:ascii="Cambria" w:hAnsi="Cambria"/>
          <w:sz w:val="24"/>
          <w:szCs w:val="24"/>
        </w:rPr>
        <w:t xml:space="preserve">feasible </w:t>
      </w:r>
      <w:r w:rsidR="000D6A1B" w:rsidRPr="0041522A">
        <w:rPr>
          <w:rFonts w:ascii="Cambria" w:hAnsi="Cambria"/>
          <w:sz w:val="24"/>
          <w:szCs w:val="24"/>
        </w:rPr>
        <w:t xml:space="preserve">that otherwise would not have been. </w:t>
      </w:r>
      <w:r w:rsidR="00135A58" w:rsidRPr="0041522A">
        <w:rPr>
          <w:rFonts w:ascii="Cambria" w:hAnsi="Cambria"/>
          <w:sz w:val="24"/>
          <w:szCs w:val="24"/>
        </w:rPr>
        <w:t xml:space="preserve"> </w:t>
      </w:r>
      <w:r w:rsidR="0035232A" w:rsidRPr="0041522A">
        <w:rPr>
          <w:rFonts w:ascii="Cambria" w:hAnsi="Cambria"/>
          <w:sz w:val="24"/>
          <w:szCs w:val="24"/>
        </w:rPr>
        <w:t xml:space="preserve">  </w:t>
      </w:r>
    </w:p>
    <w:p w14:paraId="7E43CBEE" w14:textId="77777777" w:rsidR="00135A58" w:rsidRPr="0041522A" w:rsidRDefault="00135A58" w:rsidP="00467747">
      <w:pPr>
        <w:pStyle w:val="ListParagraph"/>
        <w:rPr>
          <w:rFonts w:ascii="Cambria" w:hAnsi="Cambria"/>
          <w:sz w:val="24"/>
          <w:szCs w:val="24"/>
        </w:rPr>
      </w:pPr>
    </w:p>
    <w:p w14:paraId="0D80C30A" w14:textId="12D979D5" w:rsidR="00F92991" w:rsidRPr="0041522A" w:rsidRDefault="0081332A" w:rsidP="00467747">
      <w:pPr>
        <w:pStyle w:val="ListParagraph"/>
        <w:ind w:left="0"/>
        <w:rPr>
          <w:rFonts w:ascii="Cambria" w:hAnsi="Cambria"/>
          <w:sz w:val="24"/>
          <w:szCs w:val="24"/>
        </w:rPr>
      </w:pPr>
      <w:r w:rsidRPr="0041522A">
        <w:rPr>
          <w:rFonts w:ascii="Cambria" w:hAnsi="Cambria"/>
          <w:sz w:val="24"/>
          <w:szCs w:val="24"/>
        </w:rPr>
        <w:t xml:space="preserve">However, the </w:t>
      </w:r>
      <w:r w:rsidR="009B6259" w:rsidRPr="0041522A">
        <w:rPr>
          <w:rFonts w:ascii="Cambria" w:hAnsi="Cambria"/>
          <w:sz w:val="24"/>
          <w:szCs w:val="24"/>
        </w:rPr>
        <w:t xml:space="preserve">financial institutions </w:t>
      </w:r>
      <w:r w:rsidR="00E14658" w:rsidRPr="0041522A">
        <w:rPr>
          <w:rFonts w:ascii="Cambria" w:hAnsi="Cambria"/>
          <w:sz w:val="24"/>
          <w:szCs w:val="24"/>
        </w:rPr>
        <w:t xml:space="preserve">that the system was originally designed to support </w:t>
      </w:r>
      <w:r w:rsidR="00517D9D" w:rsidRPr="0041522A">
        <w:rPr>
          <w:rFonts w:ascii="Cambria" w:hAnsi="Cambria"/>
          <w:sz w:val="24"/>
          <w:szCs w:val="24"/>
        </w:rPr>
        <w:t xml:space="preserve">(Savings &amp; Loans) </w:t>
      </w:r>
      <w:r w:rsidR="00E14658" w:rsidRPr="0041522A">
        <w:rPr>
          <w:rFonts w:ascii="Cambria" w:hAnsi="Cambria"/>
          <w:sz w:val="24"/>
          <w:szCs w:val="24"/>
        </w:rPr>
        <w:t xml:space="preserve">no longer </w:t>
      </w:r>
      <w:r w:rsidRPr="0041522A">
        <w:rPr>
          <w:rFonts w:ascii="Cambria" w:hAnsi="Cambria"/>
          <w:sz w:val="24"/>
          <w:szCs w:val="24"/>
        </w:rPr>
        <w:t>exist, and the</w:t>
      </w:r>
      <w:r w:rsidR="00E14658" w:rsidRPr="0041522A">
        <w:rPr>
          <w:rFonts w:ascii="Cambria" w:hAnsi="Cambria"/>
          <w:sz w:val="24"/>
          <w:szCs w:val="24"/>
        </w:rPr>
        <w:t xml:space="preserve"> </w:t>
      </w:r>
      <w:r w:rsidRPr="0041522A">
        <w:rPr>
          <w:rFonts w:ascii="Cambria" w:hAnsi="Cambria"/>
          <w:sz w:val="24"/>
          <w:szCs w:val="24"/>
        </w:rPr>
        <w:t xml:space="preserve">majority of </w:t>
      </w:r>
      <w:r w:rsidR="00135A58" w:rsidRPr="0041522A">
        <w:rPr>
          <w:rFonts w:ascii="Cambria" w:hAnsi="Cambria"/>
          <w:sz w:val="24"/>
          <w:szCs w:val="24"/>
        </w:rPr>
        <w:t xml:space="preserve">home mortgage lending </w:t>
      </w:r>
      <w:r w:rsidR="00DB2B76" w:rsidRPr="0041522A">
        <w:rPr>
          <w:rFonts w:ascii="Cambria" w:hAnsi="Cambria"/>
          <w:sz w:val="24"/>
          <w:szCs w:val="24"/>
        </w:rPr>
        <w:t>and</w:t>
      </w:r>
      <w:r w:rsidR="00D37BD6" w:rsidRPr="0041522A">
        <w:rPr>
          <w:rFonts w:ascii="Cambria" w:hAnsi="Cambria"/>
          <w:sz w:val="24"/>
          <w:szCs w:val="24"/>
        </w:rPr>
        <w:t xml:space="preserve"> related </w:t>
      </w:r>
      <w:r w:rsidR="004A3A59" w:rsidRPr="0041522A">
        <w:rPr>
          <w:rFonts w:ascii="Cambria" w:hAnsi="Cambria"/>
          <w:sz w:val="24"/>
          <w:szCs w:val="24"/>
        </w:rPr>
        <w:t xml:space="preserve">mortgage </w:t>
      </w:r>
      <w:r w:rsidR="00D37BD6" w:rsidRPr="0041522A">
        <w:rPr>
          <w:rFonts w:ascii="Cambria" w:hAnsi="Cambria"/>
          <w:sz w:val="24"/>
          <w:szCs w:val="24"/>
        </w:rPr>
        <w:t xml:space="preserve">liquidity </w:t>
      </w:r>
      <w:r w:rsidR="00DB2B76" w:rsidRPr="0041522A">
        <w:rPr>
          <w:rFonts w:ascii="Cambria" w:hAnsi="Cambria"/>
          <w:sz w:val="24"/>
          <w:szCs w:val="24"/>
        </w:rPr>
        <w:t xml:space="preserve">functions </w:t>
      </w:r>
      <w:r w:rsidR="00E57342" w:rsidRPr="0041522A">
        <w:rPr>
          <w:rFonts w:ascii="Cambria" w:hAnsi="Cambria"/>
          <w:sz w:val="24"/>
          <w:szCs w:val="24"/>
        </w:rPr>
        <w:t xml:space="preserve">now </w:t>
      </w:r>
      <w:r w:rsidR="009B6259" w:rsidRPr="0041522A">
        <w:rPr>
          <w:rFonts w:ascii="Cambria" w:hAnsi="Cambria"/>
          <w:sz w:val="24"/>
          <w:szCs w:val="24"/>
        </w:rPr>
        <w:t>occur outside</w:t>
      </w:r>
      <w:r w:rsidR="002B4228" w:rsidRPr="0041522A">
        <w:rPr>
          <w:rFonts w:ascii="Cambria" w:hAnsi="Cambria"/>
          <w:sz w:val="24"/>
          <w:szCs w:val="24"/>
        </w:rPr>
        <w:t xml:space="preserve"> of the FHLB framework</w:t>
      </w:r>
      <w:r w:rsidR="00E14658" w:rsidRPr="0041522A">
        <w:rPr>
          <w:rFonts w:ascii="Cambria" w:hAnsi="Cambria"/>
          <w:sz w:val="24"/>
          <w:szCs w:val="24"/>
        </w:rPr>
        <w:t>.</w:t>
      </w:r>
      <w:r w:rsidRPr="0041522A">
        <w:rPr>
          <w:rFonts w:ascii="Cambria" w:hAnsi="Cambria"/>
          <w:sz w:val="24"/>
          <w:szCs w:val="24"/>
        </w:rPr>
        <w:t xml:space="preserve"> </w:t>
      </w:r>
      <w:r w:rsidR="002B4228" w:rsidRPr="0041522A">
        <w:rPr>
          <w:rFonts w:ascii="Cambria" w:hAnsi="Cambria"/>
          <w:sz w:val="24"/>
          <w:szCs w:val="24"/>
        </w:rPr>
        <w:t xml:space="preserve"> </w:t>
      </w:r>
      <w:r w:rsidR="00B92076" w:rsidRPr="0041522A">
        <w:rPr>
          <w:rFonts w:ascii="Cambria" w:hAnsi="Cambria"/>
          <w:sz w:val="24"/>
          <w:szCs w:val="24"/>
        </w:rPr>
        <w:t>T</w:t>
      </w:r>
      <w:r w:rsidR="007F7167" w:rsidRPr="0041522A">
        <w:rPr>
          <w:rFonts w:ascii="Cambria" w:hAnsi="Cambria"/>
          <w:sz w:val="24"/>
          <w:szCs w:val="24"/>
        </w:rPr>
        <w:t xml:space="preserve">oday, the primary role of the </w:t>
      </w:r>
      <w:r w:rsidR="00D37BD6" w:rsidRPr="0041522A">
        <w:rPr>
          <w:rFonts w:ascii="Cambria" w:hAnsi="Cambria"/>
          <w:sz w:val="24"/>
          <w:szCs w:val="24"/>
        </w:rPr>
        <w:t>FHLBs</w:t>
      </w:r>
      <w:r w:rsidR="007F7167" w:rsidRPr="0041522A">
        <w:rPr>
          <w:rFonts w:ascii="Cambria" w:hAnsi="Cambria"/>
          <w:sz w:val="24"/>
          <w:szCs w:val="24"/>
        </w:rPr>
        <w:t xml:space="preserve"> is to provide </w:t>
      </w:r>
      <w:r w:rsidR="004A3A59" w:rsidRPr="0041522A">
        <w:rPr>
          <w:rFonts w:ascii="Cambria" w:hAnsi="Cambria"/>
          <w:sz w:val="24"/>
          <w:szCs w:val="24"/>
        </w:rPr>
        <w:t xml:space="preserve">secured loans </w:t>
      </w:r>
      <w:r w:rsidR="005A5C8A" w:rsidRPr="0041522A">
        <w:rPr>
          <w:rFonts w:ascii="Cambria" w:hAnsi="Cambria"/>
          <w:sz w:val="24"/>
          <w:szCs w:val="24"/>
        </w:rPr>
        <w:t>(</w:t>
      </w:r>
      <w:r w:rsidR="004A3A59" w:rsidRPr="0041522A">
        <w:rPr>
          <w:rFonts w:ascii="Cambria" w:hAnsi="Cambria"/>
          <w:sz w:val="24"/>
          <w:szCs w:val="24"/>
        </w:rPr>
        <w:t>advances</w:t>
      </w:r>
      <w:r w:rsidR="005A5C8A" w:rsidRPr="0041522A">
        <w:rPr>
          <w:rFonts w:ascii="Cambria" w:hAnsi="Cambria"/>
          <w:sz w:val="24"/>
          <w:szCs w:val="24"/>
        </w:rPr>
        <w:t>)</w:t>
      </w:r>
      <w:r w:rsidR="007F7167" w:rsidRPr="0041522A">
        <w:rPr>
          <w:rFonts w:ascii="Cambria" w:hAnsi="Cambria"/>
          <w:sz w:val="24"/>
          <w:szCs w:val="24"/>
        </w:rPr>
        <w:t xml:space="preserve"> at preferential rates </w:t>
      </w:r>
      <w:r w:rsidR="004012E5" w:rsidRPr="0041522A">
        <w:rPr>
          <w:rFonts w:ascii="Cambria" w:hAnsi="Cambria"/>
          <w:sz w:val="24"/>
          <w:szCs w:val="24"/>
        </w:rPr>
        <w:t>to their</w:t>
      </w:r>
      <w:r w:rsidR="005D2DA1">
        <w:rPr>
          <w:rFonts w:ascii="Cambria" w:hAnsi="Cambria"/>
          <w:sz w:val="24"/>
          <w:szCs w:val="24"/>
        </w:rPr>
        <w:t xml:space="preserve"> 6,800 M</w:t>
      </w:r>
      <w:r w:rsidR="007F7167" w:rsidRPr="0041522A">
        <w:rPr>
          <w:rFonts w:ascii="Cambria" w:hAnsi="Cambria"/>
          <w:sz w:val="24"/>
          <w:szCs w:val="24"/>
        </w:rPr>
        <w:t>embers</w:t>
      </w:r>
      <w:r w:rsidR="007030F5" w:rsidRPr="0041522A">
        <w:rPr>
          <w:rFonts w:ascii="Cambria" w:hAnsi="Cambria"/>
          <w:sz w:val="24"/>
          <w:szCs w:val="24"/>
        </w:rPr>
        <w:t xml:space="preserve">, </w:t>
      </w:r>
      <w:r w:rsidR="005340C0" w:rsidRPr="0041522A">
        <w:rPr>
          <w:rFonts w:ascii="Cambria" w:hAnsi="Cambria"/>
          <w:sz w:val="24"/>
          <w:szCs w:val="24"/>
        </w:rPr>
        <w:t>a</w:t>
      </w:r>
      <w:r w:rsidR="007030F5" w:rsidRPr="0041522A">
        <w:rPr>
          <w:rFonts w:ascii="Cambria" w:hAnsi="Cambria"/>
          <w:sz w:val="24"/>
          <w:szCs w:val="24"/>
        </w:rPr>
        <w:t xml:space="preserve"> </w:t>
      </w:r>
      <w:r w:rsidR="00D37BD6" w:rsidRPr="0041522A">
        <w:rPr>
          <w:rFonts w:ascii="Cambria" w:hAnsi="Cambria"/>
          <w:sz w:val="24"/>
          <w:szCs w:val="24"/>
        </w:rPr>
        <w:t>significant</w:t>
      </w:r>
      <w:r w:rsidR="007030F5" w:rsidRPr="0041522A">
        <w:rPr>
          <w:rFonts w:ascii="Cambria" w:hAnsi="Cambria"/>
          <w:sz w:val="24"/>
          <w:szCs w:val="24"/>
        </w:rPr>
        <w:t xml:space="preserve"> </w:t>
      </w:r>
      <w:r w:rsidR="004012E5" w:rsidRPr="0041522A">
        <w:rPr>
          <w:rFonts w:ascii="Cambria" w:hAnsi="Cambria"/>
          <w:sz w:val="24"/>
          <w:szCs w:val="24"/>
        </w:rPr>
        <w:t>portion</w:t>
      </w:r>
      <w:r w:rsidR="007030F5" w:rsidRPr="0041522A">
        <w:rPr>
          <w:rFonts w:ascii="Cambria" w:hAnsi="Cambria"/>
          <w:sz w:val="24"/>
          <w:szCs w:val="24"/>
        </w:rPr>
        <w:t xml:space="preserve"> </w:t>
      </w:r>
      <w:r w:rsidR="007F30CB" w:rsidRPr="0041522A">
        <w:rPr>
          <w:rFonts w:ascii="Cambria" w:hAnsi="Cambria"/>
          <w:sz w:val="24"/>
          <w:szCs w:val="24"/>
        </w:rPr>
        <w:t xml:space="preserve">of which </w:t>
      </w:r>
      <w:r w:rsidR="005340C0" w:rsidRPr="0041522A">
        <w:rPr>
          <w:rFonts w:ascii="Cambria" w:hAnsi="Cambria"/>
          <w:sz w:val="24"/>
          <w:szCs w:val="24"/>
        </w:rPr>
        <w:t>are commercial banks and insurance companies that</w:t>
      </w:r>
      <w:r w:rsidR="00DB2B76" w:rsidRPr="0041522A">
        <w:rPr>
          <w:rFonts w:ascii="Cambria" w:hAnsi="Cambria"/>
          <w:sz w:val="24"/>
          <w:szCs w:val="24"/>
        </w:rPr>
        <w:t xml:space="preserve"> </w:t>
      </w:r>
      <w:r w:rsidR="005340C0" w:rsidRPr="0041522A">
        <w:rPr>
          <w:rFonts w:ascii="Cambria" w:hAnsi="Cambria"/>
          <w:sz w:val="24"/>
          <w:szCs w:val="24"/>
        </w:rPr>
        <w:t>do not do</w:t>
      </w:r>
      <w:r w:rsidR="007030F5" w:rsidRPr="0041522A">
        <w:rPr>
          <w:rFonts w:ascii="Cambria" w:hAnsi="Cambria"/>
          <w:sz w:val="24"/>
          <w:szCs w:val="24"/>
        </w:rPr>
        <w:t xml:space="preserve"> mortgage lending</w:t>
      </w:r>
      <w:r w:rsidR="00517D9D" w:rsidRPr="0041522A">
        <w:rPr>
          <w:rFonts w:ascii="Cambria" w:hAnsi="Cambria"/>
          <w:sz w:val="24"/>
          <w:szCs w:val="24"/>
        </w:rPr>
        <w:t xml:space="preserve"> as a core activity or at all</w:t>
      </w:r>
      <w:r w:rsidR="007F7167" w:rsidRPr="0041522A">
        <w:rPr>
          <w:rFonts w:ascii="Cambria" w:hAnsi="Cambria"/>
          <w:sz w:val="24"/>
          <w:szCs w:val="24"/>
        </w:rPr>
        <w:t>.</w:t>
      </w:r>
      <w:r w:rsidR="00F92991" w:rsidRPr="0041522A">
        <w:rPr>
          <w:rFonts w:ascii="Cambria" w:hAnsi="Cambria"/>
          <w:sz w:val="24"/>
          <w:szCs w:val="24"/>
        </w:rPr>
        <w:t xml:space="preserve"> At the same time, the severe underproduction of housing over the past decade</w:t>
      </w:r>
      <w:r w:rsidR="00B20657" w:rsidRPr="0041522A">
        <w:rPr>
          <w:rStyle w:val="EndnoteReference"/>
          <w:rFonts w:ascii="Cambria" w:hAnsi="Cambria"/>
          <w:sz w:val="24"/>
          <w:szCs w:val="24"/>
        </w:rPr>
        <w:endnoteReference w:id="1"/>
      </w:r>
      <w:r w:rsidR="00F92991" w:rsidRPr="0041522A">
        <w:rPr>
          <w:rFonts w:ascii="Cambria" w:hAnsi="Cambria"/>
          <w:sz w:val="24"/>
          <w:szCs w:val="24"/>
        </w:rPr>
        <w:t xml:space="preserve">, coupled with acute and worsening affordability, has resulted in a true national housing crisis.  </w:t>
      </w:r>
      <w:r w:rsidR="00F92991" w:rsidRPr="00C42219">
        <w:rPr>
          <w:rFonts w:ascii="Cambria" w:hAnsi="Cambria"/>
          <w:sz w:val="24"/>
          <w:szCs w:val="24"/>
        </w:rPr>
        <w:t xml:space="preserve">Fewer and fewer </w:t>
      </w:r>
      <w:r w:rsidR="0041522A" w:rsidRPr="00C42219">
        <w:rPr>
          <w:rFonts w:ascii="Cambria" w:hAnsi="Cambria"/>
          <w:sz w:val="24"/>
          <w:szCs w:val="24"/>
        </w:rPr>
        <w:t>lower income</w:t>
      </w:r>
      <w:r w:rsidR="00285F12" w:rsidRPr="00C42219">
        <w:rPr>
          <w:rFonts w:ascii="Cambria" w:hAnsi="Cambria"/>
          <w:sz w:val="24"/>
          <w:szCs w:val="24"/>
        </w:rPr>
        <w:t xml:space="preserve"> </w:t>
      </w:r>
      <w:r w:rsidR="00F92991" w:rsidRPr="00C42219">
        <w:rPr>
          <w:rFonts w:ascii="Cambria" w:hAnsi="Cambria"/>
          <w:sz w:val="24"/>
          <w:szCs w:val="24"/>
        </w:rPr>
        <w:t xml:space="preserve">households </w:t>
      </w:r>
      <w:r w:rsidR="00517D9D" w:rsidRPr="00C42219">
        <w:rPr>
          <w:rFonts w:ascii="Cambria" w:hAnsi="Cambria"/>
          <w:sz w:val="24"/>
          <w:szCs w:val="24"/>
        </w:rPr>
        <w:t>can</w:t>
      </w:r>
      <w:r w:rsidR="00F92991" w:rsidRPr="00C42219">
        <w:rPr>
          <w:rFonts w:ascii="Cambria" w:hAnsi="Cambria"/>
          <w:sz w:val="24"/>
          <w:szCs w:val="24"/>
        </w:rPr>
        <w:t xml:space="preserve"> attain the benefits of homeownership (e.g., housing cost stability, housing security, and equity appreciation); and </w:t>
      </w:r>
      <w:proofErr w:type="gramStart"/>
      <w:r w:rsidR="00F92991" w:rsidRPr="00C42219">
        <w:rPr>
          <w:rFonts w:ascii="Cambria" w:hAnsi="Cambria"/>
          <w:sz w:val="24"/>
          <w:szCs w:val="24"/>
        </w:rPr>
        <w:t xml:space="preserve">more </w:t>
      </w:r>
      <w:r w:rsidR="0041522A" w:rsidRPr="00C42219">
        <w:rPr>
          <w:rFonts w:ascii="Cambria" w:hAnsi="Cambria"/>
          <w:sz w:val="24"/>
          <w:szCs w:val="24"/>
        </w:rPr>
        <w:t>lower</w:t>
      </w:r>
      <w:proofErr w:type="gramEnd"/>
      <w:r w:rsidR="0041522A" w:rsidRPr="00C42219">
        <w:rPr>
          <w:rFonts w:ascii="Cambria" w:hAnsi="Cambria"/>
          <w:sz w:val="24"/>
          <w:szCs w:val="24"/>
        </w:rPr>
        <w:t xml:space="preserve"> income </w:t>
      </w:r>
      <w:r w:rsidR="00F92991" w:rsidRPr="00C42219">
        <w:rPr>
          <w:rFonts w:ascii="Cambria" w:hAnsi="Cambria"/>
          <w:sz w:val="24"/>
          <w:szCs w:val="24"/>
        </w:rPr>
        <w:t xml:space="preserve">families are housing-cost burdened and housing insecure. </w:t>
      </w:r>
      <w:r w:rsidR="0041522A" w:rsidRPr="00C42219">
        <w:rPr>
          <w:rFonts w:ascii="Cambria" w:hAnsi="Cambria"/>
          <w:sz w:val="24"/>
          <w:szCs w:val="24"/>
        </w:rPr>
        <w:t xml:space="preserve">  These problems are especially acute for Black and Latino families.</w:t>
      </w:r>
    </w:p>
    <w:p w14:paraId="43FD7ADF" w14:textId="3CB5A689" w:rsidR="00F92991" w:rsidRPr="0041522A" w:rsidRDefault="00C62D63" w:rsidP="00467747">
      <w:pPr>
        <w:rPr>
          <w:rFonts w:ascii="Cambria" w:hAnsi="Cambria"/>
          <w:sz w:val="24"/>
          <w:szCs w:val="24"/>
        </w:rPr>
      </w:pPr>
      <w:r w:rsidRPr="0041522A">
        <w:rPr>
          <w:rFonts w:ascii="Cambria" w:hAnsi="Cambria"/>
          <w:sz w:val="24"/>
          <w:szCs w:val="24"/>
        </w:rPr>
        <w:t>In this context, and a</w:t>
      </w:r>
      <w:r w:rsidR="00F92991" w:rsidRPr="0041522A">
        <w:rPr>
          <w:rFonts w:ascii="Cambria" w:hAnsi="Cambria"/>
          <w:sz w:val="24"/>
          <w:szCs w:val="24"/>
        </w:rPr>
        <w:t xml:space="preserve">fter taking into account </w:t>
      </w:r>
      <w:r w:rsidR="008B421E" w:rsidRPr="0041522A">
        <w:rPr>
          <w:rFonts w:ascii="Cambria" w:hAnsi="Cambria"/>
          <w:sz w:val="24"/>
          <w:szCs w:val="24"/>
        </w:rPr>
        <w:t xml:space="preserve">the </w:t>
      </w:r>
      <w:r w:rsidR="00F92991" w:rsidRPr="0041522A">
        <w:rPr>
          <w:rFonts w:ascii="Cambria" w:hAnsi="Cambria"/>
          <w:sz w:val="24"/>
          <w:szCs w:val="24"/>
        </w:rPr>
        <w:t xml:space="preserve">statutorily-mandated contributions </w:t>
      </w:r>
      <w:r w:rsidR="008B421E" w:rsidRPr="0041522A">
        <w:rPr>
          <w:rFonts w:ascii="Cambria" w:hAnsi="Cambria"/>
          <w:sz w:val="24"/>
          <w:szCs w:val="24"/>
        </w:rPr>
        <w:t>of</w:t>
      </w:r>
      <w:r w:rsidR="007F30CB" w:rsidRPr="0041522A">
        <w:rPr>
          <w:rFonts w:ascii="Cambria" w:hAnsi="Cambria"/>
          <w:sz w:val="24"/>
          <w:szCs w:val="24"/>
        </w:rPr>
        <w:t xml:space="preserve"> the FHLBs</w:t>
      </w:r>
      <w:r w:rsidR="00517D9D" w:rsidRPr="0041522A">
        <w:rPr>
          <w:rFonts w:ascii="Cambria" w:hAnsi="Cambria"/>
          <w:sz w:val="24"/>
          <w:szCs w:val="24"/>
        </w:rPr>
        <w:t>,</w:t>
      </w:r>
      <w:r w:rsidR="00F92991" w:rsidRPr="0041522A">
        <w:rPr>
          <w:rFonts w:ascii="Cambria" w:hAnsi="Cambria"/>
          <w:sz w:val="24"/>
          <w:szCs w:val="24"/>
        </w:rPr>
        <w:t xml:space="preserve"> such as to the Affordable Housing Program (AHP)</w:t>
      </w:r>
      <w:r w:rsidR="008B421E" w:rsidRPr="0041522A">
        <w:rPr>
          <w:rFonts w:ascii="Cambria" w:hAnsi="Cambria"/>
          <w:sz w:val="24"/>
          <w:szCs w:val="24"/>
        </w:rPr>
        <w:t>,</w:t>
      </w:r>
      <w:r w:rsidR="00F92991" w:rsidRPr="0041522A">
        <w:rPr>
          <w:rStyle w:val="EndnoteReference"/>
          <w:rFonts w:ascii="Cambria" w:hAnsi="Cambria"/>
          <w:sz w:val="24"/>
          <w:szCs w:val="24"/>
        </w:rPr>
        <w:endnoteReference w:id="2"/>
      </w:r>
      <w:r w:rsidR="00590575">
        <w:rPr>
          <w:rFonts w:ascii="Cambria" w:hAnsi="Cambria"/>
          <w:sz w:val="24"/>
          <w:szCs w:val="24"/>
        </w:rPr>
        <w:t xml:space="preserve"> </w:t>
      </w:r>
      <w:r w:rsidR="00F92991" w:rsidRPr="0041522A">
        <w:rPr>
          <w:rFonts w:ascii="Cambria" w:hAnsi="Cambria"/>
          <w:sz w:val="24"/>
          <w:szCs w:val="24"/>
        </w:rPr>
        <w:t xml:space="preserve">as well as voluntary contributions </w:t>
      </w:r>
      <w:r w:rsidR="007F30CB" w:rsidRPr="0041522A">
        <w:rPr>
          <w:rFonts w:ascii="Cambria" w:hAnsi="Cambria"/>
          <w:sz w:val="24"/>
          <w:szCs w:val="24"/>
        </w:rPr>
        <w:t xml:space="preserve">to </w:t>
      </w:r>
      <w:r w:rsidR="00517D9D" w:rsidRPr="0041522A">
        <w:rPr>
          <w:rFonts w:ascii="Cambria" w:hAnsi="Cambria"/>
          <w:sz w:val="24"/>
          <w:szCs w:val="24"/>
        </w:rPr>
        <w:t xml:space="preserve">other </w:t>
      </w:r>
      <w:r w:rsidR="007F30CB" w:rsidRPr="0041522A">
        <w:rPr>
          <w:rFonts w:ascii="Cambria" w:hAnsi="Cambria"/>
          <w:sz w:val="24"/>
          <w:szCs w:val="24"/>
        </w:rPr>
        <w:t>affordability initiatives</w:t>
      </w:r>
      <w:r w:rsidR="00F92991" w:rsidRPr="0041522A">
        <w:rPr>
          <w:rFonts w:ascii="Cambria" w:hAnsi="Cambria"/>
          <w:sz w:val="24"/>
          <w:szCs w:val="24"/>
        </w:rPr>
        <w:t xml:space="preserve">, </w:t>
      </w:r>
      <w:r w:rsidR="00F92991" w:rsidRPr="0041522A">
        <w:rPr>
          <w:rFonts w:ascii="Cambria" w:hAnsi="Cambria"/>
          <w:b/>
          <w:sz w:val="24"/>
          <w:szCs w:val="24"/>
        </w:rPr>
        <w:t>the sustained level of</w:t>
      </w:r>
      <w:r w:rsidR="008B421E" w:rsidRPr="0041522A">
        <w:rPr>
          <w:rFonts w:ascii="Cambria" w:hAnsi="Cambria"/>
          <w:b/>
          <w:sz w:val="24"/>
          <w:szCs w:val="24"/>
        </w:rPr>
        <w:t xml:space="preserve"> FHL</w:t>
      </w:r>
      <w:r w:rsidR="007F30CB" w:rsidRPr="0041522A">
        <w:rPr>
          <w:rFonts w:ascii="Cambria" w:hAnsi="Cambria"/>
          <w:b/>
          <w:sz w:val="24"/>
          <w:szCs w:val="24"/>
        </w:rPr>
        <w:t>B S</w:t>
      </w:r>
      <w:r w:rsidR="00F92991" w:rsidRPr="0041522A">
        <w:rPr>
          <w:rFonts w:ascii="Cambria" w:hAnsi="Cambria"/>
          <w:b/>
          <w:sz w:val="24"/>
          <w:szCs w:val="24"/>
        </w:rPr>
        <w:t xml:space="preserve">ystem profitability suggests that the public benefit commitment </w:t>
      </w:r>
      <w:r w:rsidR="007F30CB" w:rsidRPr="0041522A">
        <w:rPr>
          <w:rFonts w:ascii="Cambria" w:hAnsi="Cambria"/>
          <w:b/>
          <w:sz w:val="24"/>
          <w:szCs w:val="24"/>
        </w:rPr>
        <w:t xml:space="preserve">of the FHLBs </w:t>
      </w:r>
      <w:r w:rsidR="00F92991" w:rsidRPr="0041522A">
        <w:rPr>
          <w:rFonts w:ascii="Cambria" w:hAnsi="Cambria"/>
          <w:b/>
          <w:sz w:val="24"/>
          <w:szCs w:val="24"/>
        </w:rPr>
        <w:t xml:space="preserve">could be increased without compromising system safety and soundness or other important </w:t>
      </w:r>
      <w:r w:rsidR="005D2DA1">
        <w:rPr>
          <w:rFonts w:ascii="Cambria" w:hAnsi="Cambria"/>
          <w:b/>
          <w:sz w:val="24"/>
          <w:szCs w:val="24"/>
        </w:rPr>
        <w:t>m</w:t>
      </w:r>
      <w:r w:rsidR="00F92991" w:rsidRPr="0041522A">
        <w:rPr>
          <w:rFonts w:ascii="Cambria" w:hAnsi="Cambria"/>
          <w:b/>
          <w:sz w:val="24"/>
          <w:szCs w:val="24"/>
        </w:rPr>
        <w:t>ember considerations.</w:t>
      </w:r>
      <w:r w:rsidR="00F92991" w:rsidRPr="0041522A">
        <w:rPr>
          <w:rFonts w:ascii="Cambria" w:hAnsi="Cambria"/>
          <w:b/>
          <w:i/>
          <w:sz w:val="24"/>
          <w:szCs w:val="24"/>
        </w:rPr>
        <w:t xml:space="preserve"> </w:t>
      </w:r>
      <w:r w:rsidR="00F92991" w:rsidRPr="0041522A">
        <w:rPr>
          <w:rFonts w:ascii="Cambria" w:hAnsi="Cambria"/>
          <w:sz w:val="24"/>
          <w:szCs w:val="24"/>
        </w:rPr>
        <w:t xml:space="preserve">In 2021, for example, mandatory contributions to AHP </w:t>
      </w:r>
      <w:r w:rsidR="00517D9D" w:rsidRPr="0041522A">
        <w:rPr>
          <w:rFonts w:ascii="Cambria" w:hAnsi="Cambria"/>
          <w:sz w:val="24"/>
          <w:szCs w:val="24"/>
        </w:rPr>
        <w:t xml:space="preserve">by the Banks </w:t>
      </w:r>
      <w:r w:rsidR="00F92991" w:rsidRPr="0041522A">
        <w:rPr>
          <w:rFonts w:ascii="Cambria" w:hAnsi="Cambria"/>
          <w:sz w:val="24"/>
          <w:szCs w:val="24"/>
        </w:rPr>
        <w:t>totaled $201 million</w:t>
      </w:r>
      <w:r w:rsidR="00590575">
        <w:rPr>
          <w:rStyle w:val="EndnoteReference"/>
          <w:rFonts w:ascii="Cambria" w:hAnsi="Cambria"/>
          <w:sz w:val="24"/>
          <w:szCs w:val="24"/>
        </w:rPr>
        <w:endnoteReference w:id="3"/>
      </w:r>
      <w:r w:rsidR="00D74F13">
        <w:rPr>
          <w:rFonts w:ascii="Cambria" w:hAnsi="Cambria"/>
          <w:sz w:val="24"/>
          <w:szCs w:val="24"/>
        </w:rPr>
        <w:t>,</w:t>
      </w:r>
      <w:r w:rsidR="00F92991" w:rsidRPr="0041522A">
        <w:rPr>
          <w:rFonts w:ascii="Cambria" w:hAnsi="Cambria"/>
          <w:sz w:val="24"/>
          <w:szCs w:val="24"/>
        </w:rPr>
        <w:t xml:space="preserve"> and </w:t>
      </w:r>
      <w:r w:rsidR="00D74F13">
        <w:rPr>
          <w:rFonts w:ascii="Cambria" w:hAnsi="Cambria"/>
          <w:sz w:val="24"/>
          <w:szCs w:val="24"/>
        </w:rPr>
        <w:t>AHP awards totaled $354 million</w:t>
      </w:r>
      <w:r w:rsidR="00590575">
        <w:rPr>
          <w:rStyle w:val="EndnoteReference"/>
          <w:rFonts w:ascii="Cambria" w:hAnsi="Cambria"/>
          <w:sz w:val="24"/>
          <w:szCs w:val="24"/>
        </w:rPr>
        <w:endnoteReference w:id="4"/>
      </w:r>
      <w:r w:rsidR="00D74F13">
        <w:rPr>
          <w:rFonts w:ascii="Cambria" w:hAnsi="Cambria"/>
          <w:sz w:val="24"/>
          <w:szCs w:val="24"/>
        </w:rPr>
        <w:t>;</w:t>
      </w:r>
      <w:r w:rsidR="00F92991" w:rsidRPr="0041522A">
        <w:rPr>
          <w:rFonts w:ascii="Cambria" w:hAnsi="Cambria"/>
          <w:sz w:val="24"/>
          <w:szCs w:val="24"/>
        </w:rPr>
        <w:t xml:space="preserve"> whereas the combined net income of the FHLBs </w:t>
      </w:r>
      <w:r w:rsidR="00517D9D" w:rsidRPr="0041522A">
        <w:rPr>
          <w:rFonts w:ascii="Cambria" w:hAnsi="Cambria"/>
          <w:sz w:val="24"/>
          <w:szCs w:val="24"/>
        </w:rPr>
        <w:t xml:space="preserve">in 2021 </w:t>
      </w:r>
      <w:r w:rsidR="00F92991" w:rsidRPr="0041522A">
        <w:rPr>
          <w:rFonts w:ascii="Cambria" w:hAnsi="Cambria"/>
          <w:sz w:val="24"/>
          <w:szCs w:val="24"/>
        </w:rPr>
        <w:t>totaled $1.77 billion (after AHP contributions)</w:t>
      </w:r>
      <w:r w:rsidR="00F92991" w:rsidRPr="0041522A">
        <w:rPr>
          <w:rStyle w:val="EndnoteReference"/>
          <w:rFonts w:ascii="Cambria" w:hAnsi="Cambria"/>
          <w:sz w:val="24"/>
          <w:szCs w:val="24"/>
        </w:rPr>
        <w:endnoteReference w:id="5"/>
      </w:r>
      <w:r w:rsidR="00D74F13">
        <w:rPr>
          <w:rFonts w:ascii="Cambria" w:hAnsi="Cambria"/>
          <w:sz w:val="24"/>
          <w:szCs w:val="24"/>
        </w:rPr>
        <w:t>,</w:t>
      </w:r>
      <w:r w:rsidR="00F92991" w:rsidRPr="0041522A">
        <w:rPr>
          <w:rFonts w:ascii="Cambria" w:hAnsi="Cambria"/>
          <w:sz w:val="24"/>
          <w:szCs w:val="24"/>
        </w:rPr>
        <w:t xml:space="preserve"> and dividends paid to </w:t>
      </w:r>
      <w:r w:rsidR="00517D9D" w:rsidRPr="0041522A">
        <w:rPr>
          <w:rFonts w:ascii="Cambria" w:hAnsi="Cambria"/>
          <w:sz w:val="24"/>
          <w:szCs w:val="24"/>
        </w:rPr>
        <w:t xml:space="preserve">Members </w:t>
      </w:r>
      <w:r w:rsidR="00F92991" w:rsidRPr="0041522A">
        <w:rPr>
          <w:rFonts w:ascii="Cambria" w:hAnsi="Cambria"/>
          <w:sz w:val="24"/>
          <w:szCs w:val="24"/>
        </w:rPr>
        <w:t>totaled $1 billion</w:t>
      </w:r>
      <w:r w:rsidR="00F92991" w:rsidRPr="0041522A">
        <w:rPr>
          <w:rStyle w:val="EndnoteReference"/>
          <w:rFonts w:ascii="Cambria" w:hAnsi="Cambria"/>
          <w:sz w:val="24"/>
          <w:szCs w:val="24"/>
        </w:rPr>
        <w:endnoteReference w:id="6"/>
      </w:r>
      <w:r w:rsidR="00F92991" w:rsidRPr="0041522A">
        <w:rPr>
          <w:rFonts w:ascii="Cambria" w:hAnsi="Cambria"/>
          <w:sz w:val="24"/>
          <w:szCs w:val="24"/>
        </w:rPr>
        <w:t xml:space="preserve">. </w:t>
      </w:r>
      <w:proofErr w:type="spellStart"/>
      <w:r w:rsidR="00F92991" w:rsidRPr="0041522A">
        <w:rPr>
          <w:rFonts w:ascii="Cambria" w:hAnsi="Cambria"/>
          <w:b/>
          <w:sz w:val="24"/>
          <w:szCs w:val="24"/>
        </w:rPr>
        <w:t>FHLB</w:t>
      </w:r>
      <w:r w:rsidR="008B421E" w:rsidRPr="0041522A">
        <w:rPr>
          <w:rFonts w:ascii="Cambria" w:hAnsi="Cambria"/>
          <w:b/>
          <w:sz w:val="24"/>
          <w:szCs w:val="24"/>
        </w:rPr>
        <w:t>ank</w:t>
      </w:r>
      <w:r w:rsidR="00F92991" w:rsidRPr="0041522A">
        <w:rPr>
          <w:rFonts w:ascii="Cambria" w:hAnsi="Cambria"/>
          <w:b/>
          <w:sz w:val="24"/>
          <w:szCs w:val="24"/>
        </w:rPr>
        <w:t>s</w:t>
      </w:r>
      <w:proofErr w:type="spellEnd"/>
      <w:r w:rsidR="00F92991" w:rsidRPr="0041522A">
        <w:rPr>
          <w:rFonts w:ascii="Cambria" w:hAnsi="Cambria"/>
          <w:b/>
          <w:sz w:val="24"/>
          <w:szCs w:val="24"/>
        </w:rPr>
        <w:t xml:space="preserve"> </w:t>
      </w:r>
      <w:r w:rsidR="00F92991" w:rsidRPr="0041522A">
        <w:rPr>
          <w:rFonts w:ascii="Cambria" w:hAnsi="Cambria"/>
          <w:b/>
          <w:i/>
          <w:sz w:val="24"/>
          <w:szCs w:val="24"/>
          <w:u w:val="single"/>
        </w:rPr>
        <w:t>can and should</w:t>
      </w:r>
      <w:r w:rsidR="00F92991" w:rsidRPr="0041522A">
        <w:rPr>
          <w:rFonts w:ascii="Cambria" w:hAnsi="Cambria"/>
          <w:b/>
          <w:sz w:val="24"/>
          <w:szCs w:val="24"/>
        </w:rPr>
        <w:t xml:space="preserve"> do more to advance their public benefit purpose</w:t>
      </w:r>
      <w:r w:rsidR="00F92991" w:rsidRPr="0041522A">
        <w:rPr>
          <w:rFonts w:ascii="Cambria" w:hAnsi="Cambria"/>
          <w:sz w:val="24"/>
          <w:szCs w:val="24"/>
        </w:rPr>
        <w:t xml:space="preserve"> </w:t>
      </w:r>
      <w:r w:rsidR="00F92991" w:rsidRPr="0041522A">
        <w:rPr>
          <w:rFonts w:ascii="Cambria" w:hAnsi="Cambria"/>
          <w:b/>
          <w:sz w:val="24"/>
          <w:szCs w:val="24"/>
        </w:rPr>
        <w:t xml:space="preserve">and </w:t>
      </w:r>
      <w:r w:rsidR="00517D9D" w:rsidRPr="0041522A">
        <w:rPr>
          <w:rFonts w:ascii="Cambria" w:hAnsi="Cambria"/>
          <w:b/>
          <w:sz w:val="24"/>
          <w:szCs w:val="24"/>
        </w:rPr>
        <w:t xml:space="preserve">mission </w:t>
      </w:r>
      <w:r w:rsidR="00F92991" w:rsidRPr="0041522A">
        <w:rPr>
          <w:rFonts w:ascii="Cambria" w:hAnsi="Cambria"/>
          <w:b/>
          <w:sz w:val="24"/>
          <w:szCs w:val="24"/>
        </w:rPr>
        <w:t>outcomes</w:t>
      </w:r>
      <w:r w:rsidR="00F92991" w:rsidRPr="0041522A">
        <w:rPr>
          <w:rFonts w:ascii="Cambria" w:hAnsi="Cambria"/>
          <w:sz w:val="24"/>
          <w:szCs w:val="24"/>
        </w:rPr>
        <w:t xml:space="preserve"> </w:t>
      </w:r>
      <w:r w:rsidR="00F92991" w:rsidRPr="0041522A">
        <w:rPr>
          <w:rFonts w:ascii="Cambria" w:hAnsi="Cambria"/>
          <w:b/>
          <w:sz w:val="24"/>
          <w:szCs w:val="24"/>
        </w:rPr>
        <w:t>at year 90 and beyond</w:t>
      </w:r>
      <w:r w:rsidR="008B421E" w:rsidRPr="0041522A">
        <w:rPr>
          <w:rFonts w:ascii="Cambria" w:hAnsi="Cambria"/>
          <w:b/>
          <w:sz w:val="24"/>
          <w:szCs w:val="24"/>
        </w:rPr>
        <w:t>. A</w:t>
      </w:r>
      <w:r w:rsidR="00F92991" w:rsidRPr="0041522A">
        <w:rPr>
          <w:rFonts w:ascii="Cambria" w:hAnsi="Cambria"/>
          <w:b/>
          <w:sz w:val="24"/>
          <w:szCs w:val="24"/>
        </w:rPr>
        <w:t xml:space="preserve">s the FHFA conducts a comprehensive review of </w:t>
      </w:r>
      <w:r w:rsidR="008B421E" w:rsidRPr="0041522A">
        <w:rPr>
          <w:rFonts w:ascii="Cambria" w:hAnsi="Cambria"/>
          <w:b/>
          <w:sz w:val="24"/>
          <w:szCs w:val="24"/>
        </w:rPr>
        <w:t xml:space="preserve">the </w:t>
      </w:r>
      <w:r w:rsidR="00F92991" w:rsidRPr="0041522A">
        <w:rPr>
          <w:rFonts w:ascii="Cambria" w:hAnsi="Cambria"/>
          <w:b/>
          <w:sz w:val="24"/>
          <w:szCs w:val="24"/>
        </w:rPr>
        <w:t xml:space="preserve">system, we call upon the </w:t>
      </w:r>
      <w:proofErr w:type="spellStart"/>
      <w:r w:rsidR="00F92991" w:rsidRPr="0041522A">
        <w:rPr>
          <w:rFonts w:ascii="Cambria" w:hAnsi="Cambria"/>
          <w:b/>
          <w:sz w:val="24"/>
          <w:szCs w:val="24"/>
        </w:rPr>
        <w:t>FHLB</w:t>
      </w:r>
      <w:r w:rsidR="008B421E" w:rsidRPr="0041522A">
        <w:rPr>
          <w:rFonts w:ascii="Cambria" w:hAnsi="Cambria"/>
          <w:b/>
          <w:sz w:val="24"/>
          <w:szCs w:val="24"/>
        </w:rPr>
        <w:t>ank</w:t>
      </w:r>
      <w:r w:rsidR="00F92991" w:rsidRPr="0041522A">
        <w:rPr>
          <w:rFonts w:ascii="Cambria" w:hAnsi="Cambria"/>
          <w:b/>
          <w:sz w:val="24"/>
          <w:szCs w:val="24"/>
        </w:rPr>
        <w:t>s</w:t>
      </w:r>
      <w:proofErr w:type="spellEnd"/>
      <w:r w:rsidR="00F92991" w:rsidRPr="0041522A">
        <w:rPr>
          <w:rFonts w:ascii="Cambria" w:hAnsi="Cambria"/>
          <w:b/>
          <w:sz w:val="24"/>
          <w:szCs w:val="24"/>
        </w:rPr>
        <w:t xml:space="preserve"> to do so.</w:t>
      </w:r>
      <w:r w:rsidR="00F92991" w:rsidRPr="0041522A">
        <w:rPr>
          <w:rFonts w:ascii="Cambria" w:hAnsi="Cambria"/>
          <w:sz w:val="24"/>
          <w:szCs w:val="24"/>
        </w:rPr>
        <w:t xml:space="preserve">    </w:t>
      </w:r>
    </w:p>
    <w:p w14:paraId="423EA1A8" w14:textId="7688923A" w:rsidR="00F92991" w:rsidRPr="0041522A" w:rsidRDefault="00F92991" w:rsidP="00467747">
      <w:pPr>
        <w:rPr>
          <w:rFonts w:ascii="Cambria" w:hAnsi="Cambria"/>
          <w:sz w:val="24"/>
          <w:szCs w:val="24"/>
        </w:rPr>
      </w:pPr>
      <w:r w:rsidRPr="0041522A">
        <w:rPr>
          <w:rFonts w:ascii="Cambria" w:hAnsi="Cambria"/>
          <w:sz w:val="24"/>
          <w:szCs w:val="24"/>
        </w:rPr>
        <w:lastRenderedPageBreak/>
        <w:t xml:space="preserve">The need for increased </w:t>
      </w:r>
      <w:r w:rsidR="00C62D63" w:rsidRPr="0041522A">
        <w:rPr>
          <w:rFonts w:ascii="Cambria" w:hAnsi="Cambria"/>
          <w:sz w:val="24"/>
          <w:szCs w:val="24"/>
        </w:rPr>
        <w:t xml:space="preserve">mission </w:t>
      </w:r>
      <w:r w:rsidRPr="0041522A">
        <w:rPr>
          <w:rFonts w:ascii="Cambria" w:hAnsi="Cambria"/>
          <w:sz w:val="24"/>
          <w:szCs w:val="24"/>
        </w:rPr>
        <w:t xml:space="preserve">investments by the FHLBs is especially pronounced in underserved </w:t>
      </w:r>
      <w:r w:rsidR="0041522A">
        <w:rPr>
          <w:rFonts w:ascii="Cambria" w:hAnsi="Cambria"/>
          <w:sz w:val="24"/>
          <w:szCs w:val="24"/>
        </w:rPr>
        <w:t xml:space="preserve">low and moderate income </w:t>
      </w:r>
      <w:r w:rsidR="00D74F13">
        <w:rPr>
          <w:rFonts w:ascii="Cambria" w:hAnsi="Cambria"/>
          <w:sz w:val="24"/>
          <w:szCs w:val="24"/>
        </w:rPr>
        <w:t xml:space="preserve">(LMI) </w:t>
      </w:r>
      <w:r w:rsidRPr="0041522A">
        <w:rPr>
          <w:rFonts w:ascii="Cambria" w:hAnsi="Cambria"/>
          <w:sz w:val="24"/>
          <w:szCs w:val="24"/>
        </w:rPr>
        <w:t>communities, where non-depository CDFI</w:t>
      </w:r>
      <w:r w:rsidR="00C62D63" w:rsidRPr="0041522A">
        <w:rPr>
          <w:rFonts w:ascii="Cambria" w:hAnsi="Cambria"/>
          <w:sz w:val="24"/>
          <w:szCs w:val="24"/>
        </w:rPr>
        <w:t xml:space="preserve">s </w:t>
      </w:r>
      <w:r w:rsidRPr="0041522A">
        <w:rPr>
          <w:rFonts w:ascii="Cambria" w:hAnsi="Cambria"/>
          <w:sz w:val="24"/>
          <w:szCs w:val="24"/>
        </w:rPr>
        <w:t>focus their work</w:t>
      </w:r>
      <w:r w:rsidR="00C62D63" w:rsidRPr="0041522A">
        <w:rPr>
          <w:rFonts w:ascii="Cambria" w:hAnsi="Cambria"/>
          <w:sz w:val="24"/>
          <w:szCs w:val="24"/>
        </w:rPr>
        <w:t xml:space="preserve"> </w:t>
      </w:r>
      <w:r w:rsidRPr="0041522A">
        <w:rPr>
          <w:rFonts w:ascii="Cambria" w:hAnsi="Cambria"/>
          <w:sz w:val="24"/>
          <w:szCs w:val="24"/>
        </w:rPr>
        <w:t xml:space="preserve">but many other financial institutions do not. By </w:t>
      </w:r>
      <w:r w:rsidR="00C62D63" w:rsidRPr="0041522A">
        <w:rPr>
          <w:rFonts w:ascii="Cambria" w:hAnsi="Cambria"/>
          <w:sz w:val="24"/>
          <w:szCs w:val="24"/>
        </w:rPr>
        <w:t>increasing the number of non-depository CDFI Members across t</w:t>
      </w:r>
      <w:r w:rsidR="00D63DFB">
        <w:rPr>
          <w:rFonts w:ascii="Cambria" w:hAnsi="Cambria"/>
          <w:sz w:val="24"/>
          <w:szCs w:val="24"/>
        </w:rPr>
        <w:t>he system,</w:t>
      </w:r>
      <w:r w:rsidR="00C62D63" w:rsidRPr="0041522A">
        <w:rPr>
          <w:rFonts w:ascii="Cambria" w:hAnsi="Cambria"/>
          <w:sz w:val="24"/>
          <w:szCs w:val="24"/>
        </w:rPr>
        <w:t xml:space="preserve"> and scaling innovative </w:t>
      </w:r>
      <w:r w:rsidRPr="0041522A">
        <w:rPr>
          <w:rFonts w:ascii="Cambria" w:hAnsi="Cambria"/>
          <w:sz w:val="24"/>
          <w:szCs w:val="24"/>
        </w:rPr>
        <w:t>partner</w:t>
      </w:r>
      <w:r w:rsidR="00C62D63" w:rsidRPr="0041522A">
        <w:rPr>
          <w:rFonts w:ascii="Cambria" w:hAnsi="Cambria"/>
          <w:sz w:val="24"/>
          <w:szCs w:val="24"/>
        </w:rPr>
        <w:t xml:space="preserve">ships </w:t>
      </w:r>
      <w:r w:rsidR="00C24B53">
        <w:rPr>
          <w:rFonts w:ascii="Cambria" w:hAnsi="Cambria"/>
          <w:sz w:val="24"/>
          <w:szCs w:val="24"/>
        </w:rPr>
        <w:t>-</w:t>
      </w:r>
      <w:r w:rsidR="00AC26AD" w:rsidRPr="0041522A">
        <w:rPr>
          <w:rFonts w:ascii="Cambria" w:hAnsi="Cambria"/>
          <w:sz w:val="24"/>
          <w:szCs w:val="24"/>
        </w:rPr>
        <w:t xml:space="preserve">both </w:t>
      </w:r>
      <w:r w:rsidRPr="0041522A">
        <w:rPr>
          <w:rFonts w:ascii="Cambria" w:hAnsi="Cambria"/>
          <w:sz w:val="24"/>
          <w:szCs w:val="24"/>
        </w:rPr>
        <w:t>through the CDFI-FHLB Working Group</w:t>
      </w:r>
      <w:r w:rsidR="00AC26AD" w:rsidRPr="0041522A">
        <w:rPr>
          <w:rFonts w:ascii="Cambria" w:hAnsi="Cambria"/>
          <w:sz w:val="24"/>
          <w:szCs w:val="24"/>
        </w:rPr>
        <w:t xml:space="preserve"> and </w:t>
      </w:r>
      <w:r w:rsidR="00C62D63" w:rsidRPr="0041522A">
        <w:rPr>
          <w:rFonts w:ascii="Cambria" w:hAnsi="Cambria"/>
          <w:sz w:val="24"/>
          <w:szCs w:val="24"/>
        </w:rPr>
        <w:t>as</w:t>
      </w:r>
      <w:r w:rsidR="00AC26AD" w:rsidRPr="0041522A">
        <w:rPr>
          <w:rFonts w:ascii="Cambria" w:hAnsi="Cambria"/>
          <w:sz w:val="24"/>
          <w:szCs w:val="24"/>
        </w:rPr>
        <w:t xml:space="preserve"> proposed below</w:t>
      </w:r>
      <w:r w:rsidR="009F6C05">
        <w:rPr>
          <w:rFonts w:ascii="Cambria" w:hAnsi="Cambria"/>
          <w:sz w:val="24"/>
          <w:szCs w:val="24"/>
        </w:rPr>
        <w:t>-</w:t>
      </w:r>
      <w:r w:rsidRPr="0041522A">
        <w:rPr>
          <w:rFonts w:ascii="Cambria" w:hAnsi="Cambria"/>
          <w:sz w:val="24"/>
          <w:szCs w:val="24"/>
        </w:rPr>
        <w:t xml:space="preserve"> FHLBs can generate significantly greater</w:t>
      </w:r>
      <w:r w:rsidR="009F6C05">
        <w:rPr>
          <w:rFonts w:ascii="Cambria" w:hAnsi="Cambria"/>
          <w:sz w:val="24"/>
          <w:szCs w:val="24"/>
        </w:rPr>
        <w:t xml:space="preserve"> mission impact in ways that</w:t>
      </w:r>
      <w:r w:rsidRPr="0041522A">
        <w:rPr>
          <w:rFonts w:ascii="Cambria" w:hAnsi="Cambria"/>
          <w:sz w:val="24"/>
          <w:szCs w:val="24"/>
        </w:rPr>
        <w:t xml:space="preserve"> also strengthen core business activities and bottom line profitability.   The Homeownership Alliance</w:t>
      </w:r>
      <w:r w:rsidRPr="0041522A">
        <w:rPr>
          <w:rStyle w:val="EndnoteReference"/>
          <w:rFonts w:ascii="Cambria" w:hAnsi="Cambria"/>
          <w:sz w:val="24"/>
          <w:szCs w:val="24"/>
        </w:rPr>
        <w:endnoteReference w:id="7"/>
      </w:r>
      <w:r w:rsidRPr="0041522A">
        <w:rPr>
          <w:rFonts w:ascii="Cambria" w:hAnsi="Cambria"/>
          <w:sz w:val="24"/>
          <w:szCs w:val="24"/>
        </w:rPr>
        <w:t xml:space="preserve">, a </w:t>
      </w:r>
      <w:r w:rsidR="00AC26AD" w:rsidRPr="0041522A">
        <w:rPr>
          <w:rFonts w:ascii="Cambria" w:hAnsi="Cambria"/>
          <w:sz w:val="24"/>
          <w:szCs w:val="24"/>
        </w:rPr>
        <w:t xml:space="preserve">policy </w:t>
      </w:r>
      <w:r w:rsidRPr="0041522A">
        <w:rPr>
          <w:rFonts w:ascii="Cambria" w:hAnsi="Cambria"/>
          <w:sz w:val="24"/>
          <w:szCs w:val="24"/>
        </w:rPr>
        <w:t>collaborative of 31 CDFIs and leading nonprofit affordable housing developers from 19 states offers the following recommendations for consideration b</w:t>
      </w:r>
      <w:r w:rsidR="00AC26AD" w:rsidRPr="0041522A">
        <w:rPr>
          <w:rFonts w:ascii="Cambria" w:hAnsi="Cambria"/>
          <w:sz w:val="24"/>
          <w:szCs w:val="24"/>
        </w:rPr>
        <w:t>y the</w:t>
      </w:r>
      <w:r w:rsidRPr="0041522A">
        <w:rPr>
          <w:rFonts w:ascii="Cambria" w:hAnsi="Cambria"/>
          <w:sz w:val="24"/>
          <w:szCs w:val="24"/>
        </w:rPr>
        <w:t xml:space="preserve"> FHFA and </w:t>
      </w:r>
      <w:r w:rsidR="00C62D63" w:rsidRPr="0041522A">
        <w:rPr>
          <w:rFonts w:ascii="Cambria" w:hAnsi="Cambria"/>
          <w:sz w:val="24"/>
          <w:szCs w:val="24"/>
        </w:rPr>
        <w:t xml:space="preserve">the </w:t>
      </w:r>
      <w:r w:rsidRPr="0041522A">
        <w:rPr>
          <w:rFonts w:ascii="Cambria" w:hAnsi="Cambria"/>
          <w:sz w:val="24"/>
          <w:szCs w:val="24"/>
        </w:rPr>
        <w:t>FHLB</w:t>
      </w:r>
      <w:r w:rsidR="00C62D63" w:rsidRPr="0041522A">
        <w:rPr>
          <w:rFonts w:ascii="Cambria" w:hAnsi="Cambria"/>
          <w:sz w:val="24"/>
          <w:szCs w:val="24"/>
        </w:rPr>
        <w:t xml:space="preserve"> System</w:t>
      </w:r>
      <w:r w:rsidRPr="0041522A">
        <w:rPr>
          <w:rFonts w:ascii="Cambria" w:hAnsi="Cambria"/>
          <w:sz w:val="24"/>
          <w:szCs w:val="24"/>
        </w:rPr>
        <w:t>.</w:t>
      </w:r>
    </w:p>
    <w:p w14:paraId="619FD1FB" w14:textId="454001DD" w:rsidR="00F92991" w:rsidRPr="0041522A" w:rsidRDefault="00F92991" w:rsidP="00F56237">
      <w:pPr>
        <w:rPr>
          <w:rFonts w:ascii="Cambria" w:hAnsi="Cambria"/>
          <w:b/>
          <w:sz w:val="24"/>
          <w:szCs w:val="24"/>
          <w:u w:val="single"/>
        </w:rPr>
      </w:pPr>
      <w:r w:rsidRPr="0041522A">
        <w:rPr>
          <w:rFonts w:ascii="Cambria" w:hAnsi="Cambria"/>
          <w:b/>
          <w:sz w:val="24"/>
          <w:szCs w:val="24"/>
          <w:u w:val="single"/>
        </w:rPr>
        <w:t>Recommendations</w:t>
      </w:r>
    </w:p>
    <w:p w14:paraId="5AF8B06F" w14:textId="34E4EAB0" w:rsidR="00F92991" w:rsidRPr="0041522A" w:rsidRDefault="00F92991" w:rsidP="00F56237">
      <w:pPr>
        <w:rPr>
          <w:rFonts w:ascii="Cambria" w:hAnsi="Cambria"/>
          <w:b/>
          <w:sz w:val="24"/>
          <w:szCs w:val="24"/>
        </w:rPr>
      </w:pPr>
      <w:r w:rsidRPr="0041522A">
        <w:rPr>
          <w:rFonts w:ascii="Cambria" w:hAnsi="Cambria"/>
          <w:sz w:val="24"/>
          <w:szCs w:val="24"/>
        </w:rPr>
        <w:t xml:space="preserve">As the FHFA and Congress appropriately consider requiring </w:t>
      </w:r>
      <w:r w:rsidR="008B421E" w:rsidRPr="0041522A">
        <w:rPr>
          <w:rFonts w:ascii="Cambria" w:hAnsi="Cambria"/>
          <w:sz w:val="24"/>
          <w:szCs w:val="24"/>
        </w:rPr>
        <w:t xml:space="preserve">a </w:t>
      </w:r>
      <w:r w:rsidRPr="0041522A">
        <w:rPr>
          <w:rFonts w:ascii="Cambria" w:hAnsi="Cambria"/>
          <w:sz w:val="24"/>
          <w:szCs w:val="24"/>
        </w:rPr>
        <w:t xml:space="preserve">higher mandatory mission contribution </w:t>
      </w:r>
      <w:r w:rsidR="008B421E" w:rsidRPr="0041522A">
        <w:rPr>
          <w:rFonts w:ascii="Cambria" w:hAnsi="Cambria"/>
          <w:sz w:val="24"/>
          <w:szCs w:val="24"/>
        </w:rPr>
        <w:t xml:space="preserve">by </w:t>
      </w:r>
      <w:r w:rsidRPr="0041522A">
        <w:rPr>
          <w:rFonts w:ascii="Cambria" w:hAnsi="Cambria"/>
          <w:sz w:val="24"/>
          <w:szCs w:val="24"/>
        </w:rPr>
        <w:t>the FHLB</w:t>
      </w:r>
      <w:r w:rsidR="00AC26AD" w:rsidRPr="0041522A">
        <w:rPr>
          <w:rFonts w:ascii="Cambria" w:hAnsi="Cambria"/>
          <w:sz w:val="24"/>
          <w:szCs w:val="24"/>
        </w:rPr>
        <w:t>s</w:t>
      </w:r>
      <w:r w:rsidRPr="0041522A">
        <w:rPr>
          <w:rFonts w:ascii="Cambria" w:hAnsi="Cambria"/>
          <w:sz w:val="24"/>
          <w:szCs w:val="24"/>
        </w:rPr>
        <w:t xml:space="preserve">, there are a range of </w:t>
      </w:r>
      <w:r w:rsidR="00AC26AD" w:rsidRPr="0041522A">
        <w:rPr>
          <w:rFonts w:ascii="Cambria" w:hAnsi="Cambria"/>
          <w:sz w:val="24"/>
          <w:szCs w:val="24"/>
        </w:rPr>
        <w:t>mechanisms</w:t>
      </w:r>
      <w:r w:rsidRPr="0041522A">
        <w:rPr>
          <w:rFonts w:ascii="Cambria" w:hAnsi="Cambria"/>
          <w:sz w:val="24"/>
          <w:szCs w:val="24"/>
        </w:rPr>
        <w:t xml:space="preserve"> that </w:t>
      </w:r>
      <w:r w:rsidR="008B421E" w:rsidRPr="0041522A">
        <w:rPr>
          <w:rFonts w:ascii="Cambria" w:hAnsi="Cambria"/>
          <w:sz w:val="24"/>
          <w:szCs w:val="24"/>
        </w:rPr>
        <w:t xml:space="preserve">the Banks </w:t>
      </w:r>
      <w:r w:rsidRPr="0041522A">
        <w:rPr>
          <w:rFonts w:ascii="Cambria" w:hAnsi="Cambria"/>
          <w:sz w:val="24"/>
          <w:szCs w:val="24"/>
        </w:rPr>
        <w:t xml:space="preserve">could </w:t>
      </w:r>
      <w:r w:rsidR="008B421E" w:rsidRPr="0041522A">
        <w:rPr>
          <w:rFonts w:ascii="Cambria" w:hAnsi="Cambria"/>
          <w:sz w:val="24"/>
          <w:szCs w:val="24"/>
        </w:rPr>
        <w:t xml:space="preserve">employ </w:t>
      </w:r>
      <w:r w:rsidRPr="0041522A">
        <w:rPr>
          <w:rFonts w:ascii="Cambria" w:hAnsi="Cambria"/>
          <w:sz w:val="24"/>
          <w:szCs w:val="24"/>
        </w:rPr>
        <w:t xml:space="preserve">to </w:t>
      </w:r>
      <w:proofErr w:type="gramStart"/>
      <w:r w:rsidRPr="0041522A">
        <w:rPr>
          <w:rFonts w:ascii="Cambria" w:hAnsi="Cambria"/>
          <w:sz w:val="24"/>
          <w:szCs w:val="24"/>
        </w:rPr>
        <w:t>respond</w:t>
      </w:r>
      <w:proofErr w:type="gramEnd"/>
      <w:r w:rsidRPr="0041522A">
        <w:rPr>
          <w:rFonts w:ascii="Cambria" w:hAnsi="Cambria"/>
          <w:sz w:val="24"/>
          <w:szCs w:val="24"/>
        </w:rPr>
        <w:t xml:space="preserve"> </w:t>
      </w:r>
      <w:r w:rsidR="00AC26AD" w:rsidRPr="0041522A">
        <w:rPr>
          <w:rFonts w:ascii="Cambria" w:hAnsi="Cambria"/>
          <w:sz w:val="24"/>
          <w:szCs w:val="24"/>
        </w:rPr>
        <w:t xml:space="preserve">proportionately </w:t>
      </w:r>
      <w:r w:rsidRPr="0041522A">
        <w:rPr>
          <w:rFonts w:ascii="Cambria" w:hAnsi="Cambria"/>
          <w:sz w:val="24"/>
          <w:szCs w:val="24"/>
        </w:rPr>
        <w:t>to the national housing crisis</w:t>
      </w:r>
      <w:r w:rsidR="008B421E" w:rsidRPr="0041522A">
        <w:rPr>
          <w:rFonts w:ascii="Cambria" w:hAnsi="Cambria"/>
          <w:sz w:val="24"/>
          <w:szCs w:val="24"/>
        </w:rPr>
        <w:t>,</w:t>
      </w:r>
      <w:r w:rsidRPr="0041522A">
        <w:rPr>
          <w:rFonts w:ascii="Cambria" w:hAnsi="Cambria"/>
          <w:sz w:val="24"/>
          <w:szCs w:val="24"/>
        </w:rPr>
        <w:t xml:space="preserve"> while still focusing on </w:t>
      </w:r>
      <w:r w:rsidR="00A47BBE" w:rsidRPr="0041522A">
        <w:rPr>
          <w:rFonts w:ascii="Cambria" w:hAnsi="Cambria"/>
          <w:sz w:val="24"/>
          <w:szCs w:val="24"/>
        </w:rPr>
        <w:t xml:space="preserve">local and </w:t>
      </w:r>
      <w:r w:rsidRPr="0041522A">
        <w:rPr>
          <w:rFonts w:ascii="Cambria" w:hAnsi="Cambria"/>
          <w:sz w:val="24"/>
          <w:szCs w:val="24"/>
        </w:rPr>
        <w:t>regional priorities.</w:t>
      </w:r>
      <w:r w:rsidRPr="0041522A">
        <w:rPr>
          <w:rFonts w:ascii="Cambria" w:hAnsi="Cambria"/>
          <w:b/>
          <w:sz w:val="24"/>
          <w:szCs w:val="24"/>
        </w:rPr>
        <w:t xml:space="preserve">  </w:t>
      </w:r>
      <w:r w:rsidR="008B421E" w:rsidRPr="0041522A">
        <w:rPr>
          <w:rFonts w:ascii="Cambria" w:hAnsi="Cambria"/>
          <w:sz w:val="24"/>
          <w:szCs w:val="24"/>
        </w:rPr>
        <w:t>We</w:t>
      </w:r>
      <w:r w:rsidRPr="0041522A">
        <w:rPr>
          <w:rFonts w:ascii="Cambria" w:hAnsi="Cambria"/>
          <w:sz w:val="24"/>
          <w:szCs w:val="24"/>
        </w:rPr>
        <w:t xml:space="preserve"> urge the FHFA and the </w:t>
      </w:r>
      <w:r w:rsidR="008B421E" w:rsidRPr="0041522A">
        <w:rPr>
          <w:rFonts w:ascii="Cambria" w:hAnsi="Cambria"/>
          <w:sz w:val="24"/>
          <w:szCs w:val="24"/>
        </w:rPr>
        <w:t xml:space="preserve">Banks </w:t>
      </w:r>
      <w:r w:rsidRPr="0041522A">
        <w:rPr>
          <w:rFonts w:ascii="Cambria" w:hAnsi="Cambria"/>
          <w:sz w:val="24"/>
          <w:szCs w:val="24"/>
        </w:rPr>
        <w:t>to consider</w:t>
      </w:r>
      <w:r w:rsidR="008B421E" w:rsidRPr="0041522A">
        <w:rPr>
          <w:rFonts w:ascii="Cambria" w:hAnsi="Cambria"/>
          <w:sz w:val="24"/>
          <w:szCs w:val="24"/>
        </w:rPr>
        <w:t xml:space="preserve"> implementing the following recommendations, which</w:t>
      </w:r>
      <w:r w:rsidRPr="0041522A">
        <w:rPr>
          <w:rFonts w:ascii="Cambria" w:hAnsi="Cambria"/>
          <w:sz w:val="24"/>
          <w:szCs w:val="24"/>
        </w:rPr>
        <w:t xml:space="preserve"> would also create more demand for </w:t>
      </w:r>
      <w:r w:rsidR="008B421E" w:rsidRPr="0041522A">
        <w:rPr>
          <w:rFonts w:ascii="Cambria" w:hAnsi="Cambria"/>
          <w:sz w:val="24"/>
          <w:szCs w:val="24"/>
        </w:rPr>
        <w:t>core</w:t>
      </w:r>
      <w:r w:rsidRPr="0041522A">
        <w:rPr>
          <w:rFonts w:ascii="Cambria" w:hAnsi="Cambria"/>
          <w:sz w:val="24"/>
          <w:szCs w:val="24"/>
        </w:rPr>
        <w:t xml:space="preserve"> </w:t>
      </w:r>
      <w:r w:rsidR="00A47BBE" w:rsidRPr="0041522A">
        <w:rPr>
          <w:rFonts w:ascii="Cambria" w:hAnsi="Cambria"/>
          <w:sz w:val="24"/>
          <w:szCs w:val="24"/>
        </w:rPr>
        <w:t xml:space="preserve">FHLB </w:t>
      </w:r>
      <w:r w:rsidRPr="0041522A">
        <w:rPr>
          <w:rFonts w:ascii="Cambria" w:hAnsi="Cambria"/>
          <w:sz w:val="24"/>
          <w:szCs w:val="24"/>
        </w:rPr>
        <w:t>products and services</w:t>
      </w:r>
      <w:r w:rsidR="00A47BBE" w:rsidRPr="0041522A">
        <w:rPr>
          <w:rFonts w:ascii="Cambria" w:hAnsi="Cambria"/>
          <w:sz w:val="24"/>
          <w:szCs w:val="24"/>
        </w:rPr>
        <w:t>,</w:t>
      </w:r>
      <w:r w:rsidRPr="0041522A">
        <w:rPr>
          <w:rFonts w:ascii="Cambria" w:hAnsi="Cambria"/>
          <w:sz w:val="24"/>
          <w:szCs w:val="24"/>
        </w:rPr>
        <w:t xml:space="preserve"> and strengthen the </w:t>
      </w:r>
      <w:r w:rsidR="00A47BBE" w:rsidRPr="0041522A">
        <w:rPr>
          <w:rFonts w:ascii="Cambria" w:hAnsi="Cambria"/>
          <w:sz w:val="24"/>
          <w:szCs w:val="24"/>
        </w:rPr>
        <w:t>S</w:t>
      </w:r>
      <w:r w:rsidRPr="0041522A">
        <w:rPr>
          <w:rFonts w:ascii="Cambria" w:hAnsi="Cambria"/>
          <w:sz w:val="24"/>
          <w:szCs w:val="24"/>
        </w:rPr>
        <w:t>ystem overall.</w:t>
      </w:r>
      <w:r w:rsidRPr="0041522A">
        <w:rPr>
          <w:rFonts w:ascii="Cambria" w:hAnsi="Cambria"/>
          <w:b/>
          <w:sz w:val="24"/>
          <w:szCs w:val="24"/>
        </w:rPr>
        <w:t xml:space="preserve"> </w:t>
      </w:r>
    </w:p>
    <w:p w14:paraId="0934BFF2" w14:textId="4350506A" w:rsidR="00EB77DA" w:rsidRPr="0041522A" w:rsidRDefault="00EB77DA" w:rsidP="00EB77DA">
      <w:pPr>
        <w:pStyle w:val="ListParagraph"/>
        <w:numPr>
          <w:ilvl w:val="0"/>
          <w:numId w:val="4"/>
        </w:numPr>
        <w:rPr>
          <w:rFonts w:ascii="Cambria" w:hAnsi="Cambria"/>
          <w:b/>
          <w:sz w:val="24"/>
          <w:szCs w:val="24"/>
        </w:rPr>
      </w:pPr>
      <w:r w:rsidRPr="0041522A">
        <w:rPr>
          <w:rFonts w:ascii="Cambria" w:hAnsi="Cambria"/>
          <w:b/>
          <w:sz w:val="24"/>
          <w:szCs w:val="24"/>
        </w:rPr>
        <w:t>Create an FHLB Reinsurance Pool to Offset Collateral Valuation Risk and Expand Non-Depository CDFI Members’ Access and Impact</w:t>
      </w:r>
    </w:p>
    <w:p w14:paraId="47B4591E" w14:textId="22B5FDFB" w:rsidR="00EB77DA" w:rsidRPr="0041522A" w:rsidRDefault="00EB77DA" w:rsidP="00EB77DA">
      <w:pPr>
        <w:pStyle w:val="ListParagraph"/>
        <w:rPr>
          <w:rFonts w:ascii="Cambria" w:hAnsi="Cambria"/>
          <w:sz w:val="24"/>
          <w:szCs w:val="24"/>
        </w:rPr>
      </w:pPr>
      <w:r w:rsidRPr="0041522A">
        <w:rPr>
          <w:rFonts w:ascii="Cambria" w:hAnsi="Cambria"/>
          <w:sz w:val="24"/>
          <w:szCs w:val="24"/>
        </w:rPr>
        <w:t xml:space="preserve">The collateral valuation methodologies and related </w:t>
      </w:r>
      <w:r w:rsidRPr="0041522A">
        <w:rPr>
          <w:rFonts w:ascii="Cambria" w:hAnsi="Cambria"/>
          <w:i/>
          <w:sz w:val="24"/>
          <w:szCs w:val="24"/>
        </w:rPr>
        <w:t>haircut</w:t>
      </w:r>
      <w:r w:rsidR="00D74F13">
        <w:rPr>
          <w:rFonts w:ascii="Cambria" w:hAnsi="Cambria"/>
          <w:i/>
          <w:sz w:val="24"/>
          <w:szCs w:val="24"/>
        </w:rPr>
        <w:t>s</w:t>
      </w:r>
      <w:r w:rsidRPr="0041522A">
        <w:rPr>
          <w:rFonts w:ascii="Cambria" w:hAnsi="Cambria"/>
          <w:sz w:val="24"/>
          <w:szCs w:val="24"/>
        </w:rPr>
        <w:t xml:space="preserve"> applied to Advance requests from non-depository CDFIs today are a significant impediment and consistent obstacle to the participation of these Members in FHLB system.  The haircuts range from 10% to 90% and vary over time.</w:t>
      </w:r>
      <w:r w:rsidRPr="0041522A">
        <w:rPr>
          <w:rStyle w:val="EndnoteReference"/>
          <w:rFonts w:ascii="Cambria" w:hAnsi="Cambria"/>
          <w:sz w:val="24"/>
          <w:szCs w:val="24"/>
        </w:rPr>
        <w:t xml:space="preserve"> </w:t>
      </w:r>
      <w:r w:rsidRPr="0041522A">
        <w:rPr>
          <w:rFonts w:ascii="Cambria" w:hAnsi="Cambria"/>
          <w:sz w:val="24"/>
          <w:szCs w:val="24"/>
        </w:rPr>
        <w:t xml:space="preserve"> While these policies are designed to offset credit risk</w:t>
      </w:r>
      <w:r w:rsidRPr="0041522A">
        <w:rPr>
          <w:rStyle w:val="EndnoteReference"/>
          <w:rFonts w:ascii="Cambria" w:hAnsi="Cambria"/>
          <w:sz w:val="24"/>
          <w:szCs w:val="24"/>
        </w:rPr>
        <w:endnoteReference w:id="8"/>
      </w:r>
      <w:r w:rsidRPr="0041522A">
        <w:rPr>
          <w:rFonts w:ascii="Cambria" w:hAnsi="Cambria"/>
          <w:sz w:val="24"/>
          <w:szCs w:val="24"/>
        </w:rPr>
        <w:t xml:space="preserve"> introduced by non-depository CDFI collateral, they also significantly limit lending and investment potential in LMI communities, as well as FHLB mission-impact and reach. </w:t>
      </w:r>
    </w:p>
    <w:p w14:paraId="6CCBA232" w14:textId="77777777" w:rsidR="00EB77DA" w:rsidRPr="0041522A" w:rsidRDefault="00EB77DA" w:rsidP="00EB77DA">
      <w:pPr>
        <w:pStyle w:val="ListParagraph"/>
        <w:rPr>
          <w:rFonts w:ascii="Cambria" w:hAnsi="Cambria"/>
          <w:sz w:val="24"/>
          <w:szCs w:val="24"/>
        </w:rPr>
      </w:pPr>
    </w:p>
    <w:p w14:paraId="5B1A513F" w14:textId="5B98E2D3" w:rsidR="00EB77DA" w:rsidRPr="0041522A" w:rsidRDefault="00EB77DA" w:rsidP="00EB77DA">
      <w:pPr>
        <w:pStyle w:val="ListParagraph"/>
        <w:rPr>
          <w:rFonts w:ascii="Cambria" w:hAnsi="Cambria"/>
          <w:sz w:val="24"/>
          <w:szCs w:val="24"/>
        </w:rPr>
      </w:pPr>
      <w:r w:rsidRPr="0041522A">
        <w:rPr>
          <w:rFonts w:ascii="Cambria" w:hAnsi="Cambria"/>
          <w:sz w:val="24"/>
          <w:szCs w:val="24"/>
        </w:rPr>
        <w:t>For example, a non-depository CDFI in the Southwest offers a $10 million portfolio of Single Family loans as collateral for a $10 million advance request. The FHLB of Dallas applies a 40% discount, and provides a $6 million advance at a significantly reduced LTV.   However, if the identical asset were offered as collateral by a federally-regulated and federally-insured Member, no discount would apply and -all else being equal- the FHLB would issue a $10 million advance at a significantly higher LTV.  As a result, the non-depository CDFI Member accesses significantly less capital through the System for use in underserved target markets.</w:t>
      </w:r>
    </w:p>
    <w:p w14:paraId="4B937596" w14:textId="566B1D56" w:rsidR="00EB77DA" w:rsidRPr="0041522A" w:rsidRDefault="00EB77DA" w:rsidP="005322ED">
      <w:pPr>
        <w:ind w:left="720"/>
        <w:rPr>
          <w:rFonts w:ascii="Cambria" w:hAnsi="Cambria"/>
          <w:sz w:val="24"/>
          <w:szCs w:val="24"/>
        </w:rPr>
      </w:pPr>
      <w:r w:rsidRPr="0041522A">
        <w:rPr>
          <w:rFonts w:ascii="Cambria" w:hAnsi="Cambria"/>
          <w:sz w:val="24"/>
          <w:szCs w:val="24"/>
        </w:rPr>
        <w:t>To enable non-depository CDFIs to qualify for full Advances while also meeting important safety and soundness standards across the system, we ask the FHFA and FHLBs to consider the following alternative.</w:t>
      </w:r>
      <w:r w:rsidRPr="0041522A">
        <w:rPr>
          <w:rFonts w:ascii="Cambria" w:hAnsi="Cambria"/>
          <w:i/>
          <w:sz w:val="24"/>
          <w:szCs w:val="24"/>
        </w:rPr>
        <w:t xml:space="preserve"> </w:t>
      </w:r>
      <w:r w:rsidRPr="0041522A">
        <w:rPr>
          <w:rFonts w:ascii="Cambria" w:hAnsi="Cambria"/>
          <w:sz w:val="24"/>
          <w:szCs w:val="24"/>
        </w:rPr>
        <w:t xml:space="preserve"> </w:t>
      </w:r>
      <w:proofErr w:type="spellStart"/>
      <w:r w:rsidRPr="0041522A">
        <w:rPr>
          <w:rFonts w:ascii="Cambria" w:hAnsi="Cambria"/>
          <w:i/>
          <w:sz w:val="24"/>
          <w:szCs w:val="24"/>
        </w:rPr>
        <w:t>FHLBanks</w:t>
      </w:r>
      <w:proofErr w:type="spellEnd"/>
      <w:r w:rsidRPr="0041522A">
        <w:rPr>
          <w:rFonts w:ascii="Cambria" w:hAnsi="Cambria"/>
          <w:i/>
          <w:sz w:val="24"/>
          <w:szCs w:val="24"/>
        </w:rPr>
        <w:t xml:space="preserve"> should establish and fund a shared insurance / reinsurance pool that would serve as a first loss back-stop on advances to non-depository CDFIs.</w:t>
      </w:r>
      <w:r w:rsidRPr="0041522A">
        <w:rPr>
          <w:rFonts w:ascii="Cambria" w:hAnsi="Cambria"/>
          <w:sz w:val="24"/>
          <w:szCs w:val="24"/>
        </w:rPr>
        <w:t xml:space="preserve"> This mechanism would allow for valuation discounts to be eliminated or significantly reduced.  FHLB resources used to </w:t>
      </w:r>
      <w:r w:rsidRPr="0041522A">
        <w:rPr>
          <w:rFonts w:ascii="Cambria" w:hAnsi="Cambria"/>
          <w:sz w:val="24"/>
          <w:szCs w:val="24"/>
        </w:rPr>
        <w:lastRenderedPageBreak/>
        <w:t>capitalize such a pool should count as a mission contribution in the year that the commitment is made</w:t>
      </w:r>
      <w:r w:rsidR="0041522A">
        <w:rPr>
          <w:rFonts w:ascii="Cambria" w:hAnsi="Cambria"/>
          <w:sz w:val="24"/>
          <w:szCs w:val="24"/>
        </w:rPr>
        <w:t>, and thus provide an</w:t>
      </w:r>
      <w:r w:rsidRPr="0041522A">
        <w:rPr>
          <w:rFonts w:ascii="Cambria" w:hAnsi="Cambria"/>
          <w:sz w:val="24"/>
          <w:szCs w:val="24"/>
        </w:rPr>
        <w:t xml:space="preserve"> offset against any mandatory minimum </w:t>
      </w:r>
      <w:r w:rsidR="0041522A">
        <w:rPr>
          <w:rFonts w:ascii="Cambria" w:hAnsi="Cambria"/>
          <w:sz w:val="24"/>
          <w:szCs w:val="24"/>
        </w:rPr>
        <w:t xml:space="preserve">contributions </w:t>
      </w:r>
      <w:r w:rsidRPr="0041522A">
        <w:rPr>
          <w:rFonts w:ascii="Cambria" w:hAnsi="Cambria"/>
          <w:sz w:val="24"/>
          <w:szCs w:val="24"/>
        </w:rPr>
        <w:t>above the current 10%. To further define and operational</w:t>
      </w:r>
      <w:r w:rsidR="00D63DFB">
        <w:rPr>
          <w:rFonts w:ascii="Cambria" w:hAnsi="Cambria"/>
          <w:sz w:val="24"/>
          <w:szCs w:val="24"/>
        </w:rPr>
        <w:t xml:space="preserve">ize this concept, we recommend </w:t>
      </w:r>
      <w:r w:rsidRPr="0041522A">
        <w:rPr>
          <w:rFonts w:ascii="Cambria" w:hAnsi="Cambria"/>
          <w:sz w:val="24"/>
          <w:szCs w:val="24"/>
        </w:rPr>
        <w:t>dialogue among CDFI-FHLB Working Group members.</w:t>
      </w:r>
    </w:p>
    <w:p w14:paraId="6629CDC8" w14:textId="281C6F53" w:rsidR="00F92991" w:rsidRPr="0041522A" w:rsidRDefault="00F92991" w:rsidP="00467747">
      <w:pPr>
        <w:pStyle w:val="ListParagraph"/>
        <w:numPr>
          <w:ilvl w:val="0"/>
          <w:numId w:val="4"/>
        </w:numPr>
        <w:rPr>
          <w:rFonts w:ascii="Cambria" w:hAnsi="Cambria"/>
          <w:sz w:val="24"/>
          <w:szCs w:val="24"/>
        </w:rPr>
      </w:pPr>
      <w:r w:rsidRPr="0041522A">
        <w:rPr>
          <w:rFonts w:ascii="Cambria" w:hAnsi="Cambria"/>
          <w:b/>
          <w:sz w:val="24"/>
          <w:szCs w:val="24"/>
        </w:rPr>
        <w:t xml:space="preserve">The FHFA should encourage </w:t>
      </w:r>
      <w:r w:rsidR="007078F3" w:rsidRPr="0041522A">
        <w:rPr>
          <w:rFonts w:ascii="Cambria" w:hAnsi="Cambria"/>
          <w:b/>
          <w:sz w:val="24"/>
          <w:szCs w:val="24"/>
        </w:rPr>
        <w:t>or</w:t>
      </w:r>
      <w:r w:rsidRPr="0041522A">
        <w:rPr>
          <w:rFonts w:ascii="Cambria" w:hAnsi="Cambria"/>
          <w:b/>
          <w:sz w:val="24"/>
          <w:szCs w:val="24"/>
        </w:rPr>
        <w:t xml:space="preserve"> require each </w:t>
      </w:r>
      <w:proofErr w:type="spellStart"/>
      <w:r w:rsidRPr="0041522A">
        <w:rPr>
          <w:rFonts w:ascii="Cambria" w:hAnsi="Cambria"/>
          <w:b/>
          <w:sz w:val="24"/>
          <w:szCs w:val="24"/>
        </w:rPr>
        <w:t>FHLBank</w:t>
      </w:r>
      <w:proofErr w:type="spellEnd"/>
      <w:r w:rsidRPr="0041522A">
        <w:rPr>
          <w:rFonts w:ascii="Cambria" w:hAnsi="Cambria"/>
          <w:b/>
          <w:sz w:val="24"/>
          <w:szCs w:val="24"/>
        </w:rPr>
        <w:t xml:space="preserve"> to create an </w:t>
      </w:r>
      <w:r w:rsidRPr="0041522A">
        <w:rPr>
          <w:rFonts w:ascii="Cambria" w:hAnsi="Cambria"/>
          <w:b/>
          <w:i/>
          <w:sz w:val="24"/>
          <w:szCs w:val="24"/>
        </w:rPr>
        <w:t>Affordable Homeownership Strategy</w:t>
      </w:r>
      <w:r w:rsidRPr="0041522A">
        <w:rPr>
          <w:rFonts w:ascii="Cambria" w:hAnsi="Cambria"/>
          <w:b/>
          <w:sz w:val="24"/>
          <w:szCs w:val="24"/>
        </w:rPr>
        <w:t xml:space="preserve"> </w:t>
      </w:r>
      <w:r w:rsidRPr="0041522A">
        <w:rPr>
          <w:rFonts w:ascii="Cambria" w:hAnsi="Cambria"/>
          <w:b/>
          <w:i/>
          <w:sz w:val="24"/>
          <w:szCs w:val="24"/>
        </w:rPr>
        <w:t xml:space="preserve">and </w:t>
      </w:r>
      <w:r w:rsidR="00D80CDF" w:rsidRPr="001421D9">
        <w:rPr>
          <w:rFonts w:ascii="Cambria" w:hAnsi="Cambria"/>
          <w:b/>
          <w:i/>
          <w:sz w:val="24"/>
          <w:szCs w:val="24"/>
        </w:rPr>
        <w:t>an additional</w:t>
      </w:r>
      <w:r w:rsidR="00D80CDF">
        <w:rPr>
          <w:rFonts w:ascii="Cambria" w:hAnsi="Cambria"/>
          <w:b/>
          <w:i/>
          <w:sz w:val="24"/>
          <w:szCs w:val="24"/>
        </w:rPr>
        <w:t xml:space="preserve"> </w:t>
      </w:r>
      <w:r w:rsidRPr="0041522A">
        <w:rPr>
          <w:rFonts w:ascii="Cambria" w:hAnsi="Cambria"/>
          <w:b/>
          <w:i/>
          <w:sz w:val="24"/>
          <w:szCs w:val="24"/>
        </w:rPr>
        <w:t>dedicated funding stream</w:t>
      </w:r>
      <w:r w:rsidRPr="0041522A">
        <w:rPr>
          <w:rFonts w:ascii="Cambria" w:hAnsi="Cambria"/>
          <w:b/>
          <w:sz w:val="24"/>
          <w:szCs w:val="24"/>
        </w:rPr>
        <w:t xml:space="preserve"> </w:t>
      </w:r>
      <w:r w:rsidR="00107F8F" w:rsidRPr="0041522A">
        <w:rPr>
          <w:rFonts w:ascii="Cambria" w:hAnsi="Cambria"/>
          <w:b/>
          <w:sz w:val="24"/>
          <w:szCs w:val="24"/>
        </w:rPr>
        <w:t xml:space="preserve">specifically </w:t>
      </w:r>
      <w:r w:rsidRPr="0041522A">
        <w:rPr>
          <w:rFonts w:ascii="Cambria" w:hAnsi="Cambria"/>
          <w:b/>
          <w:sz w:val="24"/>
          <w:szCs w:val="24"/>
        </w:rPr>
        <w:t>to ensure that more entry-level</w:t>
      </w:r>
      <w:r w:rsidR="000F77C4" w:rsidRPr="0041522A">
        <w:rPr>
          <w:rFonts w:ascii="Cambria" w:hAnsi="Cambria"/>
          <w:b/>
          <w:sz w:val="24"/>
          <w:szCs w:val="24"/>
        </w:rPr>
        <w:t xml:space="preserve"> </w:t>
      </w:r>
      <w:r w:rsidRPr="0041522A">
        <w:rPr>
          <w:rFonts w:ascii="Cambria" w:hAnsi="Cambria"/>
          <w:b/>
          <w:sz w:val="24"/>
          <w:szCs w:val="24"/>
        </w:rPr>
        <w:t xml:space="preserve">homes are </w:t>
      </w:r>
      <w:r w:rsidR="00F803CB" w:rsidRPr="0041522A">
        <w:rPr>
          <w:rFonts w:ascii="Cambria" w:hAnsi="Cambria"/>
          <w:b/>
          <w:sz w:val="24"/>
          <w:szCs w:val="24"/>
        </w:rPr>
        <w:t xml:space="preserve">produced </w:t>
      </w:r>
      <w:r w:rsidR="00107F8F" w:rsidRPr="0041522A">
        <w:rPr>
          <w:rFonts w:ascii="Cambria" w:hAnsi="Cambria"/>
          <w:b/>
          <w:sz w:val="24"/>
          <w:szCs w:val="24"/>
        </w:rPr>
        <w:t>and made available to</w:t>
      </w:r>
      <w:r w:rsidRPr="0041522A">
        <w:rPr>
          <w:rFonts w:ascii="Cambria" w:hAnsi="Cambria"/>
          <w:b/>
          <w:sz w:val="24"/>
          <w:szCs w:val="24"/>
        </w:rPr>
        <w:t xml:space="preserve"> LMI homebuyers.  </w:t>
      </w:r>
      <w:r w:rsidRPr="0041522A">
        <w:rPr>
          <w:rFonts w:ascii="Cambria" w:hAnsi="Cambria"/>
          <w:sz w:val="24"/>
          <w:szCs w:val="24"/>
        </w:rPr>
        <w:t xml:space="preserve">This is key to solving the national housing crisis; for without a major increase in the production and preservation of affordable homes, many LMI families will continue to be priced out of the home sales market –including by institutional investors and all-cash buyers- and will instead be forced to pay rising rents that their incomes cannot sustain.  </w:t>
      </w:r>
    </w:p>
    <w:p w14:paraId="26941131" w14:textId="77777777" w:rsidR="00F92991" w:rsidRPr="0041522A" w:rsidRDefault="00F92991" w:rsidP="00467747">
      <w:pPr>
        <w:pStyle w:val="ListParagraph"/>
        <w:rPr>
          <w:rFonts w:ascii="Cambria" w:hAnsi="Cambria"/>
          <w:b/>
          <w:sz w:val="24"/>
          <w:szCs w:val="24"/>
        </w:rPr>
      </w:pPr>
    </w:p>
    <w:p w14:paraId="7F11A1E6" w14:textId="191B001E" w:rsidR="007078F3" w:rsidRPr="0041522A" w:rsidRDefault="00F92991">
      <w:pPr>
        <w:pStyle w:val="ListParagraph"/>
        <w:rPr>
          <w:rFonts w:ascii="Cambria" w:hAnsi="Cambria"/>
          <w:b/>
          <w:sz w:val="24"/>
          <w:szCs w:val="24"/>
        </w:rPr>
      </w:pPr>
      <w:r w:rsidRPr="0041522A">
        <w:rPr>
          <w:rFonts w:ascii="Cambria" w:hAnsi="Cambria"/>
          <w:sz w:val="24"/>
          <w:szCs w:val="24"/>
        </w:rPr>
        <w:t xml:space="preserve">In addition to enhanced access to advances and other </w:t>
      </w:r>
      <w:r w:rsidR="00D74F13">
        <w:rPr>
          <w:rFonts w:ascii="Cambria" w:hAnsi="Cambria"/>
          <w:sz w:val="24"/>
          <w:szCs w:val="24"/>
        </w:rPr>
        <w:t xml:space="preserve">forms of </w:t>
      </w:r>
      <w:r w:rsidRPr="0041522A">
        <w:rPr>
          <w:rFonts w:ascii="Cambria" w:hAnsi="Cambria"/>
          <w:sz w:val="24"/>
          <w:szCs w:val="24"/>
        </w:rPr>
        <w:t xml:space="preserve">flexible and favorable capital stack financing, nonprofit developers need </w:t>
      </w:r>
      <w:r w:rsidR="007078F3" w:rsidRPr="0041522A">
        <w:rPr>
          <w:rFonts w:ascii="Cambria" w:hAnsi="Cambria"/>
          <w:sz w:val="24"/>
          <w:szCs w:val="24"/>
        </w:rPr>
        <w:t xml:space="preserve">additional </w:t>
      </w:r>
      <w:r w:rsidR="00F803CB" w:rsidRPr="0041522A">
        <w:rPr>
          <w:rFonts w:ascii="Cambria" w:hAnsi="Cambria"/>
          <w:sz w:val="24"/>
          <w:szCs w:val="24"/>
        </w:rPr>
        <w:t xml:space="preserve">and </w:t>
      </w:r>
      <w:r w:rsidRPr="0041522A">
        <w:rPr>
          <w:rFonts w:ascii="Cambria" w:hAnsi="Cambria"/>
          <w:i/>
          <w:sz w:val="24"/>
          <w:szCs w:val="24"/>
        </w:rPr>
        <w:t>deep(</w:t>
      </w:r>
      <w:proofErr w:type="spellStart"/>
      <w:r w:rsidRPr="0041522A">
        <w:rPr>
          <w:rFonts w:ascii="Cambria" w:hAnsi="Cambria"/>
          <w:i/>
          <w:sz w:val="24"/>
          <w:szCs w:val="24"/>
        </w:rPr>
        <w:t>er</w:t>
      </w:r>
      <w:proofErr w:type="spellEnd"/>
      <w:r w:rsidRPr="0041522A">
        <w:rPr>
          <w:rFonts w:ascii="Cambria" w:hAnsi="Cambria"/>
          <w:i/>
          <w:sz w:val="24"/>
          <w:szCs w:val="24"/>
        </w:rPr>
        <w:t xml:space="preserve">) development-side subsidies from FHLBs </w:t>
      </w:r>
      <w:r w:rsidRPr="0041522A">
        <w:rPr>
          <w:rFonts w:ascii="Cambria" w:hAnsi="Cambria"/>
          <w:sz w:val="24"/>
          <w:szCs w:val="24"/>
        </w:rPr>
        <w:t>in order to finance</w:t>
      </w:r>
      <w:r w:rsidR="000A5E4B" w:rsidRPr="0041522A">
        <w:rPr>
          <w:rFonts w:ascii="Cambria" w:hAnsi="Cambria"/>
          <w:sz w:val="24"/>
          <w:szCs w:val="24"/>
        </w:rPr>
        <w:t>,</w:t>
      </w:r>
      <w:r w:rsidRPr="0041522A">
        <w:rPr>
          <w:rFonts w:ascii="Cambria" w:hAnsi="Cambria"/>
          <w:sz w:val="24"/>
          <w:szCs w:val="24"/>
        </w:rPr>
        <w:t xml:space="preserve"> build and price more starter homes at levels that LMI families can afford.  </w:t>
      </w:r>
      <w:r w:rsidR="007078F3" w:rsidRPr="0041522A">
        <w:rPr>
          <w:rFonts w:ascii="Cambria" w:hAnsi="Cambria"/>
          <w:sz w:val="24"/>
          <w:szCs w:val="24"/>
        </w:rPr>
        <w:t>To ensure that these resources reach homeownership projects that are prioritized locally but that may not score competitively in the alr</w:t>
      </w:r>
      <w:r w:rsidR="00D74F13">
        <w:rPr>
          <w:rFonts w:ascii="Cambria" w:hAnsi="Cambria"/>
          <w:sz w:val="24"/>
          <w:szCs w:val="24"/>
        </w:rPr>
        <w:t>eady oversubscribed AHP program</w:t>
      </w:r>
      <w:r w:rsidR="007078F3" w:rsidRPr="0041522A">
        <w:rPr>
          <w:rStyle w:val="EndnoteReference"/>
          <w:rFonts w:ascii="Cambria" w:hAnsi="Cambria"/>
          <w:sz w:val="24"/>
          <w:szCs w:val="24"/>
        </w:rPr>
        <w:endnoteReference w:id="9"/>
      </w:r>
      <w:r w:rsidR="007078F3" w:rsidRPr="0041522A">
        <w:rPr>
          <w:rFonts w:ascii="Cambria" w:hAnsi="Cambria"/>
          <w:sz w:val="24"/>
          <w:szCs w:val="24"/>
        </w:rPr>
        <w:t xml:space="preserve"> </w:t>
      </w:r>
      <w:r w:rsidR="007078F3" w:rsidRPr="0041522A">
        <w:rPr>
          <w:rStyle w:val="EndnoteReference"/>
          <w:rFonts w:ascii="Cambria" w:hAnsi="Cambria"/>
          <w:sz w:val="24"/>
          <w:szCs w:val="24"/>
        </w:rPr>
        <w:endnoteReference w:id="10"/>
      </w:r>
      <w:r w:rsidR="00D74F13">
        <w:rPr>
          <w:rFonts w:ascii="Cambria" w:hAnsi="Cambria"/>
          <w:sz w:val="24"/>
          <w:szCs w:val="24"/>
        </w:rPr>
        <w:t>,</w:t>
      </w:r>
      <w:r w:rsidR="007078F3" w:rsidRPr="0041522A">
        <w:rPr>
          <w:rFonts w:ascii="Cambria" w:hAnsi="Cambria"/>
          <w:sz w:val="24"/>
          <w:szCs w:val="24"/>
        </w:rPr>
        <w:t xml:space="preserve"> each </w:t>
      </w:r>
      <w:proofErr w:type="spellStart"/>
      <w:r w:rsidR="007078F3" w:rsidRPr="0041522A">
        <w:rPr>
          <w:rFonts w:ascii="Cambria" w:hAnsi="Cambria"/>
          <w:sz w:val="24"/>
          <w:szCs w:val="24"/>
        </w:rPr>
        <w:t>FHLBank</w:t>
      </w:r>
      <w:proofErr w:type="spellEnd"/>
      <w:r w:rsidR="007078F3" w:rsidRPr="0041522A">
        <w:rPr>
          <w:rFonts w:ascii="Cambria" w:hAnsi="Cambria"/>
          <w:sz w:val="24"/>
          <w:szCs w:val="24"/>
        </w:rPr>
        <w:t xml:space="preserve"> should </w:t>
      </w:r>
      <w:r w:rsidR="00F803CB" w:rsidRPr="0041522A">
        <w:rPr>
          <w:rFonts w:ascii="Cambria" w:hAnsi="Cambria"/>
          <w:sz w:val="24"/>
          <w:szCs w:val="24"/>
        </w:rPr>
        <w:t xml:space="preserve">allocate and </w:t>
      </w:r>
      <w:r w:rsidR="007078F3" w:rsidRPr="0041522A">
        <w:rPr>
          <w:rFonts w:ascii="Cambria" w:hAnsi="Cambria"/>
          <w:sz w:val="24"/>
          <w:szCs w:val="24"/>
        </w:rPr>
        <w:t>award these dedicated funds separately from AHP funding pools and processes.</w:t>
      </w:r>
      <w:r w:rsidR="007078F3" w:rsidRPr="0041522A">
        <w:rPr>
          <w:rFonts w:ascii="Cambria" w:hAnsi="Cambria"/>
          <w:b/>
          <w:sz w:val="24"/>
          <w:szCs w:val="24"/>
        </w:rPr>
        <w:t xml:space="preserve"> </w:t>
      </w:r>
    </w:p>
    <w:p w14:paraId="2A68C7F1" w14:textId="77777777" w:rsidR="007078F3" w:rsidRPr="0041522A" w:rsidRDefault="007078F3">
      <w:pPr>
        <w:pStyle w:val="ListParagraph"/>
        <w:rPr>
          <w:rFonts w:ascii="Cambria" w:hAnsi="Cambria"/>
          <w:b/>
          <w:sz w:val="24"/>
          <w:szCs w:val="24"/>
        </w:rPr>
      </w:pPr>
    </w:p>
    <w:p w14:paraId="1C9F28EB" w14:textId="588B5B1F" w:rsidR="00F92991" w:rsidRPr="0041522A" w:rsidRDefault="00D80CDF" w:rsidP="00D27FA2">
      <w:pPr>
        <w:pStyle w:val="ListParagraph"/>
        <w:rPr>
          <w:rFonts w:ascii="Cambria" w:hAnsi="Cambria"/>
          <w:sz w:val="24"/>
          <w:szCs w:val="24"/>
        </w:rPr>
      </w:pPr>
      <w:r>
        <w:rPr>
          <w:rFonts w:ascii="Cambria" w:hAnsi="Cambria"/>
          <w:sz w:val="24"/>
          <w:szCs w:val="24"/>
        </w:rPr>
        <w:t>The need for deeper</w:t>
      </w:r>
      <w:r w:rsidR="00F92991" w:rsidRPr="0041522A">
        <w:rPr>
          <w:rFonts w:ascii="Cambria" w:hAnsi="Cambria"/>
          <w:sz w:val="24"/>
          <w:szCs w:val="24"/>
        </w:rPr>
        <w:t xml:space="preserve"> deve</w:t>
      </w:r>
      <w:r>
        <w:rPr>
          <w:rFonts w:ascii="Cambria" w:hAnsi="Cambria"/>
          <w:sz w:val="24"/>
          <w:szCs w:val="24"/>
        </w:rPr>
        <w:t xml:space="preserve">lopment </w:t>
      </w:r>
      <w:r w:rsidR="00F92991" w:rsidRPr="0041522A">
        <w:rPr>
          <w:rFonts w:ascii="Cambria" w:hAnsi="Cambria"/>
          <w:sz w:val="24"/>
          <w:szCs w:val="24"/>
        </w:rPr>
        <w:t xml:space="preserve">subsidies, and the production potential they </w:t>
      </w:r>
      <w:r w:rsidR="00062EF1" w:rsidRPr="0041522A">
        <w:rPr>
          <w:rFonts w:ascii="Cambria" w:hAnsi="Cambria"/>
          <w:sz w:val="24"/>
          <w:szCs w:val="24"/>
        </w:rPr>
        <w:t>can</w:t>
      </w:r>
      <w:r w:rsidR="00F92991" w:rsidRPr="0041522A">
        <w:rPr>
          <w:rFonts w:ascii="Cambria" w:hAnsi="Cambria"/>
          <w:sz w:val="24"/>
          <w:szCs w:val="24"/>
        </w:rPr>
        <w:t xml:space="preserve"> </w:t>
      </w:r>
      <w:r w:rsidR="000A5E4B" w:rsidRPr="0041522A">
        <w:rPr>
          <w:rFonts w:ascii="Cambria" w:hAnsi="Cambria"/>
          <w:sz w:val="24"/>
          <w:szCs w:val="24"/>
        </w:rPr>
        <w:t xml:space="preserve">achieve </w:t>
      </w:r>
      <w:r w:rsidR="00F92991" w:rsidRPr="0041522A">
        <w:rPr>
          <w:rFonts w:ascii="Cambria" w:hAnsi="Cambria"/>
          <w:sz w:val="24"/>
          <w:szCs w:val="24"/>
        </w:rPr>
        <w:t xml:space="preserve">is exemplified by </w:t>
      </w:r>
      <w:r w:rsidR="007078F3" w:rsidRPr="0041522A">
        <w:rPr>
          <w:rFonts w:ascii="Cambria" w:hAnsi="Cambria"/>
          <w:sz w:val="24"/>
          <w:szCs w:val="24"/>
        </w:rPr>
        <w:t>two recent</w:t>
      </w:r>
      <w:r w:rsidR="00F92991" w:rsidRPr="0041522A">
        <w:rPr>
          <w:rFonts w:ascii="Cambria" w:hAnsi="Cambria"/>
          <w:sz w:val="24"/>
          <w:szCs w:val="24"/>
        </w:rPr>
        <w:t xml:space="preserve"> Homeownership Alliance member</w:t>
      </w:r>
      <w:r w:rsidR="00F803CB" w:rsidRPr="0041522A">
        <w:rPr>
          <w:rFonts w:ascii="Cambria" w:hAnsi="Cambria"/>
          <w:sz w:val="24"/>
          <w:szCs w:val="24"/>
        </w:rPr>
        <w:t xml:space="preserve"> projects from</w:t>
      </w:r>
      <w:r w:rsidR="00F92991" w:rsidRPr="0041522A">
        <w:rPr>
          <w:rFonts w:ascii="Cambria" w:hAnsi="Cambria"/>
          <w:sz w:val="24"/>
          <w:szCs w:val="24"/>
        </w:rPr>
        <w:t xml:space="preserve"> </w:t>
      </w:r>
      <w:r w:rsidR="007078F3" w:rsidRPr="0041522A">
        <w:rPr>
          <w:rFonts w:ascii="Cambria" w:hAnsi="Cambria"/>
          <w:sz w:val="24"/>
          <w:szCs w:val="24"/>
        </w:rPr>
        <w:t xml:space="preserve">different </w:t>
      </w:r>
      <w:r w:rsidR="00F92991" w:rsidRPr="0041522A">
        <w:rPr>
          <w:rFonts w:ascii="Cambria" w:hAnsi="Cambria"/>
          <w:sz w:val="24"/>
          <w:szCs w:val="24"/>
        </w:rPr>
        <w:t>marke</w:t>
      </w:r>
      <w:r w:rsidR="007078F3" w:rsidRPr="0041522A">
        <w:rPr>
          <w:rFonts w:ascii="Cambria" w:hAnsi="Cambria"/>
          <w:sz w:val="24"/>
          <w:szCs w:val="24"/>
        </w:rPr>
        <w:t>t</w:t>
      </w:r>
      <w:r w:rsidR="00F803CB" w:rsidRPr="0041522A">
        <w:rPr>
          <w:rFonts w:ascii="Cambria" w:hAnsi="Cambria"/>
          <w:sz w:val="24"/>
          <w:szCs w:val="24"/>
        </w:rPr>
        <w:t>s</w:t>
      </w:r>
      <w:r w:rsidR="00F92991" w:rsidRPr="0041522A">
        <w:rPr>
          <w:rFonts w:ascii="Cambria" w:hAnsi="Cambria"/>
          <w:sz w:val="24"/>
          <w:szCs w:val="24"/>
        </w:rPr>
        <w:t xml:space="preserve">.  </w:t>
      </w:r>
      <w:r w:rsidR="00062EF1" w:rsidRPr="0041522A">
        <w:rPr>
          <w:rFonts w:ascii="Cambria" w:hAnsi="Cambria"/>
          <w:sz w:val="24"/>
          <w:szCs w:val="24"/>
        </w:rPr>
        <w:t xml:space="preserve"> </w:t>
      </w:r>
      <w:r w:rsidR="00F92991" w:rsidRPr="0041522A">
        <w:rPr>
          <w:rFonts w:ascii="Cambria" w:hAnsi="Cambria"/>
          <w:sz w:val="24"/>
          <w:szCs w:val="24"/>
        </w:rPr>
        <w:t xml:space="preserve">  </w:t>
      </w:r>
    </w:p>
    <w:p w14:paraId="2754C4DA" w14:textId="77777777" w:rsidR="000A2268" w:rsidRPr="0041522A" w:rsidRDefault="000A2268" w:rsidP="00D27FA2">
      <w:pPr>
        <w:pStyle w:val="ListParagraph"/>
        <w:rPr>
          <w:rFonts w:ascii="Cambria" w:hAnsi="Cambria"/>
          <w:sz w:val="24"/>
          <w:szCs w:val="24"/>
        </w:rPr>
      </w:pPr>
    </w:p>
    <w:p w14:paraId="45CC602D" w14:textId="7629F577" w:rsidR="00BB6D1B" w:rsidRPr="0041522A" w:rsidRDefault="00062EF1" w:rsidP="00677C7B">
      <w:pPr>
        <w:pStyle w:val="ListParagraph"/>
        <w:numPr>
          <w:ilvl w:val="1"/>
          <w:numId w:val="4"/>
        </w:numPr>
        <w:rPr>
          <w:rFonts w:ascii="Cambria" w:hAnsi="Cambria"/>
          <w:sz w:val="24"/>
          <w:szCs w:val="24"/>
        </w:rPr>
      </w:pPr>
      <w:r w:rsidRPr="0041522A">
        <w:rPr>
          <w:rFonts w:ascii="Cambria" w:hAnsi="Cambria"/>
          <w:b/>
          <w:sz w:val="24"/>
          <w:szCs w:val="24"/>
        </w:rPr>
        <w:t xml:space="preserve">23-Unit Permanently Affordable Condominium Project </w:t>
      </w:r>
      <w:r w:rsidR="00CE4A2A" w:rsidRPr="0041522A">
        <w:rPr>
          <w:rFonts w:ascii="Cambria" w:hAnsi="Cambria"/>
          <w:b/>
          <w:sz w:val="24"/>
          <w:szCs w:val="24"/>
        </w:rPr>
        <w:t xml:space="preserve">in </w:t>
      </w:r>
      <w:r w:rsidRPr="0041522A">
        <w:rPr>
          <w:rFonts w:ascii="Cambria" w:hAnsi="Cambria"/>
          <w:b/>
          <w:sz w:val="24"/>
          <w:szCs w:val="24"/>
        </w:rPr>
        <w:t>Stamford, CT</w:t>
      </w:r>
      <w:r w:rsidRPr="0041522A">
        <w:rPr>
          <w:rFonts w:ascii="Cambria" w:hAnsi="Cambria"/>
          <w:sz w:val="24"/>
          <w:szCs w:val="24"/>
        </w:rPr>
        <w:t xml:space="preserve"> -</w:t>
      </w:r>
      <w:r w:rsidR="00C24B53">
        <w:rPr>
          <w:rFonts w:ascii="Cambria" w:hAnsi="Cambria"/>
          <w:sz w:val="24"/>
          <w:szCs w:val="24"/>
        </w:rPr>
        <w:t xml:space="preserve"> </w:t>
      </w:r>
      <w:r w:rsidRPr="0041522A">
        <w:rPr>
          <w:rFonts w:ascii="Cambria" w:hAnsi="Cambria"/>
          <w:sz w:val="24"/>
          <w:szCs w:val="24"/>
        </w:rPr>
        <w:t xml:space="preserve"> </w:t>
      </w:r>
      <w:r w:rsidR="000A5E4B" w:rsidRPr="0041522A">
        <w:rPr>
          <w:rFonts w:ascii="Cambria" w:hAnsi="Cambria"/>
          <w:sz w:val="24"/>
          <w:szCs w:val="24"/>
        </w:rPr>
        <w:t>The Housing Development Fund</w:t>
      </w:r>
      <w:r w:rsidR="00D74F13">
        <w:rPr>
          <w:rFonts w:ascii="Cambria" w:hAnsi="Cambria"/>
          <w:sz w:val="24"/>
          <w:szCs w:val="24"/>
        </w:rPr>
        <w:t xml:space="preserve"> (HDF)</w:t>
      </w:r>
      <w:r w:rsidR="00CE4A2A" w:rsidRPr="0041522A">
        <w:rPr>
          <w:rFonts w:ascii="Cambria" w:hAnsi="Cambria"/>
          <w:sz w:val="24"/>
          <w:szCs w:val="24"/>
        </w:rPr>
        <w:t>, a certified CDFI</w:t>
      </w:r>
      <w:r w:rsidR="00C25CFA" w:rsidRPr="0041522A">
        <w:rPr>
          <w:rStyle w:val="EndnoteReference"/>
          <w:rFonts w:ascii="Cambria" w:hAnsi="Cambria"/>
          <w:sz w:val="24"/>
          <w:szCs w:val="24"/>
        </w:rPr>
        <w:endnoteReference w:id="11"/>
      </w:r>
      <w:r w:rsidR="00CE4A2A" w:rsidRPr="0041522A">
        <w:rPr>
          <w:rFonts w:ascii="Cambria" w:hAnsi="Cambria"/>
          <w:sz w:val="24"/>
          <w:szCs w:val="24"/>
        </w:rPr>
        <w:t>,</w:t>
      </w:r>
      <w:r w:rsidR="000A5E4B" w:rsidRPr="0041522A">
        <w:rPr>
          <w:rFonts w:ascii="Cambria" w:hAnsi="Cambria"/>
          <w:sz w:val="24"/>
          <w:szCs w:val="24"/>
        </w:rPr>
        <w:t xml:space="preserve"> </w:t>
      </w:r>
      <w:r w:rsidR="000A2268" w:rsidRPr="0041522A">
        <w:rPr>
          <w:rFonts w:ascii="Cambria" w:hAnsi="Cambria"/>
          <w:sz w:val="24"/>
          <w:szCs w:val="24"/>
        </w:rPr>
        <w:t>is nearing</w:t>
      </w:r>
      <w:r w:rsidR="000A5E4B" w:rsidRPr="0041522A">
        <w:rPr>
          <w:rFonts w:ascii="Cambria" w:hAnsi="Cambria"/>
          <w:sz w:val="24"/>
          <w:szCs w:val="24"/>
        </w:rPr>
        <w:t xml:space="preserve"> </w:t>
      </w:r>
      <w:r w:rsidR="000A2268" w:rsidRPr="0041522A">
        <w:rPr>
          <w:rFonts w:ascii="Cambria" w:hAnsi="Cambria"/>
          <w:sz w:val="24"/>
          <w:szCs w:val="24"/>
        </w:rPr>
        <w:t>completion</w:t>
      </w:r>
      <w:r w:rsidR="000A5E4B" w:rsidRPr="0041522A">
        <w:rPr>
          <w:rFonts w:ascii="Cambria" w:hAnsi="Cambria"/>
          <w:sz w:val="24"/>
          <w:szCs w:val="24"/>
        </w:rPr>
        <w:t xml:space="preserve"> on </w:t>
      </w:r>
      <w:hyperlink r:id="rId9" w:anchor="photo-22498355" w:history="1">
        <w:r w:rsidR="000A5E4B" w:rsidRPr="0041522A">
          <w:rPr>
            <w:rStyle w:val="Hyperlink"/>
            <w:rFonts w:ascii="Cambria" w:hAnsi="Cambria"/>
            <w:i/>
            <w:sz w:val="24"/>
            <w:szCs w:val="24"/>
          </w:rPr>
          <w:t>Washington Crossing</w:t>
        </w:r>
      </w:hyperlink>
      <w:r w:rsidR="000A5E4B" w:rsidRPr="0041522A">
        <w:rPr>
          <w:rFonts w:ascii="Cambria" w:hAnsi="Cambria"/>
          <w:sz w:val="24"/>
          <w:szCs w:val="24"/>
        </w:rPr>
        <w:t>, a 23-unit affordable condo project</w:t>
      </w:r>
      <w:r w:rsidR="00F34703" w:rsidRPr="0041522A">
        <w:rPr>
          <w:rFonts w:ascii="Cambria" w:hAnsi="Cambria"/>
          <w:sz w:val="24"/>
          <w:szCs w:val="24"/>
        </w:rPr>
        <w:t xml:space="preserve"> serving homebuyers at or below 50% of Area Median Income (AMI)</w:t>
      </w:r>
      <w:r w:rsidR="000A5E4B" w:rsidRPr="0041522A">
        <w:rPr>
          <w:rFonts w:ascii="Cambria" w:hAnsi="Cambria"/>
          <w:sz w:val="24"/>
          <w:szCs w:val="24"/>
        </w:rPr>
        <w:t xml:space="preserve"> in </w:t>
      </w:r>
      <w:r w:rsidR="001B3012" w:rsidRPr="0041522A">
        <w:rPr>
          <w:rFonts w:ascii="Cambria" w:hAnsi="Cambria"/>
          <w:sz w:val="24"/>
          <w:szCs w:val="24"/>
        </w:rPr>
        <w:t xml:space="preserve">the South End neighborhood of </w:t>
      </w:r>
      <w:r w:rsidR="000A5E4B" w:rsidRPr="0041522A">
        <w:rPr>
          <w:rFonts w:ascii="Cambria" w:hAnsi="Cambria"/>
          <w:sz w:val="24"/>
          <w:szCs w:val="24"/>
        </w:rPr>
        <w:t>Stamford, CT</w:t>
      </w:r>
      <w:r w:rsidR="00B369AD" w:rsidRPr="0041522A">
        <w:rPr>
          <w:rFonts w:ascii="Cambria" w:hAnsi="Cambria"/>
          <w:sz w:val="24"/>
          <w:szCs w:val="24"/>
        </w:rPr>
        <w:t>, an extremely high cost market</w:t>
      </w:r>
      <w:r w:rsidR="00BB6D1B" w:rsidRPr="0041522A">
        <w:rPr>
          <w:rFonts w:ascii="Cambria" w:hAnsi="Cambria"/>
          <w:sz w:val="24"/>
          <w:szCs w:val="24"/>
        </w:rPr>
        <w:t xml:space="preserve">. Purchase prices </w:t>
      </w:r>
      <w:r w:rsidR="00F34703" w:rsidRPr="0041522A">
        <w:rPr>
          <w:rFonts w:ascii="Cambria" w:hAnsi="Cambria"/>
          <w:sz w:val="24"/>
          <w:szCs w:val="24"/>
        </w:rPr>
        <w:t xml:space="preserve">of these 2- and 3-bedroom homes </w:t>
      </w:r>
      <w:r w:rsidR="00BB6D1B" w:rsidRPr="0041522A">
        <w:rPr>
          <w:rFonts w:ascii="Cambria" w:hAnsi="Cambria"/>
          <w:sz w:val="24"/>
          <w:szCs w:val="24"/>
        </w:rPr>
        <w:t xml:space="preserve">range from $240,000 to $310,000.  </w:t>
      </w:r>
      <w:r w:rsidR="00F34703" w:rsidRPr="0041522A">
        <w:rPr>
          <w:rFonts w:ascii="Cambria" w:hAnsi="Cambria"/>
          <w:sz w:val="24"/>
          <w:szCs w:val="24"/>
        </w:rPr>
        <w:t>By comparison, t</w:t>
      </w:r>
      <w:r w:rsidR="001B3012" w:rsidRPr="0041522A">
        <w:rPr>
          <w:rFonts w:ascii="Cambria" w:hAnsi="Cambria"/>
          <w:sz w:val="24"/>
          <w:szCs w:val="24"/>
        </w:rPr>
        <w:t>he median value of condos / coops in Stamford, CT as of September 2022 was $</w:t>
      </w:r>
      <w:r w:rsidR="00314270">
        <w:rPr>
          <w:rFonts w:ascii="Cambria" w:hAnsi="Cambria"/>
          <w:sz w:val="24"/>
          <w:szCs w:val="24"/>
        </w:rPr>
        <w:t>337,557</w:t>
      </w:r>
      <w:r w:rsidR="007078F3" w:rsidRPr="0041522A">
        <w:rPr>
          <w:rFonts w:ascii="Cambria" w:hAnsi="Cambria"/>
          <w:sz w:val="24"/>
          <w:szCs w:val="24"/>
        </w:rPr>
        <w:t xml:space="preserve"> (+9.3% year-over-year)</w:t>
      </w:r>
      <w:r w:rsidR="001B3012" w:rsidRPr="0041522A">
        <w:rPr>
          <w:rFonts w:ascii="Cambria" w:hAnsi="Cambria"/>
          <w:sz w:val="24"/>
          <w:szCs w:val="24"/>
        </w:rPr>
        <w:t>.</w:t>
      </w:r>
      <w:r w:rsidR="001B3012" w:rsidRPr="0041522A">
        <w:rPr>
          <w:rStyle w:val="EndnoteReference"/>
          <w:rFonts w:ascii="Cambria" w:hAnsi="Cambria"/>
          <w:sz w:val="24"/>
          <w:szCs w:val="24"/>
        </w:rPr>
        <w:endnoteReference w:id="12"/>
      </w:r>
    </w:p>
    <w:p w14:paraId="2BB4A89E" w14:textId="77777777" w:rsidR="00BB6D1B" w:rsidRPr="0041522A" w:rsidRDefault="00BB6D1B" w:rsidP="00677C7B">
      <w:pPr>
        <w:pStyle w:val="ListParagraph"/>
        <w:ind w:left="1440"/>
        <w:rPr>
          <w:rFonts w:ascii="Cambria" w:hAnsi="Cambria"/>
          <w:sz w:val="24"/>
          <w:szCs w:val="24"/>
        </w:rPr>
      </w:pPr>
    </w:p>
    <w:p w14:paraId="2384D1B9" w14:textId="338E1B59" w:rsidR="000A5E4B" w:rsidRPr="0041522A" w:rsidRDefault="000A2268" w:rsidP="00677C7B">
      <w:pPr>
        <w:pStyle w:val="ListParagraph"/>
        <w:ind w:left="1440"/>
        <w:rPr>
          <w:rFonts w:ascii="Cambria" w:hAnsi="Cambria"/>
          <w:sz w:val="24"/>
          <w:szCs w:val="24"/>
        </w:rPr>
      </w:pPr>
      <w:r w:rsidRPr="0041522A">
        <w:rPr>
          <w:rFonts w:ascii="Cambria" w:hAnsi="Cambria"/>
          <w:sz w:val="24"/>
          <w:szCs w:val="24"/>
        </w:rPr>
        <w:t xml:space="preserve">Hard and soft </w:t>
      </w:r>
      <w:r w:rsidR="00F34703" w:rsidRPr="0041522A">
        <w:rPr>
          <w:rFonts w:ascii="Cambria" w:hAnsi="Cambria"/>
          <w:sz w:val="24"/>
          <w:szCs w:val="24"/>
        </w:rPr>
        <w:t xml:space="preserve">development </w:t>
      </w:r>
      <w:r w:rsidRPr="0041522A">
        <w:rPr>
          <w:rFonts w:ascii="Cambria" w:hAnsi="Cambria"/>
          <w:sz w:val="24"/>
          <w:szCs w:val="24"/>
        </w:rPr>
        <w:t>costs totaled approximately</w:t>
      </w:r>
      <w:r w:rsidR="00CE4A2A" w:rsidRPr="0041522A">
        <w:rPr>
          <w:rFonts w:ascii="Cambria" w:hAnsi="Cambria"/>
          <w:sz w:val="24"/>
          <w:szCs w:val="24"/>
        </w:rPr>
        <w:t xml:space="preserve"> $447</w:t>
      </w:r>
      <w:r w:rsidRPr="0041522A">
        <w:rPr>
          <w:rFonts w:ascii="Cambria" w:hAnsi="Cambria"/>
          <w:sz w:val="24"/>
          <w:szCs w:val="24"/>
        </w:rPr>
        <w:t xml:space="preserve">,000 per unit. </w:t>
      </w:r>
      <w:r w:rsidR="00E720DD" w:rsidRPr="0041522A">
        <w:rPr>
          <w:rFonts w:ascii="Cambria" w:hAnsi="Cambria"/>
          <w:sz w:val="24"/>
          <w:szCs w:val="24"/>
        </w:rPr>
        <w:t xml:space="preserve">Delivering these </w:t>
      </w:r>
      <w:r w:rsidR="00F34703" w:rsidRPr="0041522A">
        <w:rPr>
          <w:rFonts w:ascii="Cambria" w:hAnsi="Cambria"/>
          <w:sz w:val="24"/>
          <w:szCs w:val="24"/>
        </w:rPr>
        <w:t>homes</w:t>
      </w:r>
      <w:r w:rsidRPr="0041522A">
        <w:rPr>
          <w:rFonts w:ascii="Cambria" w:hAnsi="Cambria"/>
          <w:sz w:val="24"/>
          <w:szCs w:val="24"/>
        </w:rPr>
        <w:t xml:space="preserve"> to mortgage-ready households at or below 50% AMI required </w:t>
      </w:r>
      <w:r w:rsidR="00E720DD" w:rsidRPr="0041522A">
        <w:rPr>
          <w:rFonts w:ascii="Cambria" w:hAnsi="Cambria"/>
          <w:sz w:val="24"/>
          <w:szCs w:val="24"/>
        </w:rPr>
        <w:t xml:space="preserve">HDF to raise $4.5 million (or </w:t>
      </w:r>
      <w:r w:rsidR="00F34703" w:rsidRPr="0041522A">
        <w:rPr>
          <w:rFonts w:ascii="Cambria" w:hAnsi="Cambria"/>
          <w:sz w:val="24"/>
          <w:szCs w:val="24"/>
        </w:rPr>
        <w:t xml:space="preserve">approx. </w:t>
      </w:r>
      <w:r w:rsidR="00E720DD" w:rsidRPr="0041522A">
        <w:rPr>
          <w:rFonts w:ascii="Cambria" w:hAnsi="Cambria"/>
          <w:sz w:val="24"/>
          <w:szCs w:val="24"/>
        </w:rPr>
        <w:t xml:space="preserve">$196,000 per unit) in </w:t>
      </w:r>
      <w:r w:rsidR="00F34703" w:rsidRPr="0041522A">
        <w:rPr>
          <w:rFonts w:ascii="Cambria" w:hAnsi="Cambria"/>
          <w:sz w:val="24"/>
          <w:szCs w:val="24"/>
        </w:rPr>
        <w:t>development-side subsidies</w:t>
      </w:r>
      <w:r w:rsidR="00E720DD" w:rsidRPr="0041522A">
        <w:rPr>
          <w:rFonts w:ascii="Cambria" w:hAnsi="Cambria"/>
          <w:sz w:val="24"/>
          <w:szCs w:val="24"/>
        </w:rPr>
        <w:t xml:space="preserve"> to absorb</w:t>
      </w:r>
      <w:r w:rsidRPr="0041522A">
        <w:rPr>
          <w:rFonts w:ascii="Cambria" w:hAnsi="Cambria"/>
          <w:sz w:val="24"/>
          <w:szCs w:val="24"/>
        </w:rPr>
        <w:t xml:space="preserve"> forty percent of </w:t>
      </w:r>
      <w:r w:rsidR="00877693">
        <w:rPr>
          <w:rFonts w:ascii="Cambria" w:hAnsi="Cambria"/>
          <w:sz w:val="24"/>
          <w:szCs w:val="24"/>
        </w:rPr>
        <w:t xml:space="preserve">total </w:t>
      </w:r>
      <w:r w:rsidRPr="0041522A">
        <w:rPr>
          <w:rFonts w:ascii="Cambria" w:hAnsi="Cambria"/>
          <w:sz w:val="24"/>
          <w:szCs w:val="24"/>
        </w:rPr>
        <w:t xml:space="preserve">building costs.  </w:t>
      </w:r>
      <w:r w:rsidR="00E720DD" w:rsidRPr="0041522A">
        <w:rPr>
          <w:rFonts w:ascii="Cambria" w:hAnsi="Cambria"/>
          <w:sz w:val="24"/>
          <w:szCs w:val="24"/>
        </w:rPr>
        <w:t xml:space="preserve">Additionally, purchasers qualified for and received </w:t>
      </w:r>
      <w:r w:rsidR="00F34703" w:rsidRPr="0041522A">
        <w:rPr>
          <w:rFonts w:ascii="Cambria" w:hAnsi="Cambria"/>
          <w:sz w:val="24"/>
          <w:szCs w:val="24"/>
        </w:rPr>
        <w:t xml:space="preserve">an average of </w:t>
      </w:r>
      <w:r w:rsidR="00E720DD" w:rsidRPr="0041522A">
        <w:rPr>
          <w:rFonts w:ascii="Cambria" w:hAnsi="Cambria"/>
          <w:sz w:val="24"/>
          <w:szCs w:val="24"/>
        </w:rPr>
        <w:t>$</w:t>
      </w:r>
      <w:r w:rsidR="00CE4A2A" w:rsidRPr="0041522A">
        <w:rPr>
          <w:rFonts w:ascii="Cambria" w:hAnsi="Cambria"/>
          <w:sz w:val="24"/>
          <w:szCs w:val="24"/>
        </w:rPr>
        <w:t>68,500</w:t>
      </w:r>
      <w:r w:rsidR="00E720DD" w:rsidRPr="0041522A">
        <w:rPr>
          <w:rFonts w:ascii="Cambria" w:hAnsi="Cambria"/>
          <w:sz w:val="24"/>
          <w:szCs w:val="24"/>
        </w:rPr>
        <w:t xml:space="preserve"> in Down Payment and Closing Cost assistance</w:t>
      </w:r>
      <w:r w:rsidR="00F34703" w:rsidRPr="0041522A">
        <w:rPr>
          <w:rFonts w:ascii="Cambria" w:hAnsi="Cambria"/>
          <w:sz w:val="24"/>
          <w:szCs w:val="24"/>
        </w:rPr>
        <w:t>, as well as</w:t>
      </w:r>
      <w:r w:rsidR="00E720DD" w:rsidRPr="0041522A">
        <w:rPr>
          <w:rFonts w:ascii="Cambria" w:hAnsi="Cambria"/>
          <w:sz w:val="24"/>
          <w:szCs w:val="24"/>
        </w:rPr>
        <w:t xml:space="preserve"> </w:t>
      </w:r>
      <w:r w:rsidR="00BB6D1B" w:rsidRPr="0041522A">
        <w:rPr>
          <w:rFonts w:ascii="Cambria" w:hAnsi="Cambria"/>
          <w:sz w:val="24"/>
          <w:szCs w:val="24"/>
        </w:rPr>
        <w:t xml:space="preserve">favorable mortgage financing </w:t>
      </w:r>
      <w:r w:rsidR="00F34703" w:rsidRPr="0041522A">
        <w:rPr>
          <w:rFonts w:ascii="Cambria" w:hAnsi="Cambria"/>
          <w:sz w:val="24"/>
          <w:szCs w:val="24"/>
        </w:rPr>
        <w:t xml:space="preserve">offered </w:t>
      </w:r>
      <w:r w:rsidR="00BB6D1B" w:rsidRPr="0041522A">
        <w:rPr>
          <w:rFonts w:ascii="Cambria" w:hAnsi="Cambria"/>
          <w:sz w:val="24"/>
          <w:szCs w:val="24"/>
        </w:rPr>
        <w:t xml:space="preserve">through HDF’s </w:t>
      </w:r>
      <w:hyperlink r:id="rId10" w:history="1">
        <w:proofErr w:type="spellStart"/>
        <w:r w:rsidR="00BB6D1B" w:rsidRPr="0041522A">
          <w:rPr>
            <w:rStyle w:val="Hyperlink"/>
            <w:rFonts w:ascii="Cambria" w:hAnsi="Cambria"/>
            <w:sz w:val="24"/>
            <w:szCs w:val="24"/>
          </w:rPr>
          <w:t>SmartMove</w:t>
        </w:r>
        <w:proofErr w:type="spellEnd"/>
        <w:r w:rsidR="00BB6D1B" w:rsidRPr="0041522A">
          <w:rPr>
            <w:rStyle w:val="Hyperlink"/>
            <w:rFonts w:ascii="Cambria" w:hAnsi="Cambria"/>
            <w:sz w:val="24"/>
            <w:szCs w:val="24"/>
          </w:rPr>
          <w:t xml:space="preserve"> Connecticut</w:t>
        </w:r>
      </w:hyperlink>
      <w:r w:rsidR="00BB6D1B" w:rsidRPr="0041522A">
        <w:rPr>
          <w:rFonts w:ascii="Cambria" w:hAnsi="Cambria"/>
          <w:sz w:val="24"/>
          <w:szCs w:val="24"/>
        </w:rPr>
        <w:t xml:space="preserve"> program.  </w:t>
      </w:r>
      <w:r w:rsidR="0089247B" w:rsidRPr="0041522A">
        <w:rPr>
          <w:rFonts w:ascii="Cambria" w:hAnsi="Cambria"/>
          <w:sz w:val="24"/>
          <w:szCs w:val="24"/>
        </w:rPr>
        <w:t xml:space="preserve">All 23 of </w:t>
      </w:r>
      <w:r w:rsidR="0089247B" w:rsidRPr="0041522A">
        <w:rPr>
          <w:rFonts w:ascii="Cambria" w:hAnsi="Cambria"/>
          <w:sz w:val="24"/>
          <w:szCs w:val="24"/>
        </w:rPr>
        <w:lastRenderedPageBreak/>
        <w:t xml:space="preserve">the homes at Washington Crossing will remain </w:t>
      </w:r>
      <w:r w:rsidR="00CE4A2A" w:rsidRPr="0041522A">
        <w:rPr>
          <w:rFonts w:ascii="Cambria" w:hAnsi="Cambria"/>
          <w:sz w:val="24"/>
          <w:szCs w:val="24"/>
        </w:rPr>
        <w:t xml:space="preserve">permanently </w:t>
      </w:r>
      <w:r w:rsidR="0089247B" w:rsidRPr="0041522A">
        <w:rPr>
          <w:rFonts w:ascii="Cambria" w:hAnsi="Cambria"/>
          <w:sz w:val="24"/>
          <w:szCs w:val="24"/>
        </w:rPr>
        <w:t xml:space="preserve">affordable </w:t>
      </w:r>
      <w:r w:rsidR="00F34703" w:rsidRPr="0041522A">
        <w:rPr>
          <w:rFonts w:ascii="Cambria" w:hAnsi="Cambria"/>
          <w:sz w:val="24"/>
          <w:szCs w:val="24"/>
        </w:rPr>
        <w:t>through the use of a Community Land Trust / shared equity ownership model.</w:t>
      </w:r>
    </w:p>
    <w:p w14:paraId="1E627F60" w14:textId="77777777" w:rsidR="00062EF1" w:rsidRPr="0041522A" w:rsidRDefault="00062EF1" w:rsidP="00677C7B">
      <w:pPr>
        <w:pStyle w:val="ListParagraph"/>
        <w:ind w:left="1440"/>
        <w:rPr>
          <w:rFonts w:ascii="Cambria" w:hAnsi="Cambria"/>
          <w:sz w:val="24"/>
          <w:szCs w:val="24"/>
        </w:rPr>
      </w:pPr>
    </w:p>
    <w:p w14:paraId="2441807D" w14:textId="7CF2C1CB" w:rsidR="003052EA" w:rsidRPr="0041522A" w:rsidRDefault="00062EF1" w:rsidP="00677C7B">
      <w:pPr>
        <w:pStyle w:val="ListParagraph"/>
        <w:numPr>
          <w:ilvl w:val="1"/>
          <w:numId w:val="4"/>
        </w:numPr>
        <w:rPr>
          <w:rFonts w:ascii="Cambria" w:hAnsi="Cambria"/>
          <w:b/>
          <w:sz w:val="24"/>
          <w:szCs w:val="24"/>
        </w:rPr>
      </w:pPr>
      <w:r w:rsidRPr="0041522A">
        <w:rPr>
          <w:rFonts w:ascii="Cambria" w:hAnsi="Cambria"/>
          <w:b/>
          <w:sz w:val="24"/>
          <w:szCs w:val="24"/>
        </w:rPr>
        <w:t xml:space="preserve">20-Unit </w:t>
      </w:r>
      <w:r w:rsidR="003052EA" w:rsidRPr="0041522A">
        <w:rPr>
          <w:rFonts w:ascii="Cambria" w:hAnsi="Cambria"/>
          <w:b/>
          <w:sz w:val="24"/>
          <w:szCs w:val="24"/>
        </w:rPr>
        <w:t>N</w:t>
      </w:r>
      <w:r w:rsidRPr="0041522A">
        <w:rPr>
          <w:rFonts w:ascii="Cambria" w:hAnsi="Cambria"/>
          <w:b/>
          <w:sz w:val="24"/>
          <w:szCs w:val="24"/>
        </w:rPr>
        <w:t xml:space="preserve">ew </w:t>
      </w:r>
      <w:r w:rsidR="003052EA" w:rsidRPr="0041522A">
        <w:rPr>
          <w:rFonts w:ascii="Cambria" w:hAnsi="Cambria"/>
          <w:b/>
          <w:sz w:val="24"/>
          <w:szCs w:val="24"/>
        </w:rPr>
        <w:t>C</w:t>
      </w:r>
      <w:r w:rsidR="00004673" w:rsidRPr="0041522A">
        <w:rPr>
          <w:rFonts w:ascii="Cambria" w:hAnsi="Cambria"/>
          <w:b/>
          <w:sz w:val="24"/>
          <w:szCs w:val="24"/>
        </w:rPr>
        <w:t xml:space="preserve">onstruction </w:t>
      </w:r>
      <w:r w:rsidR="003052EA" w:rsidRPr="0041522A">
        <w:rPr>
          <w:rFonts w:ascii="Cambria" w:hAnsi="Cambria"/>
          <w:b/>
          <w:sz w:val="24"/>
          <w:szCs w:val="24"/>
        </w:rPr>
        <w:t>S</w:t>
      </w:r>
      <w:r w:rsidR="00004673" w:rsidRPr="0041522A">
        <w:rPr>
          <w:rFonts w:ascii="Cambria" w:hAnsi="Cambria"/>
          <w:b/>
          <w:sz w:val="24"/>
          <w:szCs w:val="24"/>
        </w:rPr>
        <w:t xml:space="preserve">hared </w:t>
      </w:r>
      <w:r w:rsidR="003052EA" w:rsidRPr="0041522A">
        <w:rPr>
          <w:rFonts w:ascii="Cambria" w:hAnsi="Cambria"/>
          <w:b/>
          <w:sz w:val="24"/>
          <w:szCs w:val="24"/>
        </w:rPr>
        <w:t>E</w:t>
      </w:r>
      <w:r w:rsidR="00004673" w:rsidRPr="0041522A">
        <w:rPr>
          <w:rFonts w:ascii="Cambria" w:hAnsi="Cambria"/>
          <w:b/>
          <w:sz w:val="24"/>
          <w:szCs w:val="24"/>
        </w:rPr>
        <w:t>quity</w:t>
      </w:r>
      <w:r w:rsidRPr="0041522A">
        <w:rPr>
          <w:rFonts w:ascii="Cambria" w:hAnsi="Cambria"/>
          <w:b/>
          <w:sz w:val="24"/>
          <w:szCs w:val="24"/>
        </w:rPr>
        <w:t xml:space="preserve"> </w:t>
      </w:r>
      <w:r w:rsidR="003052EA" w:rsidRPr="0041522A">
        <w:rPr>
          <w:rFonts w:ascii="Cambria" w:hAnsi="Cambria"/>
          <w:b/>
          <w:sz w:val="24"/>
          <w:szCs w:val="24"/>
        </w:rPr>
        <w:t>C</w:t>
      </w:r>
      <w:r w:rsidRPr="0041522A">
        <w:rPr>
          <w:rFonts w:ascii="Cambria" w:hAnsi="Cambria"/>
          <w:b/>
          <w:sz w:val="24"/>
          <w:szCs w:val="24"/>
        </w:rPr>
        <w:t xml:space="preserve">ondominium </w:t>
      </w:r>
      <w:r w:rsidR="003052EA" w:rsidRPr="0041522A">
        <w:rPr>
          <w:rFonts w:ascii="Cambria" w:hAnsi="Cambria"/>
          <w:b/>
          <w:sz w:val="24"/>
          <w:szCs w:val="24"/>
        </w:rPr>
        <w:t>D</w:t>
      </w:r>
      <w:r w:rsidRPr="0041522A">
        <w:rPr>
          <w:rFonts w:ascii="Cambria" w:hAnsi="Cambria"/>
          <w:b/>
          <w:sz w:val="24"/>
          <w:szCs w:val="24"/>
        </w:rPr>
        <w:t xml:space="preserve">evelopment in </w:t>
      </w:r>
      <w:r w:rsidR="00CE4A2A" w:rsidRPr="0041522A">
        <w:rPr>
          <w:rFonts w:ascii="Cambria" w:hAnsi="Cambria"/>
          <w:b/>
          <w:sz w:val="24"/>
          <w:szCs w:val="24"/>
        </w:rPr>
        <w:t xml:space="preserve">Winooski, </w:t>
      </w:r>
      <w:r w:rsidRPr="0041522A">
        <w:rPr>
          <w:rFonts w:ascii="Cambria" w:hAnsi="Cambria"/>
          <w:b/>
          <w:sz w:val="24"/>
          <w:szCs w:val="24"/>
        </w:rPr>
        <w:t xml:space="preserve">VT </w:t>
      </w:r>
      <w:r w:rsidR="00C24B53">
        <w:rPr>
          <w:rFonts w:ascii="Cambria" w:hAnsi="Cambria"/>
          <w:b/>
          <w:sz w:val="24"/>
          <w:szCs w:val="24"/>
        </w:rPr>
        <w:t xml:space="preserve">- </w:t>
      </w:r>
      <w:r w:rsidRPr="0041522A">
        <w:rPr>
          <w:rFonts w:ascii="Cambria" w:hAnsi="Cambria"/>
          <w:sz w:val="24"/>
          <w:szCs w:val="24"/>
        </w:rPr>
        <w:t xml:space="preserve">Champlain Housing Trust </w:t>
      </w:r>
      <w:r w:rsidR="00D74F13">
        <w:rPr>
          <w:rFonts w:ascii="Cambria" w:hAnsi="Cambria"/>
          <w:sz w:val="24"/>
          <w:szCs w:val="24"/>
        </w:rPr>
        <w:t xml:space="preserve">(CHT) </w:t>
      </w:r>
      <w:r w:rsidR="00004673" w:rsidRPr="0041522A">
        <w:rPr>
          <w:rFonts w:ascii="Cambria" w:hAnsi="Cambria"/>
          <w:sz w:val="24"/>
          <w:szCs w:val="24"/>
        </w:rPr>
        <w:t xml:space="preserve">recently completed the </w:t>
      </w:r>
      <w:hyperlink r:id="rId11" w:history="1">
        <w:r w:rsidR="00004673" w:rsidRPr="0041522A">
          <w:rPr>
            <w:rStyle w:val="Hyperlink"/>
            <w:rFonts w:ascii="Cambria" w:hAnsi="Cambria"/>
            <w:i/>
            <w:sz w:val="24"/>
            <w:szCs w:val="24"/>
          </w:rPr>
          <w:t>Butternut Grove Condominiums</w:t>
        </w:r>
      </w:hyperlink>
      <w:r w:rsidR="00004673" w:rsidRPr="0041522A">
        <w:rPr>
          <w:rFonts w:ascii="Cambria" w:hAnsi="Cambria"/>
          <w:sz w:val="24"/>
          <w:szCs w:val="24"/>
        </w:rPr>
        <w:t>, a 20-unit, urban infill development in Vermont’s most densely populated city</w:t>
      </w:r>
      <w:r w:rsidRPr="0041522A">
        <w:rPr>
          <w:rFonts w:ascii="Cambria" w:hAnsi="Cambria"/>
          <w:sz w:val="24"/>
          <w:szCs w:val="24"/>
        </w:rPr>
        <w:t>.</w:t>
      </w:r>
      <w:r w:rsidR="00004673" w:rsidRPr="0041522A">
        <w:rPr>
          <w:rFonts w:ascii="Cambria" w:hAnsi="Cambria"/>
          <w:sz w:val="24"/>
          <w:szCs w:val="24"/>
        </w:rPr>
        <w:t xml:space="preserve"> </w:t>
      </w:r>
      <w:r w:rsidR="00CE4A2A" w:rsidRPr="0041522A">
        <w:rPr>
          <w:rFonts w:ascii="Cambria" w:hAnsi="Cambria"/>
          <w:sz w:val="24"/>
          <w:szCs w:val="24"/>
        </w:rPr>
        <w:t>D</w:t>
      </w:r>
      <w:r w:rsidR="000119B5" w:rsidRPr="0041522A">
        <w:rPr>
          <w:rFonts w:ascii="Cambria" w:hAnsi="Cambria"/>
          <w:sz w:val="24"/>
          <w:szCs w:val="24"/>
        </w:rPr>
        <w:t>evelopment cost</w:t>
      </w:r>
      <w:r w:rsidR="00CE4A2A" w:rsidRPr="0041522A">
        <w:rPr>
          <w:rFonts w:ascii="Cambria" w:hAnsi="Cambria"/>
          <w:sz w:val="24"/>
          <w:szCs w:val="24"/>
        </w:rPr>
        <w:t>s totaled</w:t>
      </w:r>
      <w:r w:rsidR="000119B5" w:rsidRPr="0041522A">
        <w:rPr>
          <w:rFonts w:ascii="Cambria" w:hAnsi="Cambria"/>
          <w:sz w:val="24"/>
          <w:szCs w:val="24"/>
        </w:rPr>
        <w:t xml:space="preserve"> $7.8M, and included </w:t>
      </w:r>
      <w:r w:rsidR="00004673" w:rsidRPr="0041522A">
        <w:rPr>
          <w:rFonts w:ascii="Cambria" w:hAnsi="Cambria"/>
          <w:sz w:val="24"/>
          <w:szCs w:val="24"/>
        </w:rPr>
        <w:t>$4.4 million</w:t>
      </w:r>
      <w:r w:rsidR="000119B5" w:rsidRPr="0041522A">
        <w:rPr>
          <w:rFonts w:ascii="Cambria" w:hAnsi="Cambria"/>
          <w:sz w:val="24"/>
          <w:szCs w:val="24"/>
        </w:rPr>
        <w:t xml:space="preserve"> (or $</w:t>
      </w:r>
      <w:r w:rsidR="00324FAD" w:rsidRPr="0041522A">
        <w:rPr>
          <w:rFonts w:ascii="Cambria" w:hAnsi="Cambria"/>
          <w:sz w:val="24"/>
          <w:szCs w:val="24"/>
        </w:rPr>
        <w:t>206</w:t>
      </w:r>
      <w:r w:rsidR="000119B5" w:rsidRPr="0041522A">
        <w:rPr>
          <w:rFonts w:ascii="Cambria" w:hAnsi="Cambria"/>
          <w:sz w:val="24"/>
          <w:szCs w:val="24"/>
        </w:rPr>
        <w:t xml:space="preserve">,000 per unit) in </w:t>
      </w:r>
      <w:r w:rsidR="00CA5623" w:rsidRPr="0041522A">
        <w:rPr>
          <w:rFonts w:ascii="Cambria" w:hAnsi="Cambria"/>
          <w:sz w:val="24"/>
          <w:szCs w:val="24"/>
        </w:rPr>
        <w:t xml:space="preserve">deep </w:t>
      </w:r>
      <w:r w:rsidR="000119B5" w:rsidRPr="0041522A">
        <w:rPr>
          <w:rFonts w:ascii="Cambria" w:hAnsi="Cambria"/>
          <w:sz w:val="24"/>
          <w:szCs w:val="24"/>
        </w:rPr>
        <w:t>subsidies to make all of these 2- and 3-bedroom homes (a mix of flats, townhomes and row houses) affordable to homebuyers at or below 100% AMI (</w:t>
      </w:r>
      <w:r w:rsidR="00877693">
        <w:rPr>
          <w:rFonts w:ascii="Cambria" w:hAnsi="Cambria"/>
          <w:sz w:val="24"/>
          <w:szCs w:val="24"/>
        </w:rPr>
        <w:t xml:space="preserve">or </w:t>
      </w:r>
      <w:r w:rsidR="000119B5" w:rsidRPr="0041522A">
        <w:rPr>
          <w:rFonts w:ascii="Cambria" w:hAnsi="Cambria"/>
          <w:sz w:val="24"/>
          <w:szCs w:val="24"/>
        </w:rPr>
        <w:t>$96,000 for a family of three)</w:t>
      </w:r>
      <w:r w:rsidR="00170243" w:rsidRPr="0041522A">
        <w:rPr>
          <w:rFonts w:ascii="Cambria" w:hAnsi="Cambria"/>
          <w:sz w:val="24"/>
          <w:szCs w:val="24"/>
        </w:rPr>
        <w:t xml:space="preserve"> with an average </w:t>
      </w:r>
      <w:r w:rsidR="00877693">
        <w:rPr>
          <w:rFonts w:ascii="Cambria" w:hAnsi="Cambria"/>
          <w:sz w:val="24"/>
          <w:szCs w:val="24"/>
        </w:rPr>
        <w:t xml:space="preserve">purchase </w:t>
      </w:r>
      <w:r w:rsidR="00170243" w:rsidRPr="0041522A">
        <w:rPr>
          <w:rFonts w:ascii="Cambria" w:hAnsi="Cambria"/>
          <w:sz w:val="24"/>
          <w:szCs w:val="24"/>
        </w:rPr>
        <w:t>price of $169,000</w:t>
      </w:r>
      <w:r w:rsidR="000119B5" w:rsidRPr="0041522A">
        <w:rPr>
          <w:rFonts w:ascii="Cambria" w:hAnsi="Cambria"/>
          <w:sz w:val="24"/>
          <w:szCs w:val="24"/>
        </w:rPr>
        <w:t xml:space="preserve">. Additionally, </w:t>
      </w:r>
      <w:r w:rsidR="001560AC" w:rsidRPr="0041522A">
        <w:rPr>
          <w:rFonts w:ascii="Cambria" w:hAnsi="Cambria"/>
          <w:sz w:val="24"/>
          <w:szCs w:val="24"/>
        </w:rPr>
        <w:t xml:space="preserve">eligible </w:t>
      </w:r>
      <w:r w:rsidR="000119B5" w:rsidRPr="0041522A">
        <w:rPr>
          <w:rFonts w:ascii="Cambria" w:hAnsi="Cambria"/>
          <w:sz w:val="24"/>
          <w:szCs w:val="24"/>
        </w:rPr>
        <w:t xml:space="preserve">purchasers accessed </w:t>
      </w:r>
      <w:r w:rsidR="00EE5985" w:rsidRPr="0041522A">
        <w:rPr>
          <w:rFonts w:ascii="Cambria" w:hAnsi="Cambria"/>
          <w:sz w:val="24"/>
          <w:szCs w:val="24"/>
        </w:rPr>
        <w:t xml:space="preserve">up to </w:t>
      </w:r>
      <w:r w:rsidR="001560AC" w:rsidRPr="0041522A">
        <w:rPr>
          <w:rFonts w:ascii="Cambria" w:hAnsi="Cambria"/>
          <w:sz w:val="24"/>
          <w:szCs w:val="24"/>
        </w:rPr>
        <w:t>$</w:t>
      </w:r>
      <w:r w:rsidR="00EE5985" w:rsidRPr="0041522A">
        <w:rPr>
          <w:rFonts w:ascii="Cambria" w:hAnsi="Cambria"/>
          <w:sz w:val="24"/>
          <w:szCs w:val="24"/>
        </w:rPr>
        <w:t xml:space="preserve">25,000 </w:t>
      </w:r>
      <w:r w:rsidR="001560AC" w:rsidRPr="0041522A">
        <w:rPr>
          <w:rFonts w:ascii="Cambria" w:hAnsi="Cambria"/>
          <w:sz w:val="24"/>
          <w:szCs w:val="24"/>
        </w:rPr>
        <w:t xml:space="preserve">in </w:t>
      </w:r>
      <w:r w:rsidR="000119B5" w:rsidRPr="0041522A">
        <w:rPr>
          <w:rFonts w:ascii="Cambria" w:hAnsi="Cambria"/>
          <w:sz w:val="24"/>
          <w:szCs w:val="24"/>
        </w:rPr>
        <w:t xml:space="preserve">Down Payment Assistance through </w:t>
      </w:r>
      <w:hyperlink r:id="rId12" w:history="1">
        <w:r w:rsidR="000119B5" w:rsidRPr="0041522A">
          <w:rPr>
            <w:rStyle w:val="Hyperlink"/>
            <w:rFonts w:ascii="Cambria" w:hAnsi="Cambria"/>
            <w:sz w:val="24"/>
            <w:szCs w:val="24"/>
          </w:rPr>
          <w:t>CHT’s Homeownership Equity Program</w:t>
        </w:r>
      </w:hyperlink>
      <w:r w:rsidR="00170243" w:rsidRPr="0041522A">
        <w:rPr>
          <w:rFonts w:ascii="Cambria" w:hAnsi="Cambria"/>
          <w:sz w:val="24"/>
          <w:szCs w:val="24"/>
        </w:rPr>
        <w:t>, a special purpose credit program</w:t>
      </w:r>
      <w:r w:rsidR="000119B5" w:rsidRPr="0041522A">
        <w:rPr>
          <w:rFonts w:ascii="Cambria" w:hAnsi="Cambria"/>
          <w:sz w:val="24"/>
          <w:szCs w:val="24"/>
        </w:rPr>
        <w:t xml:space="preserve">.  </w:t>
      </w:r>
    </w:p>
    <w:p w14:paraId="76CF1E9C" w14:textId="77777777" w:rsidR="003052EA" w:rsidRPr="0041522A" w:rsidRDefault="003052EA" w:rsidP="00677C7B">
      <w:pPr>
        <w:pStyle w:val="ListParagraph"/>
        <w:ind w:left="1440"/>
        <w:rPr>
          <w:rFonts w:ascii="Cambria" w:hAnsi="Cambria"/>
          <w:b/>
          <w:sz w:val="24"/>
          <w:szCs w:val="24"/>
        </w:rPr>
      </w:pPr>
    </w:p>
    <w:p w14:paraId="2C62E765" w14:textId="2613D5A3" w:rsidR="00062EF1" w:rsidRPr="0041522A" w:rsidRDefault="003052EA" w:rsidP="00677C7B">
      <w:pPr>
        <w:pStyle w:val="ListParagraph"/>
        <w:spacing w:after="0"/>
        <w:ind w:left="1440"/>
        <w:rPr>
          <w:rFonts w:ascii="Cambria" w:hAnsi="Cambria"/>
          <w:b/>
          <w:sz w:val="24"/>
          <w:szCs w:val="24"/>
        </w:rPr>
      </w:pPr>
      <w:r w:rsidRPr="0041522A">
        <w:rPr>
          <w:rFonts w:ascii="Cambria" w:hAnsi="Cambria"/>
          <w:sz w:val="24"/>
          <w:szCs w:val="24"/>
        </w:rPr>
        <w:t xml:space="preserve">The affordability of these homes is permanently preserved through </w:t>
      </w:r>
      <w:hyperlink r:id="rId13" w:history="1">
        <w:r w:rsidRPr="0041522A">
          <w:rPr>
            <w:rStyle w:val="Hyperlink"/>
            <w:rFonts w:ascii="Cambria" w:hAnsi="Cambria"/>
            <w:sz w:val="24"/>
            <w:szCs w:val="24"/>
          </w:rPr>
          <w:t>CHT’s Shared Equity Homeownership program</w:t>
        </w:r>
      </w:hyperlink>
      <w:r w:rsidRPr="0041522A">
        <w:rPr>
          <w:rFonts w:ascii="Cambria" w:hAnsi="Cambria"/>
          <w:sz w:val="24"/>
          <w:szCs w:val="24"/>
        </w:rPr>
        <w:t xml:space="preserve">, which –over 35 years- has made </w:t>
      </w:r>
      <w:r w:rsidR="00170243" w:rsidRPr="0041522A">
        <w:rPr>
          <w:rFonts w:ascii="Cambria" w:hAnsi="Cambria"/>
          <w:sz w:val="24"/>
          <w:szCs w:val="24"/>
        </w:rPr>
        <w:t>671</w:t>
      </w:r>
      <w:r w:rsidRPr="0041522A">
        <w:rPr>
          <w:rFonts w:ascii="Cambria" w:hAnsi="Cambria"/>
          <w:sz w:val="24"/>
          <w:szCs w:val="24"/>
        </w:rPr>
        <w:t xml:space="preserve"> homes affordable for over 1,200 LMI owners.  </w:t>
      </w:r>
      <w:r w:rsidR="00CA5623" w:rsidRPr="0041522A">
        <w:rPr>
          <w:rFonts w:ascii="Cambria" w:hAnsi="Cambria"/>
          <w:sz w:val="24"/>
          <w:szCs w:val="24"/>
        </w:rPr>
        <w:t xml:space="preserve">The median price of </w:t>
      </w:r>
      <w:r w:rsidR="007078F3" w:rsidRPr="0041522A">
        <w:rPr>
          <w:rFonts w:ascii="Cambria" w:hAnsi="Cambria"/>
          <w:sz w:val="24"/>
          <w:szCs w:val="24"/>
        </w:rPr>
        <w:t xml:space="preserve">all </w:t>
      </w:r>
      <w:r w:rsidR="00CA5623" w:rsidRPr="0041522A">
        <w:rPr>
          <w:rFonts w:ascii="Cambria" w:hAnsi="Cambria"/>
          <w:sz w:val="24"/>
          <w:szCs w:val="24"/>
        </w:rPr>
        <w:t xml:space="preserve">condominiums and town homes </w:t>
      </w:r>
      <w:r w:rsidR="007078F3" w:rsidRPr="0041522A">
        <w:rPr>
          <w:rFonts w:ascii="Cambria" w:hAnsi="Cambria"/>
          <w:sz w:val="24"/>
          <w:szCs w:val="24"/>
        </w:rPr>
        <w:t xml:space="preserve">sold in Crittenden County in September 2022 </w:t>
      </w:r>
      <w:r w:rsidR="00CA5623" w:rsidRPr="0041522A">
        <w:rPr>
          <w:rFonts w:ascii="Cambria" w:hAnsi="Cambria"/>
          <w:sz w:val="24"/>
          <w:szCs w:val="24"/>
        </w:rPr>
        <w:t>were at $272,</w:t>
      </w:r>
      <w:r w:rsidR="00314270">
        <w:rPr>
          <w:rFonts w:ascii="Cambria" w:hAnsi="Cambria"/>
          <w:sz w:val="24"/>
          <w:szCs w:val="24"/>
        </w:rPr>
        <w:t>5</w:t>
      </w:r>
      <w:r w:rsidR="00CA5623" w:rsidRPr="0041522A">
        <w:rPr>
          <w:rFonts w:ascii="Cambria" w:hAnsi="Cambria"/>
          <w:sz w:val="24"/>
          <w:szCs w:val="24"/>
        </w:rPr>
        <w:t>00 (+9.9% year-over-year) and $427,</w:t>
      </w:r>
      <w:r w:rsidR="00314270">
        <w:rPr>
          <w:rFonts w:ascii="Cambria" w:hAnsi="Cambria"/>
          <w:sz w:val="24"/>
          <w:szCs w:val="24"/>
        </w:rPr>
        <w:t>250</w:t>
      </w:r>
      <w:r w:rsidR="00CA5623" w:rsidRPr="0041522A">
        <w:rPr>
          <w:rFonts w:ascii="Cambria" w:hAnsi="Cambria"/>
          <w:sz w:val="24"/>
          <w:szCs w:val="24"/>
        </w:rPr>
        <w:t xml:space="preserve"> (+44.3% year-over-year),</w:t>
      </w:r>
      <w:r w:rsidR="00CA5623" w:rsidRPr="0041522A">
        <w:rPr>
          <w:rStyle w:val="EndnoteReference"/>
          <w:rFonts w:ascii="Cambria" w:hAnsi="Cambria"/>
          <w:sz w:val="24"/>
          <w:szCs w:val="24"/>
        </w:rPr>
        <w:endnoteReference w:id="13"/>
      </w:r>
      <w:r w:rsidR="00CA5623" w:rsidRPr="0041522A">
        <w:rPr>
          <w:rFonts w:ascii="Cambria" w:hAnsi="Cambria"/>
          <w:sz w:val="24"/>
          <w:szCs w:val="24"/>
        </w:rPr>
        <w:t xml:space="preserve"> respectively. </w:t>
      </w:r>
      <w:r w:rsidR="007078F3" w:rsidRPr="0041522A">
        <w:rPr>
          <w:rFonts w:ascii="Cambria" w:hAnsi="Cambria"/>
          <w:sz w:val="24"/>
          <w:szCs w:val="24"/>
        </w:rPr>
        <w:t>In this market context</w:t>
      </w:r>
      <w:r w:rsidRPr="0041522A">
        <w:rPr>
          <w:rFonts w:ascii="Cambria" w:hAnsi="Cambria"/>
          <w:sz w:val="24"/>
          <w:szCs w:val="24"/>
        </w:rPr>
        <w:t xml:space="preserve">, </w:t>
      </w:r>
      <w:r w:rsidR="001560AC" w:rsidRPr="0041522A">
        <w:rPr>
          <w:rFonts w:ascii="Cambria" w:hAnsi="Cambria"/>
          <w:sz w:val="24"/>
          <w:szCs w:val="24"/>
        </w:rPr>
        <w:t xml:space="preserve">Butternut Grove </w:t>
      </w:r>
      <w:r w:rsidR="00EE5985" w:rsidRPr="0041522A">
        <w:rPr>
          <w:rFonts w:ascii="Cambria" w:hAnsi="Cambria"/>
          <w:sz w:val="24"/>
          <w:szCs w:val="24"/>
        </w:rPr>
        <w:t>represent</w:t>
      </w:r>
      <w:r w:rsidR="007078F3" w:rsidRPr="0041522A">
        <w:rPr>
          <w:rFonts w:ascii="Cambria" w:hAnsi="Cambria"/>
          <w:sz w:val="24"/>
          <w:szCs w:val="24"/>
        </w:rPr>
        <w:t>s</w:t>
      </w:r>
      <w:r w:rsidR="00EE5985" w:rsidRPr="0041522A">
        <w:rPr>
          <w:rFonts w:ascii="Cambria" w:hAnsi="Cambria"/>
          <w:sz w:val="24"/>
          <w:szCs w:val="24"/>
        </w:rPr>
        <w:t xml:space="preserve"> a rare </w:t>
      </w:r>
      <w:r w:rsidR="007078F3" w:rsidRPr="0041522A">
        <w:rPr>
          <w:rFonts w:ascii="Cambria" w:hAnsi="Cambria"/>
          <w:sz w:val="24"/>
          <w:szCs w:val="24"/>
        </w:rPr>
        <w:t>affordable ownership opportunity</w:t>
      </w:r>
      <w:r w:rsidR="00EE5985" w:rsidRPr="0041522A">
        <w:rPr>
          <w:rFonts w:ascii="Cambria" w:hAnsi="Cambria"/>
          <w:sz w:val="24"/>
          <w:szCs w:val="24"/>
        </w:rPr>
        <w:t xml:space="preserve">; and all homes have been sold or are under contract. </w:t>
      </w:r>
      <w:bookmarkStart w:id="0" w:name="_GoBack"/>
      <w:bookmarkEnd w:id="0"/>
    </w:p>
    <w:p w14:paraId="103C0445" w14:textId="4C5D759D" w:rsidR="004B3E91" w:rsidRPr="0041522A" w:rsidRDefault="004B3E91" w:rsidP="00677C7B">
      <w:pPr>
        <w:pStyle w:val="CommentText"/>
        <w:spacing w:after="0"/>
        <w:rPr>
          <w:rFonts w:ascii="Cambria" w:hAnsi="Cambria"/>
          <w:sz w:val="24"/>
          <w:szCs w:val="24"/>
        </w:rPr>
      </w:pPr>
    </w:p>
    <w:p w14:paraId="6EB58F0A" w14:textId="54C176C9" w:rsidR="004B3E91" w:rsidRPr="0041522A" w:rsidRDefault="00F92991" w:rsidP="004B3E91">
      <w:pPr>
        <w:pStyle w:val="ListParagraph"/>
        <w:numPr>
          <w:ilvl w:val="0"/>
          <w:numId w:val="4"/>
        </w:numPr>
        <w:rPr>
          <w:rFonts w:ascii="Cambria" w:hAnsi="Cambria"/>
          <w:sz w:val="24"/>
          <w:szCs w:val="24"/>
        </w:rPr>
      </w:pPr>
      <w:r w:rsidRPr="0041522A">
        <w:rPr>
          <w:rFonts w:ascii="Cambria" w:hAnsi="Cambria"/>
          <w:b/>
          <w:sz w:val="24"/>
          <w:szCs w:val="24"/>
        </w:rPr>
        <w:t xml:space="preserve">As part of a new </w:t>
      </w:r>
      <w:r w:rsidRPr="0041522A">
        <w:rPr>
          <w:rFonts w:ascii="Cambria" w:hAnsi="Cambria"/>
          <w:b/>
          <w:i/>
          <w:sz w:val="24"/>
          <w:szCs w:val="24"/>
        </w:rPr>
        <w:t>Affordable Homeownership Strategy</w:t>
      </w:r>
      <w:r w:rsidRPr="0041522A">
        <w:rPr>
          <w:rFonts w:ascii="Cambria" w:hAnsi="Cambria"/>
          <w:b/>
          <w:sz w:val="24"/>
          <w:szCs w:val="24"/>
        </w:rPr>
        <w:t xml:space="preserve">, each FHLB should also commit </w:t>
      </w:r>
      <w:r w:rsidR="004B3E91" w:rsidRPr="0041522A">
        <w:rPr>
          <w:rFonts w:ascii="Cambria" w:hAnsi="Cambria"/>
          <w:b/>
          <w:sz w:val="24"/>
          <w:szCs w:val="24"/>
        </w:rPr>
        <w:t xml:space="preserve">substantially </w:t>
      </w:r>
      <w:r w:rsidRPr="0041522A">
        <w:rPr>
          <w:rFonts w:ascii="Cambria" w:hAnsi="Cambria"/>
          <w:b/>
          <w:sz w:val="24"/>
          <w:szCs w:val="24"/>
        </w:rPr>
        <w:t xml:space="preserve">more resources </w:t>
      </w:r>
      <w:r w:rsidR="00107F8F" w:rsidRPr="0041522A">
        <w:rPr>
          <w:rFonts w:ascii="Cambria" w:hAnsi="Cambria"/>
          <w:b/>
          <w:sz w:val="24"/>
          <w:szCs w:val="24"/>
        </w:rPr>
        <w:t xml:space="preserve">for </w:t>
      </w:r>
      <w:r w:rsidRPr="0041522A">
        <w:rPr>
          <w:rFonts w:ascii="Cambria" w:hAnsi="Cambria"/>
          <w:b/>
          <w:sz w:val="24"/>
          <w:szCs w:val="24"/>
        </w:rPr>
        <w:t>Closing Cos</w:t>
      </w:r>
      <w:r w:rsidR="004B3E91" w:rsidRPr="0041522A">
        <w:rPr>
          <w:rFonts w:ascii="Cambria" w:hAnsi="Cambria"/>
          <w:b/>
          <w:sz w:val="24"/>
          <w:szCs w:val="24"/>
        </w:rPr>
        <w:t xml:space="preserve">t and </w:t>
      </w:r>
      <w:r w:rsidRPr="0041522A">
        <w:rPr>
          <w:rFonts w:ascii="Cambria" w:hAnsi="Cambria"/>
          <w:b/>
          <w:sz w:val="24"/>
          <w:szCs w:val="24"/>
        </w:rPr>
        <w:t>Down Payment Assistance</w:t>
      </w:r>
      <w:r w:rsidR="004B3E91" w:rsidRPr="0041522A">
        <w:rPr>
          <w:rFonts w:ascii="Cambria" w:hAnsi="Cambria"/>
          <w:b/>
          <w:sz w:val="24"/>
          <w:szCs w:val="24"/>
        </w:rPr>
        <w:t xml:space="preserve">, favorable financing, and innovations that overcome barriers for LMI homebuyers to purchase an entry-level home in difficult market conditions.  </w:t>
      </w:r>
      <w:r w:rsidR="004B3E91" w:rsidRPr="0041522A">
        <w:rPr>
          <w:rFonts w:ascii="Cambria" w:hAnsi="Cambria"/>
          <w:sz w:val="24"/>
          <w:szCs w:val="24"/>
        </w:rPr>
        <w:t xml:space="preserve">This could include interest rate buy-downs and alternative credit evaluation including products classified </w:t>
      </w:r>
      <w:r w:rsidR="00107F8F" w:rsidRPr="0041522A">
        <w:rPr>
          <w:rFonts w:ascii="Cambria" w:hAnsi="Cambria"/>
          <w:sz w:val="24"/>
          <w:szCs w:val="24"/>
        </w:rPr>
        <w:t xml:space="preserve">as </w:t>
      </w:r>
      <w:r w:rsidR="00107F8F" w:rsidRPr="0041522A">
        <w:rPr>
          <w:rFonts w:ascii="Cambria" w:hAnsi="Cambria"/>
          <w:i/>
          <w:sz w:val="24"/>
          <w:szCs w:val="24"/>
        </w:rPr>
        <w:t>Special Purpose Credit Programs</w:t>
      </w:r>
      <w:r w:rsidR="00107F8F" w:rsidRPr="0041522A">
        <w:rPr>
          <w:rFonts w:ascii="Cambria" w:hAnsi="Cambria"/>
          <w:sz w:val="24"/>
          <w:szCs w:val="24"/>
        </w:rPr>
        <w:t>.</w:t>
      </w:r>
      <w:r w:rsidR="004B3E91" w:rsidRPr="0041522A">
        <w:rPr>
          <w:rFonts w:ascii="Cambria" w:hAnsi="Cambria"/>
          <w:b/>
          <w:sz w:val="24"/>
          <w:szCs w:val="24"/>
        </w:rPr>
        <w:t xml:space="preserve"> </w:t>
      </w:r>
    </w:p>
    <w:p w14:paraId="3E90ABBC" w14:textId="77777777" w:rsidR="004B3E91" w:rsidRPr="0041522A" w:rsidRDefault="004B3E91" w:rsidP="00677C7B">
      <w:pPr>
        <w:pStyle w:val="ListParagraph"/>
        <w:rPr>
          <w:rFonts w:ascii="Cambria" w:hAnsi="Cambria"/>
          <w:b/>
          <w:sz w:val="24"/>
          <w:szCs w:val="24"/>
        </w:rPr>
      </w:pPr>
    </w:p>
    <w:p w14:paraId="0E322E08" w14:textId="262D52F1" w:rsidR="00F92991" w:rsidRPr="0041522A" w:rsidRDefault="00F92991" w:rsidP="00677C7B">
      <w:pPr>
        <w:pStyle w:val="ListParagraph"/>
        <w:rPr>
          <w:rFonts w:ascii="Cambria" w:hAnsi="Cambria"/>
          <w:sz w:val="24"/>
          <w:szCs w:val="24"/>
        </w:rPr>
      </w:pPr>
      <w:r w:rsidRPr="0041522A">
        <w:rPr>
          <w:rFonts w:ascii="Cambria" w:hAnsi="Cambria"/>
          <w:sz w:val="24"/>
          <w:szCs w:val="24"/>
        </w:rPr>
        <w:t xml:space="preserve">An October 2022 analysis from </w:t>
      </w:r>
      <w:proofErr w:type="spellStart"/>
      <w:r w:rsidRPr="0041522A">
        <w:rPr>
          <w:rFonts w:ascii="Cambria" w:hAnsi="Cambria"/>
          <w:i/>
          <w:sz w:val="24"/>
          <w:szCs w:val="24"/>
        </w:rPr>
        <w:t>CoreLogic</w:t>
      </w:r>
      <w:proofErr w:type="spellEnd"/>
      <w:r w:rsidRPr="0041522A">
        <w:rPr>
          <w:rFonts w:ascii="Cambria" w:hAnsi="Cambria"/>
          <w:sz w:val="24"/>
          <w:szCs w:val="24"/>
        </w:rPr>
        <w:t xml:space="preserve"> found that the average down payment for low-tier homes (those priced at less than 75% of the median sales price) increased to an all-time high of $30,186 in June 2022, up from $26,314 in June 2021 and $11,403 in June 2010.</w:t>
      </w:r>
      <w:r w:rsidRPr="0041522A">
        <w:rPr>
          <w:rStyle w:val="EndnoteReference"/>
          <w:rFonts w:ascii="Cambria" w:hAnsi="Cambria"/>
          <w:sz w:val="24"/>
          <w:szCs w:val="24"/>
        </w:rPr>
        <w:endnoteReference w:id="14"/>
      </w:r>
      <w:r w:rsidRPr="0041522A">
        <w:rPr>
          <w:rFonts w:ascii="Cambria" w:hAnsi="Cambria"/>
          <w:sz w:val="24"/>
          <w:szCs w:val="24"/>
        </w:rPr>
        <w:t xml:space="preserve">  This challenge </w:t>
      </w:r>
      <w:r w:rsidR="004B3E91" w:rsidRPr="0041522A">
        <w:rPr>
          <w:rFonts w:ascii="Cambria" w:hAnsi="Cambria"/>
          <w:sz w:val="24"/>
          <w:szCs w:val="24"/>
        </w:rPr>
        <w:t xml:space="preserve">applies </w:t>
      </w:r>
      <w:r w:rsidRPr="0041522A">
        <w:rPr>
          <w:rFonts w:ascii="Cambria" w:hAnsi="Cambria"/>
          <w:sz w:val="24"/>
          <w:szCs w:val="24"/>
        </w:rPr>
        <w:t xml:space="preserve">to many LMI homebuyers who qualify for low down payment mortgage programs. For example, 25% families </w:t>
      </w:r>
      <w:r w:rsidR="004B3E91" w:rsidRPr="0041522A">
        <w:rPr>
          <w:rFonts w:ascii="Cambria" w:hAnsi="Cambria"/>
          <w:sz w:val="24"/>
          <w:szCs w:val="24"/>
        </w:rPr>
        <w:t xml:space="preserve">who </w:t>
      </w:r>
      <w:r w:rsidR="00F803CB" w:rsidRPr="0041522A">
        <w:rPr>
          <w:rFonts w:ascii="Cambria" w:hAnsi="Cambria"/>
          <w:sz w:val="24"/>
          <w:szCs w:val="24"/>
        </w:rPr>
        <w:t xml:space="preserve">recently </w:t>
      </w:r>
      <w:r w:rsidRPr="0041522A">
        <w:rPr>
          <w:rFonts w:ascii="Cambria" w:hAnsi="Cambria"/>
          <w:sz w:val="24"/>
          <w:szCs w:val="24"/>
        </w:rPr>
        <w:t>completed one Homeowner</w:t>
      </w:r>
      <w:r w:rsidR="004B3E91" w:rsidRPr="0041522A">
        <w:rPr>
          <w:rFonts w:ascii="Cambria" w:hAnsi="Cambria"/>
          <w:sz w:val="24"/>
          <w:szCs w:val="24"/>
        </w:rPr>
        <w:t>ship</w:t>
      </w:r>
      <w:r w:rsidRPr="0041522A">
        <w:rPr>
          <w:rFonts w:ascii="Cambria" w:hAnsi="Cambria"/>
          <w:sz w:val="24"/>
          <w:szCs w:val="24"/>
        </w:rPr>
        <w:t xml:space="preserve"> Alliance</w:t>
      </w:r>
      <w:r w:rsidR="004B3E91" w:rsidRPr="0041522A">
        <w:rPr>
          <w:rFonts w:ascii="Cambria" w:hAnsi="Cambria"/>
          <w:sz w:val="24"/>
          <w:szCs w:val="24"/>
        </w:rPr>
        <w:t xml:space="preserve"> member’s</w:t>
      </w:r>
      <w:r w:rsidRPr="0041522A">
        <w:rPr>
          <w:rFonts w:ascii="Cambria" w:hAnsi="Cambria"/>
          <w:sz w:val="24"/>
          <w:szCs w:val="24"/>
        </w:rPr>
        <w:t xml:space="preserve"> homebuyer readiness program lack adequate cash resources to cover down payment and closing costs. As housing supplies remain constrained and as costs continue to escalate, this barrier to homeownership will continue to grow.  </w:t>
      </w:r>
      <w:r w:rsidR="00623D8E" w:rsidRPr="0041522A">
        <w:rPr>
          <w:rFonts w:ascii="Cambria" w:hAnsi="Cambria"/>
          <w:sz w:val="24"/>
          <w:szCs w:val="24"/>
        </w:rPr>
        <w:t xml:space="preserve">The </w:t>
      </w:r>
      <w:proofErr w:type="spellStart"/>
      <w:r w:rsidRPr="0041522A">
        <w:rPr>
          <w:rFonts w:ascii="Cambria" w:hAnsi="Cambria"/>
          <w:sz w:val="24"/>
          <w:szCs w:val="24"/>
        </w:rPr>
        <w:t>FHLB</w:t>
      </w:r>
      <w:r w:rsidR="00623D8E" w:rsidRPr="0041522A">
        <w:rPr>
          <w:rFonts w:ascii="Cambria" w:hAnsi="Cambria"/>
          <w:sz w:val="24"/>
          <w:szCs w:val="24"/>
        </w:rPr>
        <w:t>anks</w:t>
      </w:r>
      <w:proofErr w:type="spellEnd"/>
      <w:r w:rsidRPr="0041522A">
        <w:rPr>
          <w:rFonts w:ascii="Cambria" w:hAnsi="Cambria"/>
          <w:sz w:val="24"/>
          <w:szCs w:val="24"/>
        </w:rPr>
        <w:t xml:space="preserve"> could help to meet this </w:t>
      </w:r>
      <w:r w:rsidRPr="0041522A">
        <w:rPr>
          <w:rFonts w:ascii="Cambria" w:hAnsi="Cambria"/>
          <w:sz w:val="24"/>
          <w:szCs w:val="24"/>
        </w:rPr>
        <w:lastRenderedPageBreak/>
        <w:t xml:space="preserve">need in ways that would generate </w:t>
      </w:r>
      <w:r w:rsidR="00C24B53">
        <w:rPr>
          <w:rFonts w:ascii="Cambria" w:hAnsi="Cambria"/>
          <w:sz w:val="24"/>
          <w:szCs w:val="24"/>
        </w:rPr>
        <w:t xml:space="preserve">additional </w:t>
      </w:r>
      <w:r w:rsidRPr="0041522A">
        <w:rPr>
          <w:rFonts w:ascii="Cambria" w:hAnsi="Cambria"/>
          <w:sz w:val="24"/>
          <w:szCs w:val="24"/>
        </w:rPr>
        <w:t>mortgage origination and servicing opportunities for their Members.</w:t>
      </w:r>
    </w:p>
    <w:p w14:paraId="077BCD1C" w14:textId="77777777" w:rsidR="00F92991" w:rsidRPr="0041522A" w:rsidRDefault="00F92991" w:rsidP="00467747">
      <w:pPr>
        <w:pStyle w:val="ListParagraph"/>
        <w:rPr>
          <w:rFonts w:ascii="Cambria" w:hAnsi="Cambria"/>
          <w:sz w:val="24"/>
          <w:szCs w:val="24"/>
        </w:rPr>
      </w:pPr>
    </w:p>
    <w:p w14:paraId="7BAEB20A" w14:textId="52BEC078" w:rsidR="00F92991" w:rsidRPr="0041522A" w:rsidRDefault="00F92991" w:rsidP="00467747">
      <w:pPr>
        <w:pStyle w:val="ListParagraph"/>
        <w:numPr>
          <w:ilvl w:val="0"/>
          <w:numId w:val="4"/>
        </w:numPr>
        <w:rPr>
          <w:rFonts w:ascii="Cambria" w:hAnsi="Cambria"/>
          <w:i/>
          <w:sz w:val="24"/>
          <w:szCs w:val="24"/>
        </w:rPr>
      </w:pPr>
      <w:r w:rsidRPr="0041522A">
        <w:rPr>
          <w:rFonts w:ascii="Cambria" w:hAnsi="Cambria"/>
          <w:b/>
          <w:sz w:val="24"/>
          <w:szCs w:val="24"/>
        </w:rPr>
        <w:t xml:space="preserve">FHLBs should also expand the </w:t>
      </w:r>
      <w:r w:rsidR="00C24B53">
        <w:rPr>
          <w:rFonts w:ascii="Cambria" w:hAnsi="Cambria"/>
          <w:b/>
          <w:sz w:val="24"/>
          <w:szCs w:val="24"/>
        </w:rPr>
        <w:t xml:space="preserve">supply of </w:t>
      </w:r>
      <w:r w:rsidRPr="0041522A">
        <w:rPr>
          <w:rFonts w:ascii="Cambria" w:hAnsi="Cambria"/>
          <w:b/>
          <w:sz w:val="24"/>
          <w:szCs w:val="24"/>
        </w:rPr>
        <w:t xml:space="preserve">affordable housing at scale by building on existing partnerships with CDFI Members and advancing new CDFI-FHLB </w:t>
      </w:r>
      <w:r w:rsidR="00877693">
        <w:rPr>
          <w:rFonts w:ascii="Cambria" w:hAnsi="Cambria"/>
          <w:b/>
          <w:sz w:val="24"/>
          <w:szCs w:val="24"/>
        </w:rPr>
        <w:t xml:space="preserve">partnership </w:t>
      </w:r>
      <w:r w:rsidRPr="0041522A">
        <w:rPr>
          <w:rFonts w:ascii="Cambria" w:hAnsi="Cambria"/>
          <w:b/>
          <w:sz w:val="24"/>
          <w:szCs w:val="24"/>
        </w:rPr>
        <w:t xml:space="preserve">opportunities. </w:t>
      </w:r>
      <w:r w:rsidRPr="0041522A">
        <w:rPr>
          <w:rFonts w:ascii="Cambria" w:hAnsi="Cambria"/>
          <w:sz w:val="24"/>
          <w:szCs w:val="24"/>
        </w:rPr>
        <w:t>The CDFI-FHLB Working Group, which includes approximately 30 CDFI Members and representatives of all 11 Banks</w:t>
      </w:r>
      <w:r w:rsidRPr="0041522A">
        <w:rPr>
          <w:rFonts w:ascii="Cambria" w:hAnsi="Cambria"/>
          <w:sz w:val="24"/>
          <w:szCs w:val="24"/>
          <w:vertAlign w:val="superscript"/>
        </w:rPr>
        <w:endnoteReference w:id="15"/>
      </w:r>
      <w:r w:rsidRPr="0041522A">
        <w:rPr>
          <w:rFonts w:ascii="Cambria" w:hAnsi="Cambria"/>
          <w:sz w:val="24"/>
          <w:szCs w:val="24"/>
        </w:rPr>
        <w:t xml:space="preserve">  met in 2020 and found common ground on several fronts including the possibility of developing standardized products designed specifically for CDFIs that would be available in every region. They also discussed moving forward with several pilots.  All 11 banks agreed with these preliminary ideas, but the effort paused during </w:t>
      </w:r>
      <w:proofErr w:type="spellStart"/>
      <w:r w:rsidRPr="0041522A">
        <w:rPr>
          <w:rFonts w:ascii="Cambria" w:hAnsi="Cambria"/>
          <w:sz w:val="24"/>
          <w:szCs w:val="24"/>
        </w:rPr>
        <w:t>Covid</w:t>
      </w:r>
      <w:proofErr w:type="spellEnd"/>
      <w:r w:rsidRPr="0041522A">
        <w:rPr>
          <w:rFonts w:ascii="Cambria" w:hAnsi="Cambria"/>
          <w:sz w:val="24"/>
          <w:szCs w:val="24"/>
        </w:rPr>
        <w:t xml:space="preserve">. </w:t>
      </w:r>
      <w:r w:rsidRPr="0041522A">
        <w:rPr>
          <w:rFonts w:ascii="Cambria" w:hAnsi="Cambria"/>
          <w:i/>
          <w:sz w:val="24"/>
          <w:szCs w:val="24"/>
          <w:u w:val="single"/>
        </w:rPr>
        <w:t xml:space="preserve">The Homeownership Alliance asks </w:t>
      </w:r>
      <w:r w:rsidR="007223AB">
        <w:rPr>
          <w:rFonts w:ascii="Cambria" w:hAnsi="Cambria"/>
          <w:i/>
          <w:sz w:val="24"/>
          <w:szCs w:val="24"/>
          <w:u w:val="single"/>
        </w:rPr>
        <w:t xml:space="preserve">the </w:t>
      </w:r>
      <w:r w:rsidRPr="0041522A">
        <w:rPr>
          <w:rFonts w:ascii="Cambria" w:hAnsi="Cambria"/>
          <w:i/>
          <w:sz w:val="24"/>
          <w:szCs w:val="24"/>
          <w:u w:val="single"/>
        </w:rPr>
        <w:t xml:space="preserve">FHLBs to recommit to this process now and </w:t>
      </w:r>
      <w:r w:rsidR="00877693">
        <w:rPr>
          <w:rFonts w:ascii="Cambria" w:hAnsi="Cambria"/>
          <w:i/>
          <w:sz w:val="24"/>
          <w:szCs w:val="24"/>
          <w:u w:val="single"/>
        </w:rPr>
        <w:t xml:space="preserve">to </w:t>
      </w:r>
      <w:r w:rsidRPr="0041522A">
        <w:rPr>
          <w:rFonts w:ascii="Cambria" w:hAnsi="Cambria"/>
          <w:i/>
          <w:sz w:val="24"/>
          <w:szCs w:val="24"/>
          <w:u w:val="single"/>
        </w:rPr>
        <w:t>move it measurably forward in 2023.</w:t>
      </w:r>
    </w:p>
    <w:p w14:paraId="7818282B" w14:textId="77777777" w:rsidR="00F92991" w:rsidRPr="0041522A" w:rsidRDefault="00F92991" w:rsidP="00467747">
      <w:pPr>
        <w:pStyle w:val="ListParagraph"/>
        <w:rPr>
          <w:rFonts w:ascii="Cambria" w:hAnsi="Cambria"/>
          <w:sz w:val="24"/>
          <w:szCs w:val="24"/>
        </w:rPr>
      </w:pPr>
    </w:p>
    <w:p w14:paraId="73954A65" w14:textId="6F8C0AD7" w:rsidR="00F92991" w:rsidRPr="0041522A" w:rsidRDefault="00F92991" w:rsidP="00EA567F">
      <w:pPr>
        <w:pStyle w:val="ListParagraph"/>
        <w:numPr>
          <w:ilvl w:val="0"/>
          <w:numId w:val="4"/>
        </w:numPr>
        <w:spacing w:after="0"/>
        <w:rPr>
          <w:rFonts w:ascii="Cambria" w:hAnsi="Cambria"/>
          <w:sz w:val="24"/>
          <w:szCs w:val="24"/>
        </w:rPr>
      </w:pPr>
      <w:r w:rsidRPr="0041522A">
        <w:rPr>
          <w:rFonts w:ascii="Cambria" w:hAnsi="Cambria"/>
          <w:b/>
          <w:sz w:val="24"/>
          <w:szCs w:val="24"/>
        </w:rPr>
        <w:t>As also discussed by the CDFI-FHLB Working Group in 2020, FHLBs should develop and facilitate matchmaking opportunities between non-d</w:t>
      </w:r>
      <w:r w:rsidR="005D2DA1">
        <w:rPr>
          <w:rFonts w:ascii="Cambria" w:hAnsi="Cambria"/>
          <w:b/>
          <w:sz w:val="24"/>
          <w:szCs w:val="24"/>
        </w:rPr>
        <w:t>epository CDFIs and other bank M</w:t>
      </w:r>
      <w:r w:rsidRPr="0041522A">
        <w:rPr>
          <w:rFonts w:ascii="Cambria" w:hAnsi="Cambria"/>
          <w:b/>
          <w:sz w:val="24"/>
          <w:szCs w:val="24"/>
        </w:rPr>
        <w:t>embers that are in need of CRA credit</w:t>
      </w:r>
      <w:r w:rsidR="0073689E" w:rsidRPr="0041522A">
        <w:rPr>
          <w:rFonts w:ascii="Cambria" w:hAnsi="Cambria"/>
          <w:b/>
          <w:sz w:val="24"/>
          <w:szCs w:val="24"/>
        </w:rPr>
        <w:t>s</w:t>
      </w:r>
      <w:r w:rsidRPr="0041522A">
        <w:rPr>
          <w:rFonts w:ascii="Cambria" w:hAnsi="Cambria"/>
          <w:b/>
          <w:sz w:val="24"/>
          <w:szCs w:val="24"/>
        </w:rPr>
        <w:t xml:space="preserve">.  </w:t>
      </w:r>
      <w:r w:rsidRPr="0041522A">
        <w:rPr>
          <w:rFonts w:ascii="Cambria" w:hAnsi="Cambria"/>
          <w:sz w:val="24"/>
          <w:szCs w:val="24"/>
        </w:rPr>
        <w:t xml:space="preserve">The system should facilitate increased access to capital and </w:t>
      </w:r>
      <w:proofErr w:type="spellStart"/>
      <w:r w:rsidRPr="0041522A">
        <w:rPr>
          <w:rFonts w:ascii="Cambria" w:hAnsi="Cambria"/>
          <w:sz w:val="24"/>
          <w:szCs w:val="24"/>
        </w:rPr>
        <w:t>FHLB</w:t>
      </w:r>
      <w:r w:rsidR="00623D8E" w:rsidRPr="0041522A">
        <w:rPr>
          <w:rFonts w:ascii="Cambria" w:hAnsi="Cambria"/>
          <w:sz w:val="24"/>
          <w:szCs w:val="24"/>
        </w:rPr>
        <w:t>ank</w:t>
      </w:r>
      <w:proofErr w:type="spellEnd"/>
      <w:r w:rsidR="00623D8E" w:rsidRPr="0041522A">
        <w:rPr>
          <w:rFonts w:ascii="Cambria" w:hAnsi="Cambria"/>
          <w:sz w:val="24"/>
          <w:szCs w:val="24"/>
        </w:rPr>
        <w:t xml:space="preserve"> </w:t>
      </w:r>
      <w:r w:rsidRPr="0041522A">
        <w:rPr>
          <w:rFonts w:ascii="Cambria" w:hAnsi="Cambria"/>
          <w:sz w:val="24"/>
          <w:szCs w:val="24"/>
        </w:rPr>
        <w:t xml:space="preserve"> advances for non-depository CDFI Members by pairing them with CRA-eligible Members, many of which have excess capital that could address the non-depositories’ needs while generating CRA credit. By putting non-dep</w:t>
      </w:r>
      <w:r w:rsidR="005D2DA1">
        <w:rPr>
          <w:rFonts w:ascii="Cambria" w:hAnsi="Cambria"/>
          <w:sz w:val="24"/>
          <w:szCs w:val="24"/>
        </w:rPr>
        <w:t>ository CDFIs and CRA-eligible M</w:t>
      </w:r>
      <w:r w:rsidRPr="0041522A">
        <w:rPr>
          <w:rFonts w:ascii="Cambria" w:hAnsi="Cambria"/>
          <w:sz w:val="24"/>
          <w:szCs w:val="24"/>
        </w:rPr>
        <w:t>embers together, both parties could benefit.</w:t>
      </w:r>
    </w:p>
    <w:p w14:paraId="2B1B60E7" w14:textId="77777777" w:rsidR="000008C0" w:rsidRDefault="000008C0" w:rsidP="000008C0">
      <w:pPr>
        <w:spacing w:after="0"/>
        <w:rPr>
          <w:rFonts w:ascii="Cambria" w:hAnsi="Cambria"/>
          <w:b/>
          <w:sz w:val="24"/>
          <w:szCs w:val="24"/>
          <w:u w:val="single"/>
        </w:rPr>
      </w:pPr>
    </w:p>
    <w:p w14:paraId="4A95A3D1" w14:textId="54049019" w:rsidR="00F92991" w:rsidRPr="0041522A" w:rsidRDefault="00F92991" w:rsidP="00EA567F">
      <w:pPr>
        <w:spacing w:after="0"/>
        <w:rPr>
          <w:rFonts w:ascii="Cambria" w:hAnsi="Cambria"/>
          <w:sz w:val="24"/>
          <w:szCs w:val="24"/>
        </w:rPr>
      </w:pPr>
      <w:r w:rsidRPr="0041522A">
        <w:rPr>
          <w:rFonts w:ascii="Cambria" w:hAnsi="Cambria"/>
          <w:b/>
          <w:sz w:val="24"/>
          <w:szCs w:val="24"/>
          <w:u w:val="single"/>
        </w:rPr>
        <w:t>Additional Input for Consideration</w:t>
      </w:r>
    </w:p>
    <w:p w14:paraId="28FCE8D9" w14:textId="1E137040" w:rsidR="00F92991" w:rsidRPr="0041522A" w:rsidRDefault="00F92991" w:rsidP="00467747">
      <w:pPr>
        <w:pStyle w:val="ListParagraph"/>
        <w:rPr>
          <w:rFonts w:ascii="Cambria" w:hAnsi="Cambria"/>
          <w:b/>
          <w:sz w:val="24"/>
          <w:szCs w:val="24"/>
        </w:rPr>
      </w:pPr>
    </w:p>
    <w:p w14:paraId="58F1273E" w14:textId="58E8F789" w:rsidR="00F92991" w:rsidRPr="0041522A" w:rsidRDefault="00F92991" w:rsidP="002A3C06">
      <w:pPr>
        <w:pStyle w:val="ListParagraph"/>
        <w:numPr>
          <w:ilvl w:val="0"/>
          <w:numId w:val="1"/>
        </w:numPr>
        <w:ind w:left="720"/>
        <w:rPr>
          <w:rFonts w:ascii="Cambria" w:hAnsi="Cambria"/>
          <w:sz w:val="24"/>
          <w:szCs w:val="24"/>
          <w:u w:val="single"/>
        </w:rPr>
      </w:pPr>
      <w:r w:rsidRPr="0041522A">
        <w:rPr>
          <w:rFonts w:ascii="Cambria" w:hAnsi="Cambria"/>
          <w:b/>
          <w:sz w:val="24"/>
          <w:szCs w:val="24"/>
        </w:rPr>
        <w:t>Importance of Scale</w:t>
      </w:r>
      <w:r w:rsidRPr="0041522A">
        <w:rPr>
          <w:rFonts w:ascii="Cambria" w:hAnsi="Cambria"/>
          <w:sz w:val="24"/>
          <w:szCs w:val="24"/>
        </w:rPr>
        <w:t xml:space="preserve"> – The ability of housing practitioners to respond proportionately to the national housing crisis today requires scaling systems, capital, subsidies, and partnerships accordingly. Successful partnerships with FHLBs have allowed non-depository CDFIs and nonprofit </w:t>
      </w:r>
      <w:r w:rsidR="007223AB">
        <w:rPr>
          <w:rFonts w:ascii="Cambria" w:hAnsi="Cambria"/>
          <w:sz w:val="24"/>
          <w:szCs w:val="24"/>
        </w:rPr>
        <w:t>developers</w:t>
      </w:r>
      <w:r w:rsidRPr="0041522A">
        <w:rPr>
          <w:rFonts w:ascii="Cambria" w:hAnsi="Cambria"/>
          <w:sz w:val="24"/>
          <w:szCs w:val="24"/>
        </w:rPr>
        <w:t xml:space="preserve"> to achieve such </w:t>
      </w:r>
      <w:r w:rsidRPr="007223AB">
        <w:rPr>
          <w:rFonts w:ascii="Cambria" w:hAnsi="Cambria"/>
          <w:sz w:val="24"/>
          <w:szCs w:val="24"/>
        </w:rPr>
        <w:t xml:space="preserve">scale </w:t>
      </w:r>
      <w:r w:rsidRPr="0041522A">
        <w:rPr>
          <w:rFonts w:ascii="Cambria" w:hAnsi="Cambria"/>
          <w:sz w:val="24"/>
          <w:szCs w:val="24"/>
        </w:rPr>
        <w:t xml:space="preserve">with specific programs and initiatives.  </w:t>
      </w:r>
      <w:r w:rsidRPr="0041522A">
        <w:rPr>
          <w:rFonts w:ascii="Cambria" w:hAnsi="Cambria"/>
          <w:sz w:val="24"/>
          <w:szCs w:val="24"/>
          <w:u w:val="single"/>
        </w:rPr>
        <w:t>We urge the FHLBs to seize opportunities to invest in- and leverage the capacity of these mission partners in order to deliver mission outcomes at the scale needed today</w:t>
      </w:r>
      <w:r w:rsidR="0073689E" w:rsidRPr="0041522A">
        <w:rPr>
          <w:rFonts w:ascii="Cambria" w:hAnsi="Cambria"/>
          <w:sz w:val="24"/>
          <w:szCs w:val="24"/>
          <w:u w:val="single"/>
        </w:rPr>
        <w:t xml:space="preserve"> and going forward</w:t>
      </w:r>
      <w:r w:rsidRPr="0041522A">
        <w:rPr>
          <w:rFonts w:ascii="Cambria" w:hAnsi="Cambria"/>
          <w:sz w:val="24"/>
          <w:szCs w:val="24"/>
          <w:u w:val="single"/>
        </w:rPr>
        <w:t xml:space="preserve">.  </w:t>
      </w:r>
    </w:p>
    <w:p w14:paraId="344033E4" w14:textId="77777777" w:rsidR="00F92991" w:rsidRPr="0041522A" w:rsidRDefault="00F92991" w:rsidP="00467747">
      <w:pPr>
        <w:pStyle w:val="ListParagraph"/>
        <w:rPr>
          <w:rFonts w:ascii="Cambria" w:hAnsi="Cambria"/>
          <w:b/>
          <w:sz w:val="24"/>
          <w:szCs w:val="24"/>
        </w:rPr>
      </w:pPr>
    </w:p>
    <w:p w14:paraId="325923CD" w14:textId="3C73F528" w:rsidR="00F92991" w:rsidRPr="0041522A" w:rsidRDefault="00F92991" w:rsidP="005322ED">
      <w:pPr>
        <w:pStyle w:val="ListParagraph"/>
        <w:numPr>
          <w:ilvl w:val="0"/>
          <w:numId w:val="1"/>
        </w:numPr>
        <w:spacing w:after="0"/>
        <w:ind w:left="720"/>
        <w:rPr>
          <w:rFonts w:ascii="Cambria" w:hAnsi="Cambria"/>
          <w:sz w:val="24"/>
          <w:szCs w:val="24"/>
        </w:rPr>
      </w:pPr>
      <w:r w:rsidRPr="0041522A">
        <w:rPr>
          <w:rFonts w:ascii="Cambria" w:hAnsi="Cambria"/>
          <w:b/>
          <w:sz w:val="24"/>
          <w:szCs w:val="24"/>
        </w:rPr>
        <w:t>Importance of Regional FHLB System</w:t>
      </w:r>
      <w:r w:rsidRPr="0041522A">
        <w:rPr>
          <w:rFonts w:ascii="Cambria" w:hAnsi="Cambria"/>
          <w:sz w:val="24"/>
          <w:szCs w:val="24"/>
        </w:rPr>
        <w:t xml:space="preserve"> </w:t>
      </w:r>
      <w:r w:rsidRPr="0041522A">
        <w:rPr>
          <w:rFonts w:ascii="Cambria" w:hAnsi="Cambria"/>
          <w:b/>
          <w:sz w:val="24"/>
          <w:szCs w:val="24"/>
        </w:rPr>
        <w:t xml:space="preserve">Structure </w:t>
      </w:r>
      <w:r w:rsidRPr="0041522A">
        <w:rPr>
          <w:rFonts w:ascii="Cambria" w:hAnsi="Cambria"/>
          <w:sz w:val="24"/>
          <w:szCs w:val="24"/>
        </w:rPr>
        <w:t xml:space="preserve">– The FHLB System’s regional configuration is key to the success of FHLB partnerships and to meeting the unique needs and priorities of local markets in innovative ways. </w:t>
      </w:r>
      <w:r w:rsidRPr="0041522A">
        <w:rPr>
          <w:rFonts w:ascii="Cambria" w:hAnsi="Cambria"/>
          <w:sz w:val="24"/>
          <w:szCs w:val="24"/>
          <w:u w:val="single"/>
        </w:rPr>
        <w:t xml:space="preserve">We urge the FHFA to maintain the current regional framework </w:t>
      </w:r>
      <w:r w:rsidR="00AC26AD" w:rsidRPr="0041522A">
        <w:rPr>
          <w:rFonts w:ascii="Cambria" w:hAnsi="Cambria"/>
          <w:sz w:val="24"/>
          <w:szCs w:val="24"/>
          <w:u w:val="single"/>
        </w:rPr>
        <w:t xml:space="preserve">and focus </w:t>
      </w:r>
      <w:r w:rsidRPr="0041522A">
        <w:rPr>
          <w:rFonts w:ascii="Cambria" w:hAnsi="Cambria"/>
          <w:sz w:val="24"/>
          <w:szCs w:val="24"/>
          <w:u w:val="single"/>
        </w:rPr>
        <w:t>of the FHLB system</w:t>
      </w:r>
      <w:r w:rsidR="00AC26AD" w:rsidRPr="0041522A">
        <w:rPr>
          <w:rFonts w:ascii="Cambria" w:hAnsi="Cambria"/>
          <w:sz w:val="24"/>
          <w:szCs w:val="24"/>
          <w:u w:val="single"/>
        </w:rPr>
        <w:t xml:space="preserve"> and of the FHLBs</w:t>
      </w:r>
      <w:r w:rsidRPr="0041522A">
        <w:rPr>
          <w:rFonts w:ascii="Cambria" w:hAnsi="Cambria"/>
          <w:sz w:val="24"/>
          <w:szCs w:val="24"/>
          <w:u w:val="single"/>
        </w:rPr>
        <w:t>.</w:t>
      </w:r>
    </w:p>
    <w:p w14:paraId="17D0D42B" w14:textId="77777777" w:rsidR="00F92991" w:rsidRPr="0041522A" w:rsidRDefault="00F92991" w:rsidP="00677C7B">
      <w:pPr>
        <w:spacing w:after="0"/>
        <w:rPr>
          <w:rFonts w:ascii="Cambria" w:hAnsi="Cambria"/>
          <w:sz w:val="24"/>
          <w:szCs w:val="24"/>
        </w:rPr>
      </w:pPr>
    </w:p>
    <w:p w14:paraId="5FBD70DC" w14:textId="4BC8C621" w:rsidR="00F92991" w:rsidRPr="0041522A" w:rsidRDefault="00F92991" w:rsidP="00467747">
      <w:pPr>
        <w:pStyle w:val="ListParagraph"/>
        <w:numPr>
          <w:ilvl w:val="0"/>
          <w:numId w:val="1"/>
        </w:numPr>
        <w:ind w:left="720"/>
        <w:rPr>
          <w:rFonts w:ascii="Cambria" w:hAnsi="Cambria"/>
          <w:sz w:val="24"/>
          <w:szCs w:val="24"/>
        </w:rPr>
      </w:pPr>
      <w:r w:rsidRPr="0041522A">
        <w:rPr>
          <w:rFonts w:ascii="Cambria" w:hAnsi="Cambria"/>
          <w:b/>
          <w:sz w:val="24"/>
          <w:szCs w:val="24"/>
        </w:rPr>
        <w:t>Member Advances - Usage Data and Evaluation of Outcomes</w:t>
      </w:r>
      <w:r w:rsidRPr="0041522A">
        <w:rPr>
          <w:rFonts w:ascii="Cambria" w:hAnsi="Cambria"/>
          <w:sz w:val="24"/>
          <w:szCs w:val="24"/>
        </w:rPr>
        <w:t xml:space="preserve"> - </w:t>
      </w:r>
      <w:r w:rsidR="00B079EB" w:rsidRPr="0041522A">
        <w:rPr>
          <w:rFonts w:ascii="Cambria" w:hAnsi="Cambria"/>
          <w:sz w:val="24"/>
          <w:szCs w:val="24"/>
        </w:rPr>
        <w:t xml:space="preserve">We encourage the </w:t>
      </w:r>
      <w:r w:rsidRPr="0041522A">
        <w:rPr>
          <w:rFonts w:ascii="Cambria" w:hAnsi="Cambria"/>
          <w:sz w:val="24"/>
          <w:szCs w:val="24"/>
        </w:rPr>
        <w:t xml:space="preserve">FHFA </w:t>
      </w:r>
      <w:r w:rsidR="00B079EB" w:rsidRPr="0041522A">
        <w:rPr>
          <w:rFonts w:ascii="Cambria" w:hAnsi="Cambria"/>
          <w:sz w:val="24"/>
          <w:szCs w:val="24"/>
        </w:rPr>
        <w:t xml:space="preserve">to </w:t>
      </w:r>
      <w:r w:rsidRPr="0041522A">
        <w:rPr>
          <w:rFonts w:ascii="Cambria" w:hAnsi="Cambria"/>
          <w:sz w:val="24"/>
          <w:szCs w:val="24"/>
        </w:rPr>
        <w:t>collect and evaluate dat</w:t>
      </w:r>
      <w:r w:rsidR="005D2DA1">
        <w:rPr>
          <w:rFonts w:ascii="Cambria" w:hAnsi="Cambria"/>
          <w:sz w:val="24"/>
          <w:szCs w:val="24"/>
        </w:rPr>
        <w:t>a from the FHLBs on the use of M</w:t>
      </w:r>
      <w:r w:rsidRPr="0041522A">
        <w:rPr>
          <w:rFonts w:ascii="Cambria" w:hAnsi="Cambria"/>
          <w:sz w:val="24"/>
          <w:szCs w:val="24"/>
        </w:rPr>
        <w:t xml:space="preserve">ember Advances, similar to its evaluation of AHP, the Community Investment Program (CIP) and the </w:t>
      </w:r>
      <w:r w:rsidRPr="0041522A">
        <w:rPr>
          <w:rFonts w:ascii="Cambria" w:hAnsi="Cambria"/>
          <w:sz w:val="24"/>
          <w:szCs w:val="24"/>
        </w:rPr>
        <w:lastRenderedPageBreak/>
        <w:t>Community Investment Cash Advance Program (CICA)</w:t>
      </w:r>
      <w:r w:rsidR="007223AB">
        <w:rPr>
          <w:rFonts w:ascii="Cambria" w:hAnsi="Cambria"/>
          <w:sz w:val="24"/>
          <w:szCs w:val="24"/>
        </w:rPr>
        <w:t>. Better u</w:t>
      </w:r>
      <w:r w:rsidRPr="0041522A">
        <w:rPr>
          <w:rFonts w:ascii="Cambria" w:hAnsi="Cambria"/>
          <w:sz w:val="24"/>
          <w:szCs w:val="24"/>
        </w:rPr>
        <w:t xml:space="preserve">nderstanding direct and indirect benefits of </w:t>
      </w:r>
      <w:r w:rsidR="0073689E" w:rsidRPr="0041522A">
        <w:rPr>
          <w:rFonts w:ascii="Cambria" w:hAnsi="Cambria"/>
          <w:sz w:val="24"/>
          <w:szCs w:val="24"/>
        </w:rPr>
        <w:t>M</w:t>
      </w:r>
      <w:r w:rsidRPr="0041522A">
        <w:rPr>
          <w:rFonts w:ascii="Cambria" w:hAnsi="Cambria"/>
          <w:sz w:val="24"/>
          <w:szCs w:val="24"/>
        </w:rPr>
        <w:t xml:space="preserve">ember advances would be helpful for assessing the </w:t>
      </w:r>
      <w:r w:rsidR="0073689E" w:rsidRPr="0041522A">
        <w:rPr>
          <w:rFonts w:ascii="Cambria" w:hAnsi="Cambria"/>
          <w:sz w:val="24"/>
          <w:szCs w:val="24"/>
        </w:rPr>
        <w:t xml:space="preserve">overall </w:t>
      </w:r>
      <w:r w:rsidRPr="0041522A">
        <w:rPr>
          <w:rFonts w:ascii="Cambria" w:hAnsi="Cambria"/>
          <w:sz w:val="24"/>
          <w:szCs w:val="24"/>
        </w:rPr>
        <w:t xml:space="preserve">mission contributions </w:t>
      </w:r>
      <w:r w:rsidR="007223AB">
        <w:rPr>
          <w:rFonts w:ascii="Cambria" w:hAnsi="Cambria"/>
          <w:sz w:val="24"/>
          <w:szCs w:val="24"/>
        </w:rPr>
        <w:t xml:space="preserve">of </w:t>
      </w:r>
      <w:r w:rsidRPr="0041522A">
        <w:rPr>
          <w:rFonts w:ascii="Cambria" w:hAnsi="Cambria"/>
          <w:sz w:val="24"/>
          <w:szCs w:val="24"/>
        </w:rPr>
        <w:t xml:space="preserve">the FHLBs.  It would also provide additional overall transparency to a complex, taxpayer-supported system.  </w:t>
      </w:r>
    </w:p>
    <w:p w14:paraId="73866660" w14:textId="77777777" w:rsidR="00F92991" w:rsidRPr="0041522A" w:rsidRDefault="00F92991" w:rsidP="00467747">
      <w:pPr>
        <w:pStyle w:val="ListParagraph"/>
        <w:ind w:left="360"/>
        <w:rPr>
          <w:rFonts w:ascii="Cambria" w:hAnsi="Cambria"/>
          <w:sz w:val="24"/>
          <w:szCs w:val="24"/>
        </w:rPr>
      </w:pPr>
    </w:p>
    <w:p w14:paraId="25BA34EE" w14:textId="77777777" w:rsidR="00F92991" w:rsidRPr="0041522A" w:rsidRDefault="00F92991" w:rsidP="00467747">
      <w:pPr>
        <w:rPr>
          <w:rFonts w:ascii="Cambria" w:hAnsi="Cambria"/>
          <w:b/>
          <w:sz w:val="24"/>
          <w:szCs w:val="24"/>
          <w:u w:val="single"/>
        </w:rPr>
      </w:pPr>
      <w:r w:rsidRPr="0041522A">
        <w:rPr>
          <w:rFonts w:ascii="Cambria" w:hAnsi="Cambria"/>
          <w:b/>
          <w:sz w:val="24"/>
          <w:szCs w:val="24"/>
          <w:u w:val="single"/>
        </w:rPr>
        <w:t>Conclusion</w:t>
      </w:r>
    </w:p>
    <w:p w14:paraId="6DD6CE65" w14:textId="5708551B" w:rsidR="00F92991" w:rsidRPr="0041522A" w:rsidRDefault="00F92991" w:rsidP="00467747">
      <w:pPr>
        <w:rPr>
          <w:rFonts w:ascii="Cambria" w:hAnsi="Cambria"/>
          <w:sz w:val="24"/>
          <w:szCs w:val="24"/>
          <w:u w:val="single"/>
        </w:rPr>
      </w:pPr>
      <w:r w:rsidRPr="0041522A">
        <w:rPr>
          <w:rFonts w:ascii="Cambria" w:hAnsi="Cambria"/>
          <w:sz w:val="24"/>
          <w:szCs w:val="24"/>
        </w:rPr>
        <w:t>The FHLBs are important partners that non-depository CDFIs and nonprofit housing developers count on to deliver needed capital and subsidy resources for housing investments in underserved communities.</w:t>
      </w:r>
      <w:r w:rsidRPr="0041522A">
        <w:rPr>
          <w:rFonts w:ascii="Cambria" w:hAnsi="Cambria"/>
          <w:b/>
          <w:sz w:val="24"/>
          <w:szCs w:val="24"/>
        </w:rPr>
        <w:t xml:space="preserve">  However, the system </w:t>
      </w:r>
      <w:r w:rsidRPr="0041522A">
        <w:rPr>
          <w:rFonts w:ascii="Cambria" w:hAnsi="Cambria"/>
          <w:b/>
          <w:i/>
          <w:sz w:val="24"/>
          <w:szCs w:val="24"/>
        </w:rPr>
        <w:t>can and must</w:t>
      </w:r>
      <w:r w:rsidRPr="0041522A">
        <w:rPr>
          <w:rFonts w:ascii="Cambria" w:hAnsi="Cambria"/>
          <w:b/>
          <w:sz w:val="24"/>
          <w:szCs w:val="24"/>
        </w:rPr>
        <w:t xml:space="preserve"> do more to fulfill its public purpose mission and to address the </w:t>
      </w:r>
      <w:r w:rsidR="007223AB">
        <w:rPr>
          <w:rFonts w:ascii="Cambria" w:hAnsi="Cambria"/>
          <w:b/>
          <w:sz w:val="24"/>
          <w:szCs w:val="24"/>
        </w:rPr>
        <w:t xml:space="preserve">nation’s </w:t>
      </w:r>
      <w:r w:rsidRPr="0041522A">
        <w:rPr>
          <w:rFonts w:ascii="Cambria" w:hAnsi="Cambria"/>
          <w:b/>
          <w:sz w:val="24"/>
          <w:szCs w:val="24"/>
        </w:rPr>
        <w:t>severe housing crisis today.</w:t>
      </w:r>
      <w:r w:rsidRPr="0041522A">
        <w:rPr>
          <w:rFonts w:ascii="Cambria" w:hAnsi="Cambria"/>
          <w:sz w:val="24"/>
          <w:szCs w:val="24"/>
          <w:u w:val="single"/>
        </w:rPr>
        <w:t xml:space="preserve"> </w:t>
      </w:r>
    </w:p>
    <w:p w14:paraId="0F8BAAB6" w14:textId="167819FF" w:rsidR="00F92991" w:rsidRPr="0041522A" w:rsidRDefault="00F92991" w:rsidP="00467747">
      <w:pPr>
        <w:rPr>
          <w:rFonts w:ascii="Cambria" w:hAnsi="Cambria"/>
          <w:sz w:val="24"/>
          <w:szCs w:val="24"/>
        </w:rPr>
      </w:pPr>
      <w:r w:rsidRPr="0041522A">
        <w:rPr>
          <w:rFonts w:ascii="Cambria" w:hAnsi="Cambria"/>
          <w:b/>
          <w:sz w:val="24"/>
          <w:szCs w:val="24"/>
        </w:rPr>
        <w:t xml:space="preserve">We urge </w:t>
      </w:r>
      <w:r w:rsidR="00C24B53">
        <w:rPr>
          <w:rFonts w:ascii="Cambria" w:hAnsi="Cambria"/>
          <w:b/>
          <w:sz w:val="24"/>
          <w:szCs w:val="24"/>
        </w:rPr>
        <w:t xml:space="preserve">the </w:t>
      </w:r>
      <w:r w:rsidRPr="0041522A">
        <w:rPr>
          <w:rFonts w:ascii="Cambria" w:hAnsi="Cambria"/>
          <w:b/>
          <w:sz w:val="24"/>
          <w:szCs w:val="24"/>
        </w:rPr>
        <w:t>FHFA and Congress to require and incent FHLBs to do deliver substantially more resources to support increased affordable homeownership opportunities at scale and commensurate with national need</w:t>
      </w:r>
      <w:r w:rsidR="004430F7" w:rsidRPr="0041522A">
        <w:rPr>
          <w:rFonts w:ascii="Cambria" w:hAnsi="Cambria"/>
          <w:b/>
          <w:sz w:val="24"/>
          <w:szCs w:val="24"/>
        </w:rPr>
        <w:t>s</w:t>
      </w:r>
      <w:r w:rsidRPr="0041522A">
        <w:rPr>
          <w:rFonts w:ascii="Cambria" w:hAnsi="Cambria"/>
          <w:b/>
          <w:sz w:val="24"/>
          <w:szCs w:val="24"/>
        </w:rPr>
        <w:t>.</w:t>
      </w:r>
      <w:r w:rsidRPr="0041522A">
        <w:rPr>
          <w:rFonts w:ascii="Cambria" w:hAnsi="Cambria"/>
          <w:sz w:val="24"/>
          <w:szCs w:val="24"/>
        </w:rPr>
        <w:t xml:space="preserve">  We also urge FHLBs to reduce barriers </w:t>
      </w:r>
      <w:r w:rsidR="005D2DA1">
        <w:rPr>
          <w:rFonts w:ascii="Cambria" w:hAnsi="Cambria"/>
          <w:sz w:val="24"/>
          <w:szCs w:val="24"/>
        </w:rPr>
        <w:t>that limit non-depository CDFI M</w:t>
      </w:r>
      <w:r w:rsidRPr="0041522A">
        <w:rPr>
          <w:rFonts w:ascii="Cambria" w:hAnsi="Cambria"/>
          <w:sz w:val="24"/>
          <w:szCs w:val="24"/>
        </w:rPr>
        <w:t xml:space="preserve">embers’ access to advances. Finally, we urge </w:t>
      </w:r>
      <w:r w:rsidR="00C24B53">
        <w:rPr>
          <w:rFonts w:ascii="Cambria" w:hAnsi="Cambria"/>
          <w:sz w:val="24"/>
          <w:szCs w:val="24"/>
        </w:rPr>
        <w:t xml:space="preserve">the </w:t>
      </w:r>
      <w:r w:rsidRPr="0041522A">
        <w:rPr>
          <w:rFonts w:ascii="Cambria" w:hAnsi="Cambria"/>
          <w:sz w:val="24"/>
          <w:szCs w:val="24"/>
        </w:rPr>
        <w:t xml:space="preserve">FHFA to encourage </w:t>
      </w:r>
      <w:r w:rsidR="007223AB">
        <w:rPr>
          <w:rFonts w:ascii="Cambria" w:hAnsi="Cambria"/>
          <w:sz w:val="24"/>
          <w:szCs w:val="24"/>
        </w:rPr>
        <w:t xml:space="preserve">the </w:t>
      </w:r>
      <w:r w:rsidRPr="0041522A">
        <w:rPr>
          <w:rFonts w:ascii="Cambria" w:hAnsi="Cambria"/>
          <w:sz w:val="24"/>
          <w:szCs w:val="24"/>
        </w:rPr>
        <w:t xml:space="preserve">FHLBs to </w:t>
      </w:r>
      <w:r w:rsidR="00D80CDF" w:rsidRPr="00AE3637">
        <w:rPr>
          <w:rFonts w:ascii="Cambria" w:hAnsi="Cambria"/>
          <w:sz w:val="24"/>
          <w:szCs w:val="24"/>
        </w:rPr>
        <w:t>expand</w:t>
      </w:r>
      <w:r w:rsidR="00D80CDF">
        <w:rPr>
          <w:rFonts w:ascii="Cambria" w:hAnsi="Cambria"/>
          <w:sz w:val="24"/>
          <w:szCs w:val="24"/>
        </w:rPr>
        <w:t xml:space="preserve"> </w:t>
      </w:r>
      <w:r w:rsidR="004430F7" w:rsidRPr="0041522A">
        <w:rPr>
          <w:rFonts w:ascii="Cambria" w:hAnsi="Cambria"/>
          <w:sz w:val="24"/>
          <w:szCs w:val="24"/>
        </w:rPr>
        <w:t xml:space="preserve">the membership of- and </w:t>
      </w:r>
      <w:r w:rsidRPr="0041522A">
        <w:rPr>
          <w:rFonts w:ascii="Cambria" w:hAnsi="Cambria"/>
          <w:sz w:val="24"/>
          <w:szCs w:val="24"/>
        </w:rPr>
        <w:t xml:space="preserve">partnerships with </w:t>
      </w:r>
      <w:r w:rsidR="004430F7" w:rsidRPr="0041522A">
        <w:rPr>
          <w:rFonts w:ascii="Cambria" w:hAnsi="Cambria"/>
          <w:sz w:val="24"/>
          <w:szCs w:val="24"/>
        </w:rPr>
        <w:t xml:space="preserve">non-depository </w:t>
      </w:r>
      <w:r w:rsidRPr="0041522A">
        <w:rPr>
          <w:rFonts w:ascii="Cambria" w:hAnsi="Cambria"/>
          <w:sz w:val="24"/>
          <w:szCs w:val="24"/>
        </w:rPr>
        <w:t>CDFI</w:t>
      </w:r>
      <w:r w:rsidR="004430F7" w:rsidRPr="0041522A">
        <w:rPr>
          <w:rFonts w:ascii="Cambria" w:hAnsi="Cambria"/>
          <w:sz w:val="24"/>
          <w:szCs w:val="24"/>
        </w:rPr>
        <w:t>s, which</w:t>
      </w:r>
      <w:r w:rsidRPr="0041522A">
        <w:rPr>
          <w:rFonts w:ascii="Cambria" w:hAnsi="Cambria"/>
          <w:sz w:val="24"/>
          <w:szCs w:val="24"/>
        </w:rPr>
        <w:t xml:space="preserve"> can yield substantially greater mission outcomes in 2023 and beyond.   </w:t>
      </w:r>
    </w:p>
    <w:p w14:paraId="581B8099" w14:textId="67F97F45" w:rsidR="00F92991" w:rsidRPr="0041522A" w:rsidRDefault="00F92991" w:rsidP="00677C7B">
      <w:pPr>
        <w:rPr>
          <w:rFonts w:ascii="Cambria" w:hAnsi="Cambria"/>
          <w:sz w:val="24"/>
          <w:szCs w:val="24"/>
        </w:rPr>
      </w:pPr>
      <w:r w:rsidRPr="0041522A">
        <w:rPr>
          <w:rFonts w:ascii="Cambria" w:hAnsi="Cambria"/>
          <w:sz w:val="24"/>
          <w:szCs w:val="24"/>
        </w:rPr>
        <w:t xml:space="preserve">The Homeownership Alliance appreciates the opportunity to provide these comments.  For follow up questions, please contact David Hunter at </w:t>
      </w:r>
      <w:hyperlink r:id="rId14" w:history="1">
        <w:r w:rsidRPr="0041522A">
          <w:rPr>
            <w:rStyle w:val="Hyperlink"/>
            <w:rFonts w:ascii="Cambria" w:hAnsi="Cambria"/>
            <w:sz w:val="24"/>
            <w:szCs w:val="24"/>
          </w:rPr>
          <w:t>dhunter@stabilizationtrust.org</w:t>
        </w:r>
      </w:hyperlink>
      <w:r w:rsidRPr="0041522A">
        <w:rPr>
          <w:rFonts w:ascii="Cambria" w:hAnsi="Cambria"/>
          <w:sz w:val="24"/>
          <w:szCs w:val="24"/>
        </w:rPr>
        <w:t xml:space="preserve"> or Kristin Siglin at </w:t>
      </w:r>
      <w:hyperlink r:id="rId15" w:history="1">
        <w:r w:rsidRPr="0041522A">
          <w:rPr>
            <w:rStyle w:val="Hyperlink"/>
            <w:rFonts w:ascii="Cambria" w:hAnsi="Cambria"/>
            <w:sz w:val="24"/>
            <w:szCs w:val="24"/>
          </w:rPr>
          <w:t>ksiglin@stabiliztiontrust.org</w:t>
        </w:r>
      </w:hyperlink>
      <w:r w:rsidRPr="0041522A">
        <w:rPr>
          <w:rFonts w:ascii="Cambria" w:hAnsi="Cambria"/>
          <w:sz w:val="24"/>
          <w:szCs w:val="24"/>
        </w:rPr>
        <w:t>.</w:t>
      </w:r>
    </w:p>
    <w:p w14:paraId="3972C92F" w14:textId="77777777" w:rsidR="00EC0532" w:rsidRPr="0041522A" w:rsidRDefault="00EC0532" w:rsidP="00677C7B">
      <w:pPr>
        <w:rPr>
          <w:rFonts w:ascii="Cambria" w:hAnsi="Cambria"/>
          <w:sz w:val="24"/>
          <w:szCs w:val="24"/>
        </w:rPr>
      </w:pPr>
    </w:p>
    <w:sectPr w:rsidR="00EC0532" w:rsidRPr="0041522A" w:rsidSect="00677C7B">
      <w:footerReference w:type="default" r:id="rId16"/>
      <w:endnotePr>
        <w:numFmt w:val="decimal"/>
      </w:endnotePr>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28E2" w16cex:dateUtc="2022-10-19T11:42:00Z"/>
  <w16cex:commentExtensible w16cex:durableId="26FA287F" w16cex:dateUtc="2022-10-19T11:40:00Z"/>
  <w16cex:commentExtensible w16cex:durableId="26FA29EF" w16cex:dateUtc="2022-10-19T11:46:00Z"/>
  <w16cex:commentExtensible w16cex:durableId="26FA2ADD" w16cex:dateUtc="2022-10-19T11:50:00Z"/>
  <w16cex:commentExtensible w16cex:durableId="26FA335D" w16cex:dateUtc="2022-10-19T12:27:00Z"/>
  <w16cex:commentExtensible w16cex:durableId="26FA2A2F" w16cex:dateUtc="2022-10-19T11:47:00Z"/>
  <w16cex:commentExtensible w16cex:durableId="26FA2C34" w16cex:dateUtc="2022-10-19T11:56:00Z"/>
  <w16cex:commentExtensible w16cex:durableId="26FA2C7A" w16cex:dateUtc="2022-10-19T11:57:00Z"/>
  <w16cex:commentExtensible w16cex:durableId="26FA2CF0" w16cex:dateUtc="2022-10-19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22750" w16cid:durableId="26FA2545"/>
  <w16cid:commentId w16cid:paraId="06F6AE09" w16cid:durableId="26FA2546"/>
  <w16cid:commentId w16cid:paraId="397DE97F" w16cid:durableId="26FA2547"/>
  <w16cid:commentId w16cid:paraId="3C4DE10F" w16cid:durableId="26FA2548"/>
  <w16cid:commentId w16cid:paraId="199D35C8" w16cid:durableId="26FA28E2"/>
  <w16cid:commentId w16cid:paraId="7067D215" w16cid:durableId="26FA2549"/>
  <w16cid:commentId w16cid:paraId="5E6C8CCA" w16cid:durableId="26FA287F"/>
  <w16cid:commentId w16cid:paraId="1B4BAC04" w16cid:durableId="26FA254A"/>
  <w16cid:commentId w16cid:paraId="4290FF42" w16cid:durableId="26FA29EF"/>
  <w16cid:commentId w16cid:paraId="790D1265" w16cid:durableId="26FA2ADD"/>
  <w16cid:commentId w16cid:paraId="6607B135" w16cid:durableId="26FA254B"/>
  <w16cid:commentId w16cid:paraId="3D95B6FA" w16cid:durableId="26FA335D"/>
  <w16cid:commentId w16cid:paraId="4DBF2E0F" w16cid:durableId="26FA2A2F"/>
  <w16cid:commentId w16cid:paraId="5899EFD9" w16cid:durableId="26FA2C34"/>
  <w16cid:commentId w16cid:paraId="1EDFB5AA" w16cid:durableId="26FA2C7A"/>
  <w16cid:commentId w16cid:paraId="1779E0ED" w16cid:durableId="26FA2CF0"/>
  <w16cid:commentId w16cid:paraId="4EEADB56" w16cid:durableId="26FA254C"/>
  <w16cid:commentId w16cid:paraId="49D3918D" w16cid:durableId="26FA25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52A5F" w14:textId="77777777" w:rsidR="00231752" w:rsidRDefault="00231752" w:rsidP="00E66F30">
      <w:pPr>
        <w:spacing w:after="0" w:line="240" w:lineRule="auto"/>
      </w:pPr>
      <w:r>
        <w:separator/>
      </w:r>
    </w:p>
  </w:endnote>
  <w:endnote w:type="continuationSeparator" w:id="0">
    <w:p w14:paraId="1903ABE0" w14:textId="77777777" w:rsidR="00231752" w:rsidRDefault="00231752" w:rsidP="00E66F30">
      <w:pPr>
        <w:spacing w:after="0" w:line="240" w:lineRule="auto"/>
      </w:pPr>
      <w:r>
        <w:continuationSeparator/>
      </w:r>
    </w:p>
  </w:endnote>
  <w:endnote w:id="1">
    <w:p w14:paraId="46C81F0E" w14:textId="51537DD1" w:rsidR="00B20657" w:rsidRDefault="00B20657">
      <w:pPr>
        <w:pStyle w:val="EndnoteText"/>
      </w:pPr>
      <w:r>
        <w:rPr>
          <w:rStyle w:val="EndnoteReference"/>
        </w:rPr>
        <w:endnoteRef/>
      </w:r>
      <w:r>
        <w:t xml:space="preserve"> </w:t>
      </w:r>
      <w:hyperlink r:id="rId1" w:history="1">
        <w:r w:rsidRPr="0019500E">
          <w:rPr>
            <w:rStyle w:val="Hyperlink"/>
          </w:rPr>
          <w:t>https://upforgrowth.org/apply-the-vision/housing-underproduction/</w:t>
        </w:r>
      </w:hyperlink>
    </w:p>
    <w:p w14:paraId="184056DA" w14:textId="77777777" w:rsidR="00B20657" w:rsidRDefault="00B20657">
      <w:pPr>
        <w:pStyle w:val="EndnoteText"/>
      </w:pPr>
    </w:p>
  </w:endnote>
  <w:endnote w:id="2">
    <w:p w14:paraId="00469289" w14:textId="440FD02C" w:rsidR="00B20657" w:rsidRDefault="00B20657">
      <w:pPr>
        <w:pStyle w:val="EndnoteText"/>
      </w:pPr>
      <w:r>
        <w:rPr>
          <w:rStyle w:val="EndnoteReference"/>
        </w:rPr>
        <w:endnoteRef/>
      </w:r>
      <w:r>
        <w:t xml:space="preserve"> </w:t>
      </w:r>
      <w:r w:rsidRPr="006C3582">
        <w:t>The Federal Home Loan Bank Act requires each FHLB to annually contribute to its AHP program the greater of 10% of annual net income or a prorated amount that</w:t>
      </w:r>
      <w:r>
        <w:t>,</w:t>
      </w:r>
      <w:r w:rsidRPr="006C3582">
        <w:t xml:space="preserve"> when combined with the contributions from </w:t>
      </w:r>
      <w:r>
        <w:t>the</w:t>
      </w:r>
      <w:r w:rsidRPr="006C3582">
        <w:t xml:space="preserve"> other FHLBs</w:t>
      </w:r>
      <w:r>
        <w:t>,</w:t>
      </w:r>
      <w:r w:rsidRPr="006C3582">
        <w:t xml:space="preserve"> totals </w:t>
      </w:r>
      <w:r>
        <w:t>at least</w:t>
      </w:r>
      <w:r w:rsidRPr="006C3582">
        <w:t xml:space="preserve"> $100 million for each year.  </w:t>
      </w:r>
      <w:r w:rsidRPr="00B87F7D">
        <w:t>Source:</w:t>
      </w:r>
      <w:r w:rsidRPr="00677C7B">
        <w:rPr>
          <w:i/>
        </w:rPr>
        <w:t xml:space="preserve"> </w:t>
      </w:r>
      <w:r w:rsidRPr="006C3582">
        <w:rPr>
          <w:i/>
        </w:rPr>
        <w:t>12 USC Section 1430 and Section 1430(j</w:t>
      </w:r>
      <w:proofErr w:type="gramStart"/>
      <w:r w:rsidRPr="006C3582">
        <w:rPr>
          <w:i/>
        </w:rPr>
        <w:t>)(</w:t>
      </w:r>
      <w:proofErr w:type="gramEnd"/>
      <w:r w:rsidRPr="006C3582">
        <w:rPr>
          <w:i/>
        </w:rPr>
        <w:t>5)(C)</w:t>
      </w:r>
      <w:r w:rsidRPr="006C3582">
        <w:t>.</w:t>
      </w:r>
    </w:p>
    <w:p w14:paraId="7DCD8FF6" w14:textId="77777777" w:rsidR="00B20657" w:rsidRDefault="00B20657">
      <w:pPr>
        <w:pStyle w:val="EndnoteText"/>
      </w:pPr>
    </w:p>
  </w:endnote>
  <w:endnote w:id="3">
    <w:p w14:paraId="21E815C1" w14:textId="77777777" w:rsidR="00590575" w:rsidRDefault="00590575" w:rsidP="00590575">
      <w:pPr>
        <w:pStyle w:val="EndnoteText"/>
      </w:pPr>
      <w:r>
        <w:rPr>
          <w:rStyle w:val="EndnoteReference"/>
        </w:rPr>
        <w:endnoteRef/>
      </w:r>
      <w:r>
        <w:t xml:space="preserve"> On a combined basis, mandatory contributions to the AHP program </w:t>
      </w:r>
      <w:r w:rsidRPr="00A54431">
        <w:t>totaled $201 million</w:t>
      </w:r>
      <w:r>
        <w:t xml:space="preserve"> in 2021, $315 million in 2020 and $362 million in 2019</w:t>
      </w:r>
      <w:r w:rsidRPr="00A54431">
        <w:t xml:space="preserve">. </w:t>
      </w:r>
      <w:r w:rsidRPr="005322ED">
        <w:t>Source:</w:t>
      </w:r>
      <w:r w:rsidRPr="00E03FF8">
        <w:rPr>
          <w:b/>
        </w:rPr>
        <w:t xml:space="preserve"> </w:t>
      </w:r>
      <w:r w:rsidRPr="00E03FF8">
        <w:rPr>
          <w:i/>
        </w:rPr>
        <w:t>Federal Home Loan Banks Combined Financial Report for Year Ended December 31, 2021. Page</w:t>
      </w:r>
      <w:r>
        <w:rPr>
          <w:i/>
        </w:rPr>
        <w:t>s 80 and</w:t>
      </w:r>
      <w:r w:rsidRPr="00E03FF8">
        <w:rPr>
          <w:i/>
        </w:rPr>
        <w:t xml:space="preserve"> </w:t>
      </w:r>
      <w:r>
        <w:rPr>
          <w:i/>
        </w:rPr>
        <w:t>89-</w:t>
      </w:r>
      <w:r w:rsidRPr="00E03FF8">
        <w:rPr>
          <w:i/>
        </w:rPr>
        <w:t>9</w:t>
      </w:r>
      <w:r>
        <w:rPr>
          <w:i/>
        </w:rPr>
        <w:t>0 (</w:t>
      </w:r>
      <w:r w:rsidRPr="00E03FF8">
        <w:rPr>
          <w:i/>
        </w:rPr>
        <w:t>Figure 31</w:t>
      </w:r>
      <w:r>
        <w:rPr>
          <w:i/>
        </w:rPr>
        <w:t>)</w:t>
      </w:r>
      <w:r>
        <w:t xml:space="preserve">. </w:t>
      </w:r>
    </w:p>
    <w:p w14:paraId="290D174C" w14:textId="197BAE1E" w:rsidR="00590575" w:rsidRDefault="00590575">
      <w:pPr>
        <w:pStyle w:val="EndnoteText"/>
      </w:pPr>
    </w:p>
  </w:endnote>
  <w:endnote w:id="4">
    <w:p w14:paraId="31532CE6" w14:textId="23B07AAD" w:rsidR="00590575" w:rsidRDefault="00590575">
      <w:pPr>
        <w:pStyle w:val="EndnoteText"/>
      </w:pPr>
      <w:r>
        <w:rPr>
          <w:rStyle w:val="EndnoteReference"/>
        </w:rPr>
        <w:endnoteRef/>
      </w:r>
      <w:r>
        <w:t xml:space="preserve"> On a combined basis, the </w:t>
      </w:r>
      <w:proofErr w:type="spellStart"/>
      <w:r>
        <w:t>FHLBanks</w:t>
      </w:r>
      <w:proofErr w:type="spellEnd"/>
      <w:r>
        <w:t xml:space="preserve"> awarded a total of </w:t>
      </w:r>
      <w:r w:rsidRPr="00E03FF8">
        <w:t xml:space="preserve">$352.4 million </w:t>
      </w:r>
      <w:r>
        <w:t xml:space="preserve">from AHP programs in 2021, which supported 32,000 LMI housing units.  Note that total AHP funds </w:t>
      </w:r>
      <w:r w:rsidRPr="00677C7B">
        <w:rPr>
          <w:i/>
        </w:rPr>
        <w:t>awarded</w:t>
      </w:r>
      <w:r>
        <w:t xml:space="preserve"> annually may include adjustments from previous year contributions to AHP by FHLBs or accelerated amounts for future year contributions.  From 1990 to 2021, the FHLBs contributed approximately $7 billion the AHP.  </w:t>
      </w:r>
      <w:r w:rsidRPr="005322ED">
        <w:t>Source:</w:t>
      </w:r>
      <w:r w:rsidRPr="004430F7">
        <w:t xml:space="preserve"> </w:t>
      </w:r>
      <w:r w:rsidRPr="006C3582">
        <w:rPr>
          <w:i/>
        </w:rPr>
        <w:t xml:space="preserve">FHFA Report 2021 Low-Income Housing and Community Development Activities of the Federal Home Loan Banks. </w:t>
      </w:r>
      <w:r w:rsidRPr="006C3582">
        <w:t>Pages 2-4</w:t>
      </w:r>
      <w:r>
        <w:t xml:space="preserve"> and 5-7.</w:t>
      </w:r>
    </w:p>
    <w:p w14:paraId="445EF193" w14:textId="77777777" w:rsidR="00590575" w:rsidRDefault="00590575">
      <w:pPr>
        <w:pStyle w:val="EndnoteText"/>
      </w:pPr>
    </w:p>
  </w:endnote>
  <w:endnote w:id="5">
    <w:p w14:paraId="7CFEBF4A" w14:textId="08235738" w:rsidR="00B20657" w:rsidRDefault="00B20657">
      <w:pPr>
        <w:pStyle w:val="EndnoteText"/>
      </w:pPr>
      <w:r>
        <w:rPr>
          <w:rStyle w:val="EndnoteReference"/>
        </w:rPr>
        <w:endnoteRef/>
      </w:r>
      <w:r>
        <w:t xml:space="preserve"> On a combined basis, </w:t>
      </w:r>
      <w:proofErr w:type="spellStart"/>
      <w:r>
        <w:t>FHLBank</w:t>
      </w:r>
      <w:proofErr w:type="spellEnd"/>
      <w:r>
        <w:t xml:space="preserve"> </w:t>
      </w:r>
      <w:r w:rsidRPr="00592837">
        <w:t xml:space="preserve">net income </w:t>
      </w:r>
      <w:r>
        <w:t>(after AHP assessments) totaled</w:t>
      </w:r>
      <w:r w:rsidRPr="00592837">
        <w:t xml:space="preserve"> $1.77 billion (2021), $2.79 billion (2020), and $3.19 billion (2019). </w:t>
      </w:r>
      <w:r w:rsidR="004430F7">
        <w:t xml:space="preserve">Source: </w:t>
      </w:r>
      <w:proofErr w:type="spellStart"/>
      <w:r w:rsidRPr="00D91D4D">
        <w:rPr>
          <w:i/>
        </w:rPr>
        <w:t>FHLBanks</w:t>
      </w:r>
      <w:proofErr w:type="spellEnd"/>
      <w:r w:rsidRPr="00D91D4D">
        <w:rPr>
          <w:i/>
        </w:rPr>
        <w:t xml:space="preserve"> Combined Financial report for Year Ended 12/31/21.</w:t>
      </w:r>
      <w:r>
        <w:t xml:space="preserve"> Pages 80 and F-8.</w:t>
      </w:r>
    </w:p>
    <w:p w14:paraId="0D3EFCEC" w14:textId="77777777" w:rsidR="00B20657" w:rsidRDefault="00B20657">
      <w:pPr>
        <w:pStyle w:val="EndnoteText"/>
      </w:pPr>
    </w:p>
  </w:endnote>
  <w:endnote w:id="6">
    <w:p w14:paraId="4EB3FF2B" w14:textId="39F6DE2A" w:rsidR="00B20657" w:rsidRDefault="00B20657" w:rsidP="00592837">
      <w:pPr>
        <w:pStyle w:val="EndnoteText"/>
      </w:pPr>
      <w:r>
        <w:rPr>
          <w:rStyle w:val="EndnoteReference"/>
        </w:rPr>
        <w:endnoteRef/>
      </w:r>
      <w:r>
        <w:t xml:space="preserve"> On a combined basis</w:t>
      </w:r>
      <w:r w:rsidRPr="00D91D4D">
        <w:t>, dividends paid by the Banks to Members totaled $1 billion in 2021, $1.55 billion in 2020, and $2.12 b</w:t>
      </w:r>
      <w:r>
        <w:t xml:space="preserve">illion in 2019. Source: </w:t>
      </w:r>
      <w:proofErr w:type="spellStart"/>
      <w:r>
        <w:rPr>
          <w:i/>
        </w:rPr>
        <w:t>FHLBanks</w:t>
      </w:r>
      <w:proofErr w:type="spellEnd"/>
      <w:r w:rsidRPr="004E6F1D">
        <w:rPr>
          <w:i/>
        </w:rPr>
        <w:t xml:space="preserve"> Combined Financial report for Year Ended 12/31/21</w:t>
      </w:r>
      <w:r>
        <w:t>. Page 47.</w:t>
      </w:r>
    </w:p>
    <w:p w14:paraId="383E2D4B" w14:textId="26E928D3" w:rsidR="00B20657" w:rsidRDefault="00B20657">
      <w:pPr>
        <w:pStyle w:val="EndnoteText"/>
      </w:pPr>
    </w:p>
  </w:endnote>
  <w:endnote w:id="7">
    <w:p w14:paraId="082F4C67" w14:textId="0B99EDC0" w:rsidR="00B20657" w:rsidRDefault="00B20657">
      <w:pPr>
        <w:pStyle w:val="EndnoteText"/>
      </w:pPr>
      <w:r>
        <w:rPr>
          <w:rStyle w:val="EndnoteReference"/>
        </w:rPr>
        <w:endnoteRef/>
      </w:r>
      <w:r>
        <w:t xml:space="preserve"> </w:t>
      </w:r>
      <w:hyperlink r:id="rId2" w:history="1">
        <w:r w:rsidRPr="00AC10C9">
          <w:rPr>
            <w:rStyle w:val="Hyperlink"/>
          </w:rPr>
          <w:t>https://www.stabilizationtrust.org/homeownership-alliance/</w:t>
        </w:r>
      </w:hyperlink>
    </w:p>
    <w:p w14:paraId="17E39F84" w14:textId="77777777" w:rsidR="00B20657" w:rsidRDefault="00B20657">
      <w:pPr>
        <w:pStyle w:val="EndnoteText"/>
      </w:pPr>
    </w:p>
  </w:endnote>
  <w:endnote w:id="8">
    <w:p w14:paraId="28C20911" w14:textId="77777777" w:rsidR="00EB77DA" w:rsidRDefault="00EB77DA" w:rsidP="00EB77DA">
      <w:pPr>
        <w:pStyle w:val="EndnoteText"/>
      </w:pPr>
      <w:r>
        <w:rPr>
          <w:rStyle w:val="EndnoteReference"/>
        </w:rPr>
        <w:endnoteRef/>
      </w:r>
      <w:r>
        <w:t xml:space="preserve"> Federal Home Loan Bank System Lending and Collateral Q&amp;A for 2021 Q4.  Page 6.  Issued March 25, 2022.  </w:t>
      </w:r>
      <w:hyperlink r:id="rId3" w:history="1">
        <w:r w:rsidRPr="00AC10C9">
          <w:rPr>
            <w:rStyle w:val="Hyperlink"/>
          </w:rPr>
          <w:t>https://www.fhlb-of.com/ofweb_userWeb/resources/lendingqanda.pdf</w:t>
        </w:r>
      </w:hyperlink>
    </w:p>
    <w:p w14:paraId="36E2A22D" w14:textId="77777777" w:rsidR="00EB77DA" w:rsidRDefault="00EB77DA" w:rsidP="00EB77DA">
      <w:pPr>
        <w:pStyle w:val="EndnoteText"/>
      </w:pPr>
    </w:p>
  </w:endnote>
  <w:endnote w:id="9">
    <w:p w14:paraId="598F522E" w14:textId="77777777" w:rsidR="00B20657" w:rsidRDefault="00B20657" w:rsidP="007078F3">
      <w:pPr>
        <w:pStyle w:val="EndnoteText"/>
      </w:pPr>
      <w:r>
        <w:rPr>
          <w:rStyle w:val="EndnoteReference"/>
        </w:rPr>
        <w:endnoteRef/>
      </w:r>
      <w:r>
        <w:t xml:space="preserve"> For 2021, the FHLBs approved, on average, 45% of AHP Competitive Program Applications Received.  Source: FHFA Report </w:t>
      </w:r>
      <w:r w:rsidRPr="00467747">
        <w:rPr>
          <w:i/>
        </w:rPr>
        <w:t>2021 Low-Income Housing and Community Development Activities of the Federal Home Loan Banks</w:t>
      </w:r>
      <w:r>
        <w:t xml:space="preserve">. Page 8, Figure 3.  </w:t>
      </w:r>
    </w:p>
    <w:p w14:paraId="6A509968" w14:textId="77777777" w:rsidR="00B20657" w:rsidRDefault="00B20657" w:rsidP="007078F3">
      <w:pPr>
        <w:pStyle w:val="EndnoteText"/>
      </w:pPr>
      <w:r>
        <w:t xml:space="preserve"> </w:t>
      </w:r>
    </w:p>
  </w:endnote>
  <w:endnote w:id="10">
    <w:p w14:paraId="311A1DCC" w14:textId="77777777" w:rsidR="00B20657" w:rsidRDefault="00B20657" w:rsidP="007078F3">
      <w:pPr>
        <w:pStyle w:val="EndnoteText"/>
      </w:pPr>
      <w:r>
        <w:rPr>
          <w:rStyle w:val="EndnoteReference"/>
        </w:rPr>
        <w:endnoteRef/>
      </w:r>
      <w:r>
        <w:t xml:space="preserve"> For all AHP competitive application program projects funded between 1990 and 2021, 63% (12,093) were rental projects, and 37% (7,050) were owner-occupied projects.  Correspondingly, 79% (609,409) of the units were rental, 21% (164,067) were owner-occupied units.  Source: FHFA Report </w:t>
      </w:r>
      <w:r w:rsidRPr="00677482">
        <w:rPr>
          <w:i/>
        </w:rPr>
        <w:t>2021 Low-Income Housing and Community Development Activities of the Federal Home Loan Banks</w:t>
      </w:r>
      <w:r>
        <w:t xml:space="preserve">. Page 52, Figure B.  </w:t>
      </w:r>
    </w:p>
    <w:p w14:paraId="51F5EDFB" w14:textId="77777777" w:rsidR="00B20657" w:rsidRDefault="00B20657" w:rsidP="007078F3">
      <w:pPr>
        <w:pStyle w:val="EndnoteText"/>
      </w:pPr>
      <w:r>
        <w:t xml:space="preserve">   </w:t>
      </w:r>
    </w:p>
  </w:endnote>
  <w:endnote w:id="11">
    <w:p w14:paraId="21BDDE47" w14:textId="4DF8CAC0" w:rsidR="00C25CFA" w:rsidRDefault="00C25CFA">
      <w:pPr>
        <w:pStyle w:val="EndnoteText"/>
      </w:pPr>
      <w:r>
        <w:rPr>
          <w:rStyle w:val="EndnoteReference"/>
        </w:rPr>
        <w:endnoteRef/>
      </w:r>
      <w:r>
        <w:t xml:space="preserve"> </w:t>
      </w:r>
      <w:r w:rsidR="001B7FBD">
        <w:t>The Housing Development Fund</w:t>
      </w:r>
      <w:r w:rsidR="005D2DA1">
        <w:t xml:space="preserve"> is not a CDFI M</w:t>
      </w:r>
      <w:r w:rsidRPr="00C25CFA">
        <w:t>ember of the Boston FHLB.  It is precluded from memb</w:t>
      </w:r>
      <w:r>
        <w:t xml:space="preserve">ership because HDF’s President </w:t>
      </w:r>
      <w:r w:rsidR="001B7FBD">
        <w:t>and</w:t>
      </w:r>
      <w:r w:rsidRPr="00C25CFA">
        <w:t xml:space="preserve"> CEO serves as an independent director on the Boston FHLB Board.</w:t>
      </w:r>
    </w:p>
    <w:p w14:paraId="0BDAF3F8" w14:textId="77777777" w:rsidR="00C25CFA" w:rsidRDefault="00C25CFA">
      <w:pPr>
        <w:pStyle w:val="EndnoteText"/>
      </w:pPr>
    </w:p>
  </w:endnote>
  <w:endnote w:id="12">
    <w:p w14:paraId="260A83C3" w14:textId="3A86BBD8" w:rsidR="00B20657" w:rsidRDefault="00B20657">
      <w:pPr>
        <w:pStyle w:val="EndnoteText"/>
      </w:pPr>
      <w:r>
        <w:rPr>
          <w:rStyle w:val="EndnoteReference"/>
        </w:rPr>
        <w:endnoteRef/>
      </w:r>
      <w:r>
        <w:t xml:space="preserve"> </w:t>
      </w:r>
      <w:hyperlink r:id="rId4" w:history="1">
        <w:r w:rsidRPr="001B3012">
          <w:rPr>
            <w:rStyle w:val="Hyperlink"/>
          </w:rPr>
          <w:t>Zillow Home Value Index</w:t>
        </w:r>
      </w:hyperlink>
      <w:r>
        <w:t xml:space="preserve"> as of September 30, 2022. Condo/coop $</w:t>
      </w:r>
      <w:r w:rsidR="00314270">
        <w:t>337,557</w:t>
      </w:r>
      <w:r>
        <w:t>.  1-year Value Change: +9.3%.</w:t>
      </w:r>
    </w:p>
    <w:p w14:paraId="5218D211" w14:textId="77777777" w:rsidR="00B20657" w:rsidRDefault="00B20657">
      <w:pPr>
        <w:pStyle w:val="EndnoteText"/>
      </w:pPr>
    </w:p>
  </w:endnote>
  <w:endnote w:id="13">
    <w:p w14:paraId="23953376" w14:textId="0C8395F2" w:rsidR="00B20657" w:rsidRDefault="00B20657">
      <w:pPr>
        <w:pStyle w:val="EndnoteText"/>
      </w:pPr>
      <w:r>
        <w:rPr>
          <w:rStyle w:val="EndnoteReference"/>
        </w:rPr>
        <w:endnoteRef/>
      </w:r>
      <w:r>
        <w:t xml:space="preserve"> </w:t>
      </w:r>
      <w:hyperlink r:id="rId5" w:history="1">
        <w:proofErr w:type="spellStart"/>
        <w:r w:rsidRPr="00CA5623">
          <w:rPr>
            <w:rStyle w:val="Hyperlink"/>
          </w:rPr>
          <w:t>Redfin</w:t>
        </w:r>
        <w:proofErr w:type="spellEnd"/>
        <w:r w:rsidRPr="00CA5623">
          <w:rPr>
            <w:rStyle w:val="Hyperlink"/>
          </w:rPr>
          <w:t xml:space="preserve"> Sales Data</w:t>
        </w:r>
      </w:hyperlink>
      <w:r>
        <w:t xml:space="preserve"> for Chittenden County Housing Market, September 2022.</w:t>
      </w:r>
    </w:p>
    <w:p w14:paraId="1D3FC034" w14:textId="77777777" w:rsidR="00B20657" w:rsidRDefault="00B20657">
      <w:pPr>
        <w:pStyle w:val="EndnoteText"/>
      </w:pPr>
    </w:p>
  </w:endnote>
  <w:endnote w:id="14">
    <w:p w14:paraId="1AA3DD8C" w14:textId="7585B6A3" w:rsidR="00B20657" w:rsidRDefault="00B20657" w:rsidP="00135A58">
      <w:pPr>
        <w:pStyle w:val="EndnoteText"/>
      </w:pPr>
      <w:r>
        <w:rPr>
          <w:rStyle w:val="EndnoteReference"/>
        </w:rPr>
        <w:endnoteRef/>
      </w:r>
      <w:r>
        <w:t xml:space="preserve"> </w:t>
      </w:r>
      <w:r w:rsidRPr="00E55221">
        <w:t xml:space="preserve">An </w:t>
      </w:r>
      <w:r>
        <w:t xml:space="preserve">October 2022 </w:t>
      </w:r>
      <w:hyperlink r:id="rId6" w:tooltip="analysis" w:history="1">
        <w:r w:rsidRPr="00E55221">
          <w:rPr>
            <w:rStyle w:val="Hyperlink"/>
          </w:rPr>
          <w:t>analysis</w:t>
        </w:r>
      </w:hyperlink>
      <w:r>
        <w:t xml:space="preserve"> from </w:t>
      </w:r>
      <w:proofErr w:type="spellStart"/>
      <w:r>
        <w:t>CoreLogic</w:t>
      </w:r>
      <w:proofErr w:type="spellEnd"/>
      <w:r>
        <w:t xml:space="preserve">. </w:t>
      </w:r>
      <w:r w:rsidRPr="00E55221">
        <w:t xml:space="preserve">The analysis shows that the average down payment percentage for low-tier homes was about 12% of the sales price, up from 11% in June 2021 and 9% in June 2010. </w:t>
      </w:r>
      <w:r>
        <w:t>(</w:t>
      </w:r>
      <w:r w:rsidRPr="00165E15">
        <w:t xml:space="preserve">Sales price tiers are based on the median price of all home sale transactions at a metro level </w:t>
      </w:r>
      <w:r>
        <w:t>in</w:t>
      </w:r>
      <w:r w:rsidRPr="00165E15">
        <w:t xml:space="preserve"> a given month.</w:t>
      </w:r>
      <w:r>
        <w:t xml:space="preserve"> The size of required down payments are determined in part by the purchase price of a home. W</w:t>
      </w:r>
      <w:r w:rsidRPr="00165E15">
        <w:t>ith increases in home prices over the last few years, average down payments have followed suit.</w:t>
      </w:r>
      <w:r>
        <w:t>)</w:t>
      </w:r>
    </w:p>
    <w:p w14:paraId="50C168A8" w14:textId="77777777" w:rsidR="00B20657" w:rsidRDefault="00B20657" w:rsidP="00135A58">
      <w:pPr>
        <w:pStyle w:val="EndnoteText"/>
      </w:pPr>
    </w:p>
  </w:endnote>
  <w:endnote w:id="15">
    <w:p w14:paraId="77F12A22" w14:textId="77777777" w:rsidR="00B20657" w:rsidRDefault="00B20657" w:rsidP="00686C9A">
      <w:pPr>
        <w:pStyle w:val="EndnoteText"/>
      </w:pPr>
      <w:r>
        <w:rPr>
          <w:rStyle w:val="EndnoteReference"/>
        </w:rPr>
        <w:endnoteRef/>
      </w:r>
      <w:r>
        <w:t xml:space="preserve"> FHLB-CDFI Working Group; 2020 Presentation.</w:t>
      </w:r>
    </w:p>
    <w:p w14:paraId="231D6229" w14:textId="77777777" w:rsidR="00B20657" w:rsidRDefault="00B20657" w:rsidP="00686C9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697764"/>
      <w:docPartObj>
        <w:docPartGallery w:val="Page Numbers (Bottom of Page)"/>
        <w:docPartUnique/>
      </w:docPartObj>
    </w:sdtPr>
    <w:sdtEndPr>
      <w:rPr>
        <w:noProof/>
      </w:rPr>
    </w:sdtEndPr>
    <w:sdtContent>
      <w:p w14:paraId="35738FB5" w14:textId="610A1398" w:rsidR="00285F12" w:rsidRDefault="00285F12">
        <w:pPr>
          <w:pStyle w:val="Footer"/>
          <w:jc w:val="center"/>
        </w:pPr>
        <w:r>
          <w:fldChar w:fldCharType="begin"/>
        </w:r>
        <w:r>
          <w:instrText xml:space="preserve"> PAGE   \* MERGEFORMAT </w:instrText>
        </w:r>
        <w:r>
          <w:fldChar w:fldCharType="separate"/>
        </w:r>
        <w:r w:rsidR="00314270">
          <w:rPr>
            <w:noProof/>
          </w:rPr>
          <w:t>7</w:t>
        </w:r>
        <w:r>
          <w:rPr>
            <w:noProof/>
          </w:rPr>
          <w:fldChar w:fldCharType="end"/>
        </w:r>
      </w:p>
    </w:sdtContent>
  </w:sdt>
  <w:p w14:paraId="1501465F" w14:textId="77777777" w:rsidR="00285F12" w:rsidRDefault="00285F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A49C5" w14:textId="77777777" w:rsidR="00231752" w:rsidRDefault="00231752" w:rsidP="00E66F30">
      <w:pPr>
        <w:spacing w:after="0" w:line="240" w:lineRule="auto"/>
      </w:pPr>
      <w:r>
        <w:separator/>
      </w:r>
    </w:p>
  </w:footnote>
  <w:footnote w:type="continuationSeparator" w:id="0">
    <w:p w14:paraId="4691EBAD" w14:textId="77777777" w:rsidR="00231752" w:rsidRDefault="00231752" w:rsidP="00E66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451"/>
    <w:multiLevelType w:val="hybridMultilevel"/>
    <w:tmpl w:val="04BE6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F07BE"/>
    <w:multiLevelType w:val="hybridMultilevel"/>
    <w:tmpl w:val="36C0C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36D39"/>
    <w:multiLevelType w:val="hybridMultilevel"/>
    <w:tmpl w:val="D0F0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74C0E"/>
    <w:multiLevelType w:val="hybridMultilevel"/>
    <w:tmpl w:val="EEE6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A1F7C"/>
    <w:multiLevelType w:val="hybridMultilevel"/>
    <w:tmpl w:val="A9047C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D6"/>
    <w:rsid w:val="000008C0"/>
    <w:rsid w:val="00004673"/>
    <w:rsid w:val="0001004E"/>
    <w:rsid w:val="000119B5"/>
    <w:rsid w:val="00033BAB"/>
    <w:rsid w:val="00036E58"/>
    <w:rsid w:val="00041718"/>
    <w:rsid w:val="00042567"/>
    <w:rsid w:val="0004303D"/>
    <w:rsid w:val="00046654"/>
    <w:rsid w:val="00050762"/>
    <w:rsid w:val="0005167D"/>
    <w:rsid w:val="00052077"/>
    <w:rsid w:val="00057D55"/>
    <w:rsid w:val="00062EF1"/>
    <w:rsid w:val="000666AB"/>
    <w:rsid w:val="000A2268"/>
    <w:rsid w:val="000A4EAC"/>
    <w:rsid w:val="000A5E4B"/>
    <w:rsid w:val="000B6077"/>
    <w:rsid w:val="000C5D3B"/>
    <w:rsid w:val="000D6A1B"/>
    <w:rsid w:val="000E28FA"/>
    <w:rsid w:val="000F68BA"/>
    <w:rsid w:val="000F77C4"/>
    <w:rsid w:val="000F780C"/>
    <w:rsid w:val="00101C0A"/>
    <w:rsid w:val="00103733"/>
    <w:rsid w:val="00107F8F"/>
    <w:rsid w:val="001122B3"/>
    <w:rsid w:val="00117978"/>
    <w:rsid w:val="001304F0"/>
    <w:rsid w:val="00135A58"/>
    <w:rsid w:val="001421D9"/>
    <w:rsid w:val="001560AC"/>
    <w:rsid w:val="00165E15"/>
    <w:rsid w:val="001700F6"/>
    <w:rsid w:val="00170243"/>
    <w:rsid w:val="0017441D"/>
    <w:rsid w:val="001800D8"/>
    <w:rsid w:val="001A0602"/>
    <w:rsid w:val="001A2C37"/>
    <w:rsid w:val="001B3012"/>
    <w:rsid w:val="001B7FBD"/>
    <w:rsid w:val="001C1305"/>
    <w:rsid w:val="001C4778"/>
    <w:rsid w:val="001D1D2C"/>
    <w:rsid w:val="001F1CA4"/>
    <w:rsid w:val="001F39EA"/>
    <w:rsid w:val="001F4FBB"/>
    <w:rsid w:val="00201169"/>
    <w:rsid w:val="0021002A"/>
    <w:rsid w:val="00217A22"/>
    <w:rsid w:val="00231752"/>
    <w:rsid w:val="00231C43"/>
    <w:rsid w:val="00263543"/>
    <w:rsid w:val="00267A4A"/>
    <w:rsid w:val="002737E9"/>
    <w:rsid w:val="00280848"/>
    <w:rsid w:val="00285F12"/>
    <w:rsid w:val="002A3786"/>
    <w:rsid w:val="002A3C06"/>
    <w:rsid w:val="002B4228"/>
    <w:rsid w:val="002B54C8"/>
    <w:rsid w:val="002C06EF"/>
    <w:rsid w:val="002E650C"/>
    <w:rsid w:val="003052EA"/>
    <w:rsid w:val="003078E2"/>
    <w:rsid w:val="00314270"/>
    <w:rsid w:val="00315A0A"/>
    <w:rsid w:val="0032118D"/>
    <w:rsid w:val="003231FB"/>
    <w:rsid w:val="00324FAD"/>
    <w:rsid w:val="0034395E"/>
    <w:rsid w:val="0034770E"/>
    <w:rsid w:val="0035232A"/>
    <w:rsid w:val="003820E8"/>
    <w:rsid w:val="003A4D87"/>
    <w:rsid w:val="003A5F98"/>
    <w:rsid w:val="003A77C7"/>
    <w:rsid w:val="003B0C34"/>
    <w:rsid w:val="003B67CC"/>
    <w:rsid w:val="003C2C08"/>
    <w:rsid w:val="003D7E2E"/>
    <w:rsid w:val="003F1B63"/>
    <w:rsid w:val="00400720"/>
    <w:rsid w:val="004012E5"/>
    <w:rsid w:val="0040482A"/>
    <w:rsid w:val="0041522A"/>
    <w:rsid w:val="00430C6E"/>
    <w:rsid w:val="004312D1"/>
    <w:rsid w:val="004430F7"/>
    <w:rsid w:val="0045556C"/>
    <w:rsid w:val="00467747"/>
    <w:rsid w:val="004714A9"/>
    <w:rsid w:val="004A3487"/>
    <w:rsid w:val="004A3A59"/>
    <w:rsid w:val="004B3E91"/>
    <w:rsid w:val="004C0448"/>
    <w:rsid w:val="004C08BC"/>
    <w:rsid w:val="004D6973"/>
    <w:rsid w:val="004E6F1D"/>
    <w:rsid w:val="005112D5"/>
    <w:rsid w:val="00517D9D"/>
    <w:rsid w:val="005322ED"/>
    <w:rsid w:val="005340C0"/>
    <w:rsid w:val="005477A6"/>
    <w:rsid w:val="00551C2A"/>
    <w:rsid w:val="0055418E"/>
    <w:rsid w:val="00590575"/>
    <w:rsid w:val="00592837"/>
    <w:rsid w:val="00596A01"/>
    <w:rsid w:val="005A2B73"/>
    <w:rsid w:val="005A3D16"/>
    <w:rsid w:val="005A5C8A"/>
    <w:rsid w:val="005A6FD6"/>
    <w:rsid w:val="005C2E21"/>
    <w:rsid w:val="005C5B6E"/>
    <w:rsid w:val="005D2DA1"/>
    <w:rsid w:val="006059BB"/>
    <w:rsid w:val="00605F71"/>
    <w:rsid w:val="00620DFE"/>
    <w:rsid w:val="00623D8E"/>
    <w:rsid w:val="006505DE"/>
    <w:rsid w:val="00662F59"/>
    <w:rsid w:val="006644B4"/>
    <w:rsid w:val="00671781"/>
    <w:rsid w:val="00677C7B"/>
    <w:rsid w:val="00686C9A"/>
    <w:rsid w:val="006A5721"/>
    <w:rsid w:val="006C26AC"/>
    <w:rsid w:val="006C2D42"/>
    <w:rsid w:val="006C3582"/>
    <w:rsid w:val="006C5FD4"/>
    <w:rsid w:val="006D46D5"/>
    <w:rsid w:val="006E584D"/>
    <w:rsid w:val="006E7996"/>
    <w:rsid w:val="006F2E9E"/>
    <w:rsid w:val="007030F5"/>
    <w:rsid w:val="00707738"/>
    <w:rsid w:val="007078F3"/>
    <w:rsid w:val="00711CED"/>
    <w:rsid w:val="0071240B"/>
    <w:rsid w:val="007137CF"/>
    <w:rsid w:val="007146C3"/>
    <w:rsid w:val="00721C35"/>
    <w:rsid w:val="007223AB"/>
    <w:rsid w:val="0073689E"/>
    <w:rsid w:val="007412D3"/>
    <w:rsid w:val="00747574"/>
    <w:rsid w:val="00751FE2"/>
    <w:rsid w:val="007769A2"/>
    <w:rsid w:val="007C01C4"/>
    <w:rsid w:val="007E24D0"/>
    <w:rsid w:val="007E7CF1"/>
    <w:rsid w:val="007F30CB"/>
    <w:rsid w:val="007F7167"/>
    <w:rsid w:val="007F7AA7"/>
    <w:rsid w:val="0080166F"/>
    <w:rsid w:val="00801AAD"/>
    <w:rsid w:val="0081332A"/>
    <w:rsid w:val="00816804"/>
    <w:rsid w:val="00832C0D"/>
    <w:rsid w:val="00833DFB"/>
    <w:rsid w:val="008373AD"/>
    <w:rsid w:val="008471D9"/>
    <w:rsid w:val="00872DC2"/>
    <w:rsid w:val="00877693"/>
    <w:rsid w:val="00877891"/>
    <w:rsid w:val="00877DFB"/>
    <w:rsid w:val="008913BD"/>
    <w:rsid w:val="008923EF"/>
    <w:rsid w:val="0089247B"/>
    <w:rsid w:val="008A6215"/>
    <w:rsid w:val="008A7AC3"/>
    <w:rsid w:val="008B421E"/>
    <w:rsid w:val="008D21CB"/>
    <w:rsid w:val="008E288C"/>
    <w:rsid w:val="00917A2F"/>
    <w:rsid w:val="00920394"/>
    <w:rsid w:val="009230D6"/>
    <w:rsid w:val="0093011E"/>
    <w:rsid w:val="00933190"/>
    <w:rsid w:val="00952778"/>
    <w:rsid w:val="0097168E"/>
    <w:rsid w:val="009749A1"/>
    <w:rsid w:val="0098254C"/>
    <w:rsid w:val="0098326A"/>
    <w:rsid w:val="00985626"/>
    <w:rsid w:val="009965B3"/>
    <w:rsid w:val="009A013C"/>
    <w:rsid w:val="009B6259"/>
    <w:rsid w:val="009C5913"/>
    <w:rsid w:val="009F0CC5"/>
    <w:rsid w:val="009F39E7"/>
    <w:rsid w:val="009F6C05"/>
    <w:rsid w:val="00A15C5C"/>
    <w:rsid w:val="00A47BBE"/>
    <w:rsid w:val="00A541B3"/>
    <w:rsid w:val="00A54431"/>
    <w:rsid w:val="00A6358C"/>
    <w:rsid w:val="00AA69BB"/>
    <w:rsid w:val="00AB5867"/>
    <w:rsid w:val="00AC1E8F"/>
    <w:rsid w:val="00AC26AD"/>
    <w:rsid w:val="00AC3165"/>
    <w:rsid w:val="00AD0C1A"/>
    <w:rsid w:val="00AE3637"/>
    <w:rsid w:val="00AE4D34"/>
    <w:rsid w:val="00B023BC"/>
    <w:rsid w:val="00B034D5"/>
    <w:rsid w:val="00B079EB"/>
    <w:rsid w:val="00B17D97"/>
    <w:rsid w:val="00B20657"/>
    <w:rsid w:val="00B22625"/>
    <w:rsid w:val="00B27F9E"/>
    <w:rsid w:val="00B31769"/>
    <w:rsid w:val="00B369AD"/>
    <w:rsid w:val="00B42877"/>
    <w:rsid w:val="00B50D51"/>
    <w:rsid w:val="00B54CB4"/>
    <w:rsid w:val="00B6163D"/>
    <w:rsid w:val="00B87F7D"/>
    <w:rsid w:val="00B87FA5"/>
    <w:rsid w:val="00B92076"/>
    <w:rsid w:val="00B941DA"/>
    <w:rsid w:val="00BA1749"/>
    <w:rsid w:val="00BA1C3C"/>
    <w:rsid w:val="00BB14BD"/>
    <w:rsid w:val="00BB6D1B"/>
    <w:rsid w:val="00BB7FAD"/>
    <w:rsid w:val="00BC2B5C"/>
    <w:rsid w:val="00BD7313"/>
    <w:rsid w:val="00BE5AFC"/>
    <w:rsid w:val="00BF1A6D"/>
    <w:rsid w:val="00BF2AA6"/>
    <w:rsid w:val="00BF41D8"/>
    <w:rsid w:val="00BF60CD"/>
    <w:rsid w:val="00C027A7"/>
    <w:rsid w:val="00C12FCC"/>
    <w:rsid w:val="00C14B92"/>
    <w:rsid w:val="00C24B53"/>
    <w:rsid w:val="00C25CFA"/>
    <w:rsid w:val="00C42219"/>
    <w:rsid w:val="00C4595C"/>
    <w:rsid w:val="00C53653"/>
    <w:rsid w:val="00C62D63"/>
    <w:rsid w:val="00C65214"/>
    <w:rsid w:val="00C740C2"/>
    <w:rsid w:val="00C828DB"/>
    <w:rsid w:val="00CA4325"/>
    <w:rsid w:val="00CA5623"/>
    <w:rsid w:val="00CB5D27"/>
    <w:rsid w:val="00CC40C5"/>
    <w:rsid w:val="00CC5A7C"/>
    <w:rsid w:val="00CD1320"/>
    <w:rsid w:val="00CD2AE9"/>
    <w:rsid w:val="00CD44EE"/>
    <w:rsid w:val="00CE0F72"/>
    <w:rsid w:val="00CE2F2A"/>
    <w:rsid w:val="00CE4A2A"/>
    <w:rsid w:val="00CF635D"/>
    <w:rsid w:val="00D00C05"/>
    <w:rsid w:val="00D04297"/>
    <w:rsid w:val="00D20363"/>
    <w:rsid w:val="00D27FA2"/>
    <w:rsid w:val="00D34C0E"/>
    <w:rsid w:val="00D37063"/>
    <w:rsid w:val="00D37BD6"/>
    <w:rsid w:val="00D435B5"/>
    <w:rsid w:val="00D509FE"/>
    <w:rsid w:val="00D57EF8"/>
    <w:rsid w:val="00D60AF6"/>
    <w:rsid w:val="00D63DFB"/>
    <w:rsid w:val="00D65D9A"/>
    <w:rsid w:val="00D67420"/>
    <w:rsid w:val="00D74F13"/>
    <w:rsid w:val="00D80083"/>
    <w:rsid w:val="00D80CDF"/>
    <w:rsid w:val="00D82854"/>
    <w:rsid w:val="00D91805"/>
    <w:rsid w:val="00D91D4D"/>
    <w:rsid w:val="00D96F69"/>
    <w:rsid w:val="00DA119C"/>
    <w:rsid w:val="00DB0B29"/>
    <w:rsid w:val="00DB2B76"/>
    <w:rsid w:val="00DB2E26"/>
    <w:rsid w:val="00DE7D96"/>
    <w:rsid w:val="00DF04DA"/>
    <w:rsid w:val="00DF4474"/>
    <w:rsid w:val="00E03FF8"/>
    <w:rsid w:val="00E14658"/>
    <w:rsid w:val="00E15AFB"/>
    <w:rsid w:val="00E3325D"/>
    <w:rsid w:val="00E33CF3"/>
    <w:rsid w:val="00E35B21"/>
    <w:rsid w:val="00E413DB"/>
    <w:rsid w:val="00E55221"/>
    <w:rsid w:val="00E57031"/>
    <w:rsid w:val="00E57342"/>
    <w:rsid w:val="00E60E66"/>
    <w:rsid w:val="00E66D13"/>
    <w:rsid w:val="00E66F30"/>
    <w:rsid w:val="00E7122A"/>
    <w:rsid w:val="00E720DD"/>
    <w:rsid w:val="00EA567F"/>
    <w:rsid w:val="00EB77DA"/>
    <w:rsid w:val="00EC0532"/>
    <w:rsid w:val="00ED0DD9"/>
    <w:rsid w:val="00EE23BE"/>
    <w:rsid w:val="00EE3DF2"/>
    <w:rsid w:val="00EE5985"/>
    <w:rsid w:val="00EE79AD"/>
    <w:rsid w:val="00EF466A"/>
    <w:rsid w:val="00EF7508"/>
    <w:rsid w:val="00F02A09"/>
    <w:rsid w:val="00F03C49"/>
    <w:rsid w:val="00F34703"/>
    <w:rsid w:val="00F41421"/>
    <w:rsid w:val="00F52DCF"/>
    <w:rsid w:val="00F56237"/>
    <w:rsid w:val="00F6317D"/>
    <w:rsid w:val="00F63857"/>
    <w:rsid w:val="00F77F5A"/>
    <w:rsid w:val="00F803CB"/>
    <w:rsid w:val="00F92991"/>
    <w:rsid w:val="00F9343A"/>
    <w:rsid w:val="00FA6A82"/>
    <w:rsid w:val="00FB077A"/>
    <w:rsid w:val="00FB34B3"/>
    <w:rsid w:val="00FB45D1"/>
    <w:rsid w:val="00FB5843"/>
    <w:rsid w:val="00FB6F01"/>
    <w:rsid w:val="00FD6E53"/>
    <w:rsid w:val="00FE1503"/>
    <w:rsid w:val="00FF0FB8"/>
    <w:rsid w:val="00FF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EB8CC"/>
  <w15:chartTrackingRefBased/>
  <w15:docId w15:val="{74E52235-5CE3-41F6-90B8-C40A8E99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FD6"/>
    <w:pPr>
      <w:ind w:left="720"/>
      <w:contextualSpacing/>
    </w:pPr>
  </w:style>
  <w:style w:type="character" w:styleId="CommentReference">
    <w:name w:val="annotation reference"/>
    <w:basedOn w:val="DefaultParagraphFont"/>
    <w:uiPriority w:val="99"/>
    <w:semiHidden/>
    <w:unhideWhenUsed/>
    <w:rsid w:val="001C4778"/>
    <w:rPr>
      <w:sz w:val="16"/>
      <w:szCs w:val="16"/>
    </w:rPr>
  </w:style>
  <w:style w:type="paragraph" w:styleId="CommentText">
    <w:name w:val="annotation text"/>
    <w:basedOn w:val="Normal"/>
    <w:link w:val="CommentTextChar"/>
    <w:uiPriority w:val="99"/>
    <w:unhideWhenUsed/>
    <w:rsid w:val="001C4778"/>
    <w:pPr>
      <w:spacing w:line="240" w:lineRule="auto"/>
    </w:pPr>
    <w:rPr>
      <w:sz w:val="20"/>
      <w:szCs w:val="20"/>
    </w:rPr>
  </w:style>
  <w:style w:type="character" w:customStyle="1" w:styleId="CommentTextChar">
    <w:name w:val="Comment Text Char"/>
    <w:basedOn w:val="DefaultParagraphFont"/>
    <w:link w:val="CommentText"/>
    <w:uiPriority w:val="99"/>
    <w:rsid w:val="001C4778"/>
    <w:rPr>
      <w:sz w:val="20"/>
      <w:szCs w:val="20"/>
    </w:rPr>
  </w:style>
  <w:style w:type="paragraph" w:styleId="CommentSubject">
    <w:name w:val="annotation subject"/>
    <w:basedOn w:val="CommentText"/>
    <w:next w:val="CommentText"/>
    <w:link w:val="CommentSubjectChar"/>
    <w:uiPriority w:val="99"/>
    <w:semiHidden/>
    <w:unhideWhenUsed/>
    <w:rsid w:val="001C4778"/>
    <w:rPr>
      <w:b/>
      <w:bCs/>
    </w:rPr>
  </w:style>
  <w:style w:type="character" w:customStyle="1" w:styleId="CommentSubjectChar">
    <w:name w:val="Comment Subject Char"/>
    <w:basedOn w:val="CommentTextChar"/>
    <w:link w:val="CommentSubject"/>
    <w:uiPriority w:val="99"/>
    <w:semiHidden/>
    <w:rsid w:val="001C4778"/>
    <w:rPr>
      <w:b/>
      <w:bCs/>
      <w:sz w:val="20"/>
      <w:szCs w:val="20"/>
    </w:rPr>
  </w:style>
  <w:style w:type="paragraph" w:styleId="BalloonText">
    <w:name w:val="Balloon Text"/>
    <w:basedOn w:val="Normal"/>
    <w:link w:val="BalloonTextChar"/>
    <w:uiPriority w:val="99"/>
    <w:semiHidden/>
    <w:unhideWhenUsed/>
    <w:rsid w:val="001C4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778"/>
    <w:rPr>
      <w:rFonts w:ascii="Segoe UI" w:hAnsi="Segoe UI" w:cs="Segoe UI"/>
      <w:sz w:val="18"/>
      <w:szCs w:val="18"/>
    </w:rPr>
  </w:style>
  <w:style w:type="paragraph" w:styleId="FootnoteText">
    <w:name w:val="footnote text"/>
    <w:basedOn w:val="Normal"/>
    <w:link w:val="FootnoteTextChar"/>
    <w:uiPriority w:val="99"/>
    <w:semiHidden/>
    <w:unhideWhenUsed/>
    <w:rsid w:val="00E66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F30"/>
    <w:rPr>
      <w:sz w:val="20"/>
      <w:szCs w:val="20"/>
    </w:rPr>
  </w:style>
  <w:style w:type="character" w:styleId="FootnoteReference">
    <w:name w:val="footnote reference"/>
    <w:basedOn w:val="DefaultParagraphFont"/>
    <w:uiPriority w:val="99"/>
    <w:semiHidden/>
    <w:unhideWhenUsed/>
    <w:rsid w:val="00E66F30"/>
    <w:rPr>
      <w:vertAlign w:val="superscript"/>
    </w:rPr>
  </w:style>
  <w:style w:type="paragraph" w:styleId="Revision">
    <w:name w:val="Revision"/>
    <w:hidden/>
    <w:uiPriority w:val="99"/>
    <w:semiHidden/>
    <w:rsid w:val="000D6A1B"/>
    <w:pPr>
      <w:spacing w:after="0" w:line="240" w:lineRule="auto"/>
    </w:pPr>
  </w:style>
  <w:style w:type="character" w:styleId="Hyperlink">
    <w:name w:val="Hyperlink"/>
    <w:basedOn w:val="DefaultParagraphFont"/>
    <w:uiPriority w:val="99"/>
    <w:unhideWhenUsed/>
    <w:rsid w:val="00E55221"/>
    <w:rPr>
      <w:color w:val="0563C1" w:themeColor="hyperlink"/>
      <w:u w:val="single"/>
    </w:rPr>
  </w:style>
  <w:style w:type="paragraph" w:styleId="Header">
    <w:name w:val="header"/>
    <w:basedOn w:val="Normal"/>
    <w:link w:val="HeaderChar"/>
    <w:uiPriority w:val="99"/>
    <w:unhideWhenUsed/>
    <w:rsid w:val="002C0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6EF"/>
  </w:style>
  <w:style w:type="paragraph" w:styleId="Footer">
    <w:name w:val="footer"/>
    <w:basedOn w:val="Normal"/>
    <w:link w:val="FooterChar"/>
    <w:uiPriority w:val="99"/>
    <w:unhideWhenUsed/>
    <w:rsid w:val="002C0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6EF"/>
  </w:style>
  <w:style w:type="paragraph" w:styleId="EndnoteText">
    <w:name w:val="endnote text"/>
    <w:basedOn w:val="Normal"/>
    <w:link w:val="EndnoteTextChar"/>
    <w:uiPriority w:val="99"/>
    <w:semiHidden/>
    <w:unhideWhenUsed/>
    <w:rsid w:val="00F929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2991"/>
    <w:rPr>
      <w:sz w:val="20"/>
      <w:szCs w:val="20"/>
    </w:rPr>
  </w:style>
  <w:style w:type="character" w:styleId="EndnoteReference">
    <w:name w:val="endnote reference"/>
    <w:basedOn w:val="DefaultParagraphFont"/>
    <w:uiPriority w:val="99"/>
    <w:semiHidden/>
    <w:unhideWhenUsed/>
    <w:rsid w:val="00F929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99394">
      <w:bodyDiv w:val="1"/>
      <w:marLeft w:val="0"/>
      <w:marRight w:val="0"/>
      <w:marTop w:val="0"/>
      <w:marBottom w:val="0"/>
      <w:divBdr>
        <w:top w:val="none" w:sz="0" w:space="0" w:color="auto"/>
        <w:left w:val="none" w:sz="0" w:space="0" w:color="auto"/>
        <w:bottom w:val="none" w:sz="0" w:space="0" w:color="auto"/>
        <w:right w:val="none" w:sz="0" w:space="0" w:color="auto"/>
      </w:divBdr>
    </w:div>
    <w:div w:id="8085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tahome.org/homes/" TargetMode="External"/><Relationship Id="rId18" Type="http://schemas.openxmlformats.org/officeDocument/2006/relationships/theme" Target="theme/theme1.xml"/><Relationship Id="rId26"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tahome.org/homeownership-equity-program/" TargetMode="External"/><Relationship Id="rId17" Type="http://schemas.openxmlformats.org/officeDocument/2006/relationships/fontTable" Target="fontTable.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tahome.org/cht-winooski-celebrate-completion-of-butternut-grove-condominium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ksiglin@stabiliztiontrust.org" TargetMode="External"/><Relationship Id="rId23" Type="http://schemas.microsoft.com/office/2018/08/relationships/commentsExtensible" Target="commentsExtensible.xml"/><Relationship Id="rId10" Type="http://schemas.openxmlformats.org/officeDocument/2006/relationships/hyperlink" Target="https://hdfconnects.org/smct/" TargetMode="External"/><Relationship Id="rId4" Type="http://schemas.openxmlformats.org/officeDocument/2006/relationships/settings" Target="settings.xml"/><Relationship Id="rId9" Type="http://schemas.openxmlformats.org/officeDocument/2006/relationships/hyperlink" Target="https://www.stamfordadvocate.com/news/article/A-sneak-peek-at-Stamford-s-newest-affordable-17185558.php" TargetMode="External"/><Relationship Id="rId14" Type="http://schemas.openxmlformats.org/officeDocument/2006/relationships/hyperlink" Target="mailto:dhunter@stabilizationtrust.org" TargetMode="External"/><Relationship Id="rId22" Type="http://schemas.microsoft.com/office/2016/09/relationships/commentsIds" Target="commentsIds.xml"/></Relationships>
</file>

<file path=word/_rels/endnotes.xml.rels><?xml version="1.0" encoding="UTF-8" standalone="yes"?>
<Relationships xmlns="http://schemas.openxmlformats.org/package/2006/relationships"><Relationship Id="rId3" Type="http://schemas.openxmlformats.org/officeDocument/2006/relationships/hyperlink" Target="https://www.fhlb-of.com/ofweb_userWeb/resources/lendingqanda.pdf" TargetMode="External"/><Relationship Id="rId2" Type="http://schemas.openxmlformats.org/officeDocument/2006/relationships/hyperlink" Target="https://www.stabilizationtrust.org/homeownership-alliance/" TargetMode="External"/><Relationship Id="rId1" Type="http://schemas.openxmlformats.org/officeDocument/2006/relationships/hyperlink" Target="https://upforgrowth.org/apply-the-vision/housing-underproduction/" TargetMode="External"/><Relationship Id="rId6" Type="http://schemas.openxmlformats.org/officeDocument/2006/relationships/hyperlink" Target="https://click.info.enterprisecommunity.org/?qs=f9710ee4c41523d429721e077a814f8fdd387fa0bc5b996ab7bd1cab506aaf71ac196c1c4e06e99aed868c47c9039b882520d8db67b78bba" TargetMode="External"/><Relationship Id="rId5" Type="http://schemas.openxmlformats.org/officeDocument/2006/relationships/hyperlink" Target="https://www.redfin.com/county/2926/VT/Chittenden-County/housing-market" TargetMode="External"/><Relationship Id="rId4" Type="http://schemas.openxmlformats.org/officeDocument/2006/relationships/hyperlink" Target="https://www.zillow.com/home-values/27239/stamford-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151BD-C87A-4FBF-8CF8-1AB1C0BD94CD}">
  <ds:schemaRefs>
    <ds:schemaRef ds:uri="http://schemas.openxmlformats.org/officeDocument/2006/bibliography"/>
  </ds:schemaRefs>
</ds:datastoreItem>
</file>

<file path=customXml/itemProps2.xml><?xml version="1.0" encoding="utf-8"?>
<ds:datastoreItem xmlns:ds="http://schemas.openxmlformats.org/officeDocument/2006/customXml" ds:itemID="{85A0AF2C-17F0-466C-9A5A-D4A79C6A3A3D}"/>
</file>

<file path=customXml/itemProps3.xml><?xml version="1.0" encoding="utf-8"?>
<ds:datastoreItem xmlns:ds="http://schemas.openxmlformats.org/officeDocument/2006/customXml" ds:itemID="{E2EE401B-7EC8-47C7-ABFC-BBDA9CF06378}"/>
</file>

<file path=customXml/itemProps4.xml><?xml version="1.0" encoding="utf-8"?>
<ds:datastoreItem xmlns:ds="http://schemas.openxmlformats.org/officeDocument/2006/customXml" ds:itemID="{9F75E2FC-79C2-4F28-8D86-814E9FF16E17}"/>
</file>

<file path=docProps/app.xml><?xml version="1.0" encoding="utf-8"?>
<Properties xmlns="http://schemas.openxmlformats.org/officeDocument/2006/extended-properties" xmlns:vt="http://schemas.openxmlformats.org/officeDocument/2006/docPropsVTypes">
  <Template>Normal</Template>
  <TotalTime>128</TotalTime>
  <Pages>7</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19</cp:revision>
  <cp:lastPrinted>2022-10-31T18:14:00Z</cp:lastPrinted>
  <dcterms:created xsi:type="dcterms:W3CDTF">2022-10-31T16:42:00Z</dcterms:created>
  <dcterms:modified xsi:type="dcterms:W3CDTF">2022-10-31T19:04:00Z</dcterms:modified>
</cp:coreProperties>
</file>