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3214" w14:textId="77777777" w:rsidR="004D4D9A" w:rsidRDefault="004D4D9A" w:rsidP="004D4D9A">
      <w:pPr>
        <w:pStyle w:val="NoSpacing"/>
      </w:pPr>
    </w:p>
    <w:p w14:paraId="55917B18" w14:textId="77777777" w:rsidR="004D4D9A" w:rsidRDefault="004D4D9A" w:rsidP="004D4D9A">
      <w:pPr>
        <w:pStyle w:val="NoSpacing"/>
      </w:pPr>
    </w:p>
    <w:p w14:paraId="3E74AC96" w14:textId="77777777" w:rsidR="004D4D9A" w:rsidRDefault="004D4D9A" w:rsidP="004D4D9A">
      <w:pPr>
        <w:pStyle w:val="NoSpacing"/>
      </w:pPr>
    </w:p>
    <w:p w14:paraId="3415748A" w14:textId="77777777" w:rsidR="004D4D9A" w:rsidRDefault="004D4D9A" w:rsidP="004D4D9A">
      <w:pPr>
        <w:pStyle w:val="NoSpacing"/>
      </w:pPr>
    </w:p>
    <w:p w14:paraId="339672CB" w14:textId="77777777" w:rsidR="004D4D9A" w:rsidRDefault="004D4D9A" w:rsidP="004D4D9A">
      <w:pPr>
        <w:pStyle w:val="NoSpacing"/>
      </w:pPr>
    </w:p>
    <w:p w14:paraId="0301D19B" w14:textId="77777777" w:rsidR="004D4D9A" w:rsidRDefault="004D4D9A" w:rsidP="004D4D9A">
      <w:pPr>
        <w:pStyle w:val="NoSpacing"/>
      </w:pPr>
    </w:p>
    <w:p w14:paraId="09326958" w14:textId="77777777" w:rsidR="00A36422" w:rsidRDefault="00A36422" w:rsidP="004D4D9A">
      <w:pPr>
        <w:pStyle w:val="NoSpacing"/>
      </w:pPr>
    </w:p>
    <w:p w14:paraId="18364D58" w14:textId="09363140" w:rsidR="004D4D9A" w:rsidRDefault="00AB3883" w:rsidP="004D4D9A">
      <w:pPr>
        <w:pStyle w:val="NoSpacing"/>
      </w:pPr>
      <w:r>
        <w:t>October 31</w:t>
      </w:r>
      <w:r w:rsidR="004D4D9A">
        <w:t>, 2022</w:t>
      </w:r>
    </w:p>
    <w:p w14:paraId="59CC5AE7" w14:textId="77777777" w:rsidR="004D4D9A" w:rsidRDefault="004D4D9A" w:rsidP="004D4D9A">
      <w:pPr>
        <w:pStyle w:val="NoSpacing"/>
      </w:pPr>
    </w:p>
    <w:p w14:paraId="0C670F9E" w14:textId="77777777" w:rsidR="004D4D9A" w:rsidRDefault="004D4D9A" w:rsidP="004D4D9A">
      <w:pPr>
        <w:pStyle w:val="NoSpacing"/>
      </w:pPr>
    </w:p>
    <w:p w14:paraId="63B3F240" w14:textId="77777777" w:rsidR="004D4D9A" w:rsidRDefault="004D4D9A" w:rsidP="004D4D9A">
      <w:pPr>
        <w:pStyle w:val="NoSpacing"/>
      </w:pPr>
      <w:r>
        <w:t xml:space="preserve">The Honorable Sandra Thompson </w:t>
      </w:r>
    </w:p>
    <w:p w14:paraId="78380448" w14:textId="77777777" w:rsidR="004D4D9A" w:rsidRDefault="004D4D9A" w:rsidP="004D4D9A">
      <w:pPr>
        <w:pStyle w:val="NoSpacing"/>
      </w:pPr>
      <w:r>
        <w:t xml:space="preserve">Director Federal Housing Finance Agency </w:t>
      </w:r>
    </w:p>
    <w:p w14:paraId="342EB23E" w14:textId="77777777" w:rsidR="004D4D9A" w:rsidRDefault="004D4D9A" w:rsidP="004D4D9A">
      <w:pPr>
        <w:pStyle w:val="NoSpacing"/>
      </w:pPr>
      <w:r>
        <w:t xml:space="preserve">Constitution Center </w:t>
      </w:r>
    </w:p>
    <w:p w14:paraId="77D46285" w14:textId="77777777" w:rsidR="004D4D9A" w:rsidRDefault="004D4D9A" w:rsidP="004D4D9A">
      <w:pPr>
        <w:pStyle w:val="NoSpacing"/>
      </w:pPr>
      <w:r>
        <w:t xml:space="preserve">400 7th Street, SW </w:t>
      </w:r>
    </w:p>
    <w:p w14:paraId="582777D7" w14:textId="77777777" w:rsidR="004D4D9A" w:rsidRDefault="004D4D9A" w:rsidP="004D4D9A">
      <w:pPr>
        <w:pStyle w:val="NoSpacing"/>
      </w:pPr>
      <w:r>
        <w:t xml:space="preserve">Washington, D.C. 20219 </w:t>
      </w:r>
    </w:p>
    <w:p w14:paraId="4F82FF5A" w14:textId="77777777" w:rsidR="004D4D9A" w:rsidRDefault="004D4D9A" w:rsidP="004D4D9A">
      <w:pPr>
        <w:pStyle w:val="NoSpacing"/>
      </w:pPr>
    </w:p>
    <w:p w14:paraId="40ADD8CA" w14:textId="77777777" w:rsidR="004D4D9A" w:rsidRDefault="004D4D9A" w:rsidP="004D4D9A">
      <w:pPr>
        <w:pStyle w:val="NoSpacing"/>
      </w:pPr>
    </w:p>
    <w:p w14:paraId="26EED2CC" w14:textId="77777777" w:rsidR="004D4D9A" w:rsidRDefault="004D4D9A" w:rsidP="004D4D9A">
      <w:pPr>
        <w:pStyle w:val="NoSpacing"/>
      </w:pPr>
      <w:r>
        <w:t xml:space="preserve">RE: FHFA Review of the Federal Home Loan Bank System </w:t>
      </w:r>
    </w:p>
    <w:p w14:paraId="7B074CB9" w14:textId="77777777" w:rsidR="004D4D9A" w:rsidRDefault="004D4D9A" w:rsidP="004D4D9A">
      <w:pPr>
        <w:pStyle w:val="NoSpacing"/>
      </w:pPr>
    </w:p>
    <w:p w14:paraId="34BE68AF" w14:textId="77777777" w:rsidR="004D4D9A" w:rsidRDefault="004D4D9A" w:rsidP="004D4D9A">
      <w:pPr>
        <w:pStyle w:val="NoSpacing"/>
      </w:pPr>
    </w:p>
    <w:p w14:paraId="627F31C8" w14:textId="07C2DBF1" w:rsidR="00722E82" w:rsidRDefault="004D4D9A" w:rsidP="004D4D9A">
      <w:pPr>
        <w:pStyle w:val="NoSpacing"/>
      </w:pPr>
      <w:r>
        <w:t>Dear Director Thompson:</w:t>
      </w:r>
    </w:p>
    <w:p w14:paraId="597C6246" w14:textId="13D2FA57" w:rsidR="004D4D9A" w:rsidRDefault="004D4D9A" w:rsidP="004D4D9A">
      <w:pPr>
        <w:pStyle w:val="NoSpacing"/>
      </w:pPr>
    </w:p>
    <w:p w14:paraId="18CD16E8" w14:textId="31A8B13A" w:rsidR="006E3A9F" w:rsidRDefault="00A27883" w:rsidP="006E3A9F">
      <w:r>
        <w:t xml:space="preserve">Thank you for allowing member input in support of the FHLBanks during </w:t>
      </w:r>
      <w:r w:rsidR="006E3A9F">
        <w:t xml:space="preserve">the FHFA’s </w:t>
      </w:r>
      <w:r w:rsidR="00AB3883">
        <w:t xml:space="preserve">review </w:t>
      </w:r>
      <w:r w:rsidR="006E3A9F">
        <w:t>entitled “The FHLBank System at 100: Focusing on the Future.”</w:t>
      </w:r>
    </w:p>
    <w:p w14:paraId="30A0373A" w14:textId="0EF48220" w:rsidR="006E3A9F" w:rsidRDefault="006E3A9F" w:rsidP="006E3A9F">
      <w:r>
        <w:t xml:space="preserve">  </w:t>
      </w:r>
    </w:p>
    <w:p w14:paraId="151605BE" w14:textId="4DBF7B10" w:rsidR="00EB5E15" w:rsidRDefault="00A27883" w:rsidP="004D4D9A">
      <w:pPr>
        <w:pStyle w:val="NoSpacing"/>
      </w:pPr>
      <w:r>
        <w:t>Affinity Bank</w:t>
      </w:r>
      <w:r w:rsidR="00AB3883">
        <w:t xml:space="preserve"> </w:t>
      </w:r>
      <w:r w:rsidR="006E3A9F">
        <w:t xml:space="preserve">is an active member of FHLBank Atlanta </w:t>
      </w:r>
      <w:r>
        <w:t xml:space="preserve">dating back to </w:t>
      </w:r>
      <w:r w:rsidR="00AB3883">
        <w:t>19</w:t>
      </w:r>
      <w:r>
        <w:t>35</w:t>
      </w:r>
      <w:r w:rsidR="00AB3883">
        <w:t xml:space="preserve">.  We </w:t>
      </w:r>
      <w:r>
        <w:t xml:space="preserve">frequently </w:t>
      </w:r>
      <w:r w:rsidR="006E3A9F">
        <w:t>u</w:t>
      </w:r>
      <w:r>
        <w:t xml:space="preserve">tilize </w:t>
      </w:r>
      <w:r w:rsidR="006E3A9F">
        <w:t xml:space="preserve">advances to manage </w:t>
      </w:r>
      <w:r>
        <w:t xml:space="preserve">balance sheet/loan portfolio </w:t>
      </w:r>
      <w:r w:rsidR="006E3A9F">
        <w:t>interest rate risk</w:t>
      </w:r>
      <w:r>
        <w:t xml:space="preserve"> and short-term </w:t>
      </w:r>
      <w:r w:rsidR="006E3A9F">
        <w:t>liquidity needs</w:t>
      </w:r>
      <w:r>
        <w:t xml:space="preserve">. </w:t>
      </w:r>
      <w:r w:rsidR="00EE6590">
        <w:t xml:space="preserve">As a converted mutual, we have a large residential mortgage portfolio.  Access to FHLB funding sources not only provides liquidity but also enables us to provide fixed rate mortgages. </w:t>
      </w:r>
      <w:r>
        <w:t xml:space="preserve"> </w:t>
      </w:r>
      <w:r w:rsidR="006E3A9F">
        <w:t xml:space="preserve">We also </w:t>
      </w:r>
      <w:r>
        <w:t xml:space="preserve">regularly engage in </w:t>
      </w:r>
      <w:r w:rsidR="006E3A9F">
        <w:t xml:space="preserve">FHLBank Atlanta’s </w:t>
      </w:r>
      <w:r>
        <w:t xml:space="preserve">webinars, </w:t>
      </w:r>
      <w:r w:rsidR="002327D5">
        <w:t xml:space="preserve">educational </w:t>
      </w:r>
      <w:r w:rsidR="00AB3883">
        <w:t>events</w:t>
      </w:r>
      <w:r>
        <w:t xml:space="preserve">, and include its internal </w:t>
      </w:r>
      <w:r w:rsidR="00867A0C">
        <w:t>subject matter expert</w:t>
      </w:r>
      <w:r>
        <w:t>ise into our ongoing strategy development</w:t>
      </w:r>
      <w:r w:rsidR="00867A0C">
        <w:t xml:space="preserve">.  </w:t>
      </w:r>
      <w:r w:rsidR="0091202A">
        <w:t xml:space="preserve">  </w:t>
      </w:r>
    </w:p>
    <w:p w14:paraId="20F6C4E8" w14:textId="77777777" w:rsidR="00EB5E15" w:rsidRDefault="00EB5E15" w:rsidP="004D4D9A">
      <w:pPr>
        <w:pStyle w:val="NoSpacing"/>
      </w:pPr>
    </w:p>
    <w:p w14:paraId="1FDA8618" w14:textId="2DBB57BA" w:rsidR="004D4D9A" w:rsidRDefault="0091202A" w:rsidP="004D4D9A">
      <w:pPr>
        <w:pStyle w:val="NoSpacing"/>
      </w:pPr>
      <w:r>
        <w:t>As CEO</w:t>
      </w:r>
      <w:r w:rsidR="00A27883">
        <w:t xml:space="preserve">, I remain personally involved </w:t>
      </w:r>
      <w:r w:rsidR="00867A0C">
        <w:t>in the FHLBank relationship</w:t>
      </w:r>
      <w:r w:rsidR="00A27883">
        <w:t xml:space="preserve">.  Membership offers us an important array of products and services </w:t>
      </w:r>
      <w:r w:rsidR="00F20F5E">
        <w:t xml:space="preserve">to </w:t>
      </w:r>
      <w:r w:rsidR="002327D5">
        <w:t>m</w:t>
      </w:r>
      <w:r w:rsidR="004D4D9A">
        <w:t xml:space="preserve">anage </w:t>
      </w:r>
      <w:r w:rsidR="00F20F5E">
        <w:t xml:space="preserve">our overall </w:t>
      </w:r>
      <w:r w:rsidR="004D4D9A">
        <w:t>balance sheet</w:t>
      </w:r>
      <w:r w:rsidR="00867A0C">
        <w:t xml:space="preserve">, </w:t>
      </w:r>
      <w:r w:rsidR="00F20F5E">
        <w:t xml:space="preserve">satisfy periodic </w:t>
      </w:r>
      <w:r w:rsidR="004D4D9A">
        <w:t>liquidity needs</w:t>
      </w:r>
      <w:r w:rsidR="00867A0C">
        <w:t xml:space="preserve">, </w:t>
      </w:r>
      <w:r w:rsidR="00F20F5E">
        <w:t xml:space="preserve">better serve the unique needs of our commercial and consumer clients, with pricing, terms, and efficiency </w:t>
      </w:r>
      <w:r>
        <w:t>that are</w:t>
      </w:r>
      <w:r w:rsidR="00F20F5E">
        <w:t xml:space="preserve"> otherwise unavailable to a bank of our size ($766 million in assets) operating in a very competitive Atlanta market.  The membership and relationship are very important to us.  </w:t>
      </w:r>
      <w:r w:rsidR="00867A0C">
        <w:t xml:space="preserve">  </w:t>
      </w:r>
      <w:r>
        <w:t xml:space="preserve">  </w:t>
      </w:r>
    </w:p>
    <w:p w14:paraId="2EEA4BA6" w14:textId="6D64F88B" w:rsidR="00A36422" w:rsidRDefault="00A36422" w:rsidP="004D4D9A">
      <w:pPr>
        <w:pStyle w:val="NoSpacing"/>
      </w:pPr>
    </w:p>
    <w:p w14:paraId="19B658EA" w14:textId="17394759" w:rsidR="00A36422" w:rsidRDefault="00A27883" w:rsidP="004D4D9A">
      <w:pPr>
        <w:pStyle w:val="NoSpacing"/>
      </w:pPr>
      <w:r>
        <w:t>Appreciatively</w:t>
      </w:r>
      <w:r w:rsidR="00AE1809">
        <w:t xml:space="preserve">, </w:t>
      </w:r>
    </w:p>
    <w:p w14:paraId="5E954785" w14:textId="1FE5A6CA" w:rsidR="00A36422" w:rsidRDefault="00A36422" w:rsidP="004D4D9A">
      <w:pPr>
        <w:pStyle w:val="NoSpacing"/>
      </w:pPr>
    </w:p>
    <w:p w14:paraId="0B72CF44" w14:textId="77777777" w:rsidR="00A27883" w:rsidRDefault="00A27883" w:rsidP="004D4D9A">
      <w:pPr>
        <w:pStyle w:val="NoSpacing"/>
      </w:pPr>
    </w:p>
    <w:tbl>
      <w:tblPr>
        <w:tblW w:w="67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82"/>
        <w:gridCol w:w="5492"/>
      </w:tblGrid>
      <w:tr w:rsidR="00A27883" w14:paraId="7DDD73E2" w14:textId="77777777" w:rsidTr="00A27883">
        <w:tc>
          <w:tcPr>
            <w:tcW w:w="1141" w:type="dxa"/>
            <w:shd w:val="clear" w:color="auto" w:fill="FFFFFF"/>
            <w:vAlign w:val="center"/>
            <w:hideMark/>
          </w:tcPr>
          <w:p w14:paraId="68848F0D" w14:textId="7339F8C0" w:rsidR="00A27883" w:rsidRDefault="00000000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" w:history="1">
              <w:r w:rsidR="00A27883">
                <w:rPr>
                  <w:rFonts w:ascii="Helvetica" w:hAnsi="Helvetica" w:cs="Helvetica"/>
                  <w:noProof/>
                  <w:color w:val="0D47A1"/>
                  <w:sz w:val="21"/>
                  <w:szCs w:val="21"/>
                </w:rPr>
                <w:drawing>
                  <wp:inline distT="0" distB="0" distL="0" distR="0" wp14:anchorId="5438D45D" wp14:editId="4FCFD562">
                    <wp:extent cx="723900" cy="762000"/>
                    <wp:effectExtent l="0" t="0" r="0" b="0"/>
                    <wp:docPr id="5" name="Picture 5" descr="AFFINITY BANCSHARES INC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AFFINITY BANCSHARES INC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27883">
                <w:rPr>
                  <w:rStyle w:val="Hyperlink"/>
                </w:rPr>
                <w:t>[htmlsig.com]</w:t>
              </w:r>
            </w:hyperlink>
          </w:p>
          <w:p w14:paraId="4070DA16" w14:textId="4C0D961F" w:rsidR="00A27883" w:rsidRDefault="00A27883">
            <w:pPr>
              <w:spacing w:line="150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337C933" wp14:editId="4236D170">
                  <wp:extent cx="628650" cy="95250"/>
                  <wp:effectExtent l="0" t="0" r="0" b="0"/>
                  <wp:docPr id="4" name="Picture 4" descr="cid:image002.gif@01D8ED0E.2693B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id:image002.gif@01D8ED0E.2693B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dxa"/>
            <w:shd w:val="clear" w:color="auto" w:fill="FFFFFF"/>
            <w:noWrap/>
            <w:hideMark/>
          </w:tcPr>
          <w:p w14:paraId="446B5B34" w14:textId="09968A82" w:rsidR="00A27883" w:rsidRDefault="00A27883">
            <w:pPr>
              <w:rPr>
                <w:rFonts w:ascii="Lato" w:hAnsi="Lato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E2E7E6C" wp14:editId="03770F67">
                  <wp:extent cx="95250" cy="95250"/>
                  <wp:effectExtent l="0" t="0" r="0" b="0"/>
                  <wp:docPr id="3" name="Picture 3" descr="cid:image002.gif@01D8ED0E.2693B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id:image002.gif@01D8ED0E.2693B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6" w:type="dxa"/>
            <w:shd w:val="clear" w:color="auto" w:fill="FFFFFF"/>
            <w:noWrap/>
            <w:vAlign w:val="center"/>
            <w:hideMark/>
          </w:tcPr>
          <w:p w14:paraId="6596B23B" w14:textId="77777777" w:rsidR="00A27883" w:rsidRDefault="00A27883">
            <w:pPr>
              <w:rPr>
                <w:rFonts w:ascii="Lato" w:hAnsi="Lato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1C365E"/>
                <w:sz w:val="18"/>
                <w:szCs w:val="18"/>
              </w:rPr>
              <w:t>Ed Cooney 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| </w:t>
            </w:r>
            <w:r>
              <w:rPr>
                <w:rFonts w:ascii="Helvetica" w:hAnsi="Helvetica" w:cs="Helvetica"/>
                <w:color w:val="3576BC"/>
                <w:sz w:val="18"/>
                <w:szCs w:val="18"/>
              </w:rPr>
              <w:t>Chief Executive Officer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br/>
            </w:r>
            <w:hyperlink r:id="rId9" w:history="1">
              <w:r>
                <w:rPr>
                  <w:rStyle w:val="Hyperlink"/>
                  <w:rFonts w:ascii="Helvetica" w:hAnsi="Helvetica" w:cs="Helvetica"/>
                  <w:color w:val="F47527"/>
                  <w:sz w:val="18"/>
                  <w:szCs w:val="18"/>
                </w:rPr>
                <w:t>ecooney@myaffinitybank.com</w:t>
              </w:r>
            </w:hyperlink>
          </w:p>
          <w:p w14:paraId="61406131" w14:textId="51E5AE88" w:rsidR="00A27883" w:rsidRDefault="00A27883">
            <w:pPr>
              <w:spacing w:line="150" w:lineRule="atLeast"/>
              <w:rPr>
                <w:rFonts w:ascii="Lato" w:hAnsi="Lato"/>
                <w:color w:val="000000"/>
                <w:sz w:val="21"/>
                <w:szCs w:val="21"/>
              </w:rPr>
            </w:pPr>
            <w:r>
              <w:rPr>
                <w:rFonts w:ascii="Lato" w:hAnsi="Lato"/>
                <w:noProof/>
                <w:color w:val="000000"/>
                <w:sz w:val="21"/>
                <w:szCs w:val="21"/>
              </w:rPr>
              <w:drawing>
                <wp:inline distT="0" distB="0" distL="0" distR="0" wp14:anchorId="48B4C75B" wp14:editId="2B14A409">
                  <wp:extent cx="628650" cy="95250"/>
                  <wp:effectExtent l="0" t="0" r="0" b="0"/>
                  <wp:docPr id="2" name="Picture 2" descr="cid:image002.gif@01D8ED0E.2693B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id:image002.gif@01D8ED0E.2693B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5A50CAE5" wp14:editId="501A826B">
                  <wp:extent cx="628650" cy="95250"/>
                  <wp:effectExtent l="0" t="0" r="0" b="0"/>
                  <wp:docPr id="1" name="Picture 1" descr="cid:image002.gif@01D8ED0E.2693B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id:image002.gif@01D8ED0E.2693B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62471" w14:textId="77777777" w:rsidR="00A27883" w:rsidRDefault="00A27883" w:rsidP="004D4D9A">
      <w:pPr>
        <w:pStyle w:val="NoSpacing"/>
      </w:pPr>
    </w:p>
    <w:p w14:paraId="6323411D" w14:textId="77777777" w:rsidR="00AE1809" w:rsidRDefault="00AE1809" w:rsidP="004D4D9A">
      <w:pPr>
        <w:pStyle w:val="NoSpacing"/>
      </w:pPr>
    </w:p>
    <w:sectPr w:rsidR="00AE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9A"/>
    <w:rsid w:val="002327D5"/>
    <w:rsid w:val="003538A1"/>
    <w:rsid w:val="004D4D9A"/>
    <w:rsid w:val="00622A3C"/>
    <w:rsid w:val="006E3A9F"/>
    <w:rsid w:val="00722E82"/>
    <w:rsid w:val="00867A0C"/>
    <w:rsid w:val="008F238B"/>
    <w:rsid w:val="0091202A"/>
    <w:rsid w:val="00A27883"/>
    <w:rsid w:val="00A36422"/>
    <w:rsid w:val="00AB3883"/>
    <w:rsid w:val="00AE1809"/>
    <w:rsid w:val="00B80C77"/>
    <w:rsid w:val="00EB5E15"/>
    <w:rsid w:val="00EE5786"/>
    <w:rsid w:val="00EE6590"/>
    <w:rsid w:val="00F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7EDD"/>
  <w15:chartTrackingRefBased/>
  <w15:docId w15:val="{E7FCA2FE-72A8-4551-8E70-DE71800E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D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1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D8ED0E.2693B8D0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ED0E.2693B8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urldefense.com/v3/__https:/htmlsig.com/t/000001G28Y5G__;!!DUZnZ1pniQ!avgSJmILFROPS8vd8Og1huSxfMWceUCqEywy71LHWznMj4d_uzuOmqpUQnPUNH39aLqqUyDI5tvdEgJ2NEGpo3UUfA$" TargetMode="External"/><Relationship Id="rId9" Type="http://schemas.openxmlformats.org/officeDocument/2006/relationships/hyperlink" Target="mailto:ecooney@myaffinitybank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144C9-427A-4489-9D75-83BA7E473279}"/>
</file>

<file path=customXml/itemProps2.xml><?xml version="1.0" encoding="utf-8"?>
<ds:datastoreItem xmlns:ds="http://schemas.openxmlformats.org/officeDocument/2006/customXml" ds:itemID="{6B5FFE1A-F6C0-422E-B842-00121E372638}"/>
</file>

<file path=customXml/itemProps3.xml><?xml version="1.0" encoding="utf-8"?>
<ds:datastoreItem xmlns:ds="http://schemas.openxmlformats.org/officeDocument/2006/customXml" ds:itemID="{C4CE9ACE-F1D5-488A-AB51-479C646E5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</dc:creator>
  <cp:keywords/>
  <dc:description/>
  <cp:lastModifiedBy>Ed Cooney</cp:lastModifiedBy>
  <cp:revision>2</cp:revision>
  <dcterms:created xsi:type="dcterms:W3CDTF">2022-10-31T14:25:00Z</dcterms:created>
  <dcterms:modified xsi:type="dcterms:W3CDTF">2022-10-31T14:25:00Z</dcterms:modified>
</cp:coreProperties>
</file>