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F1C5" w14:textId="71F797FE" w:rsidR="0056591D" w:rsidRDefault="000C4544" w:rsidP="000C4544">
      <w:pPr>
        <w:spacing w:after="0" w:line="240" w:lineRule="auto"/>
        <w:ind w:left="5760"/>
      </w:pPr>
      <w:r>
        <w:t>Mark A. Willis</w:t>
      </w:r>
    </w:p>
    <w:p w14:paraId="428EE0B0" w14:textId="6323F916" w:rsidR="000C4544" w:rsidRDefault="000C4544" w:rsidP="000C4544">
      <w:pPr>
        <w:spacing w:after="0" w:line="240" w:lineRule="auto"/>
        <w:ind w:left="5760"/>
      </w:pPr>
      <w:r>
        <w:t>Senior Policy Fellow</w:t>
      </w:r>
    </w:p>
    <w:p w14:paraId="7617AB9D" w14:textId="67AD6541" w:rsidR="000C4544" w:rsidRDefault="000C4544" w:rsidP="000C4544">
      <w:pPr>
        <w:spacing w:after="0" w:line="240" w:lineRule="auto"/>
        <w:ind w:left="5760"/>
      </w:pPr>
      <w:r>
        <w:t>NYU Furman Center</w:t>
      </w:r>
    </w:p>
    <w:p w14:paraId="02126D79" w14:textId="44D94CB3" w:rsidR="000C4544" w:rsidRDefault="000C4544" w:rsidP="000C4544">
      <w:pPr>
        <w:spacing w:after="0" w:line="240" w:lineRule="auto"/>
        <w:ind w:left="5760"/>
      </w:pPr>
      <w:hyperlink r:id="rId5" w:history="1">
        <w:r w:rsidRPr="007F20BD">
          <w:rPr>
            <w:rStyle w:val="Hyperlink"/>
          </w:rPr>
          <w:t>Mark.Willis@nyu.edu</w:t>
        </w:r>
      </w:hyperlink>
    </w:p>
    <w:p w14:paraId="4D0DB826" w14:textId="3D6ADADF" w:rsidR="000C4544" w:rsidRDefault="000C4544" w:rsidP="000C4544">
      <w:pPr>
        <w:spacing w:after="0" w:line="240" w:lineRule="auto"/>
        <w:ind w:left="5760"/>
      </w:pPr>
      <w:r>
        <w:t>October 21, 2022</w:t>
      </w:r>
    </w:p>
    <w:p w14:paraId="01EBEC74" w14:textId="77777777" w:rsidR="0056591D" w:rsidRDefault="0056591D" w:rsidP="0056591D">
      <w:pPr>
        <w:spacing w:after="0" w:line="240" w:lineRule="auto"/>
      </w:pPr>
    </w:p>
    <w:p w14:paraId="65FC4022" w14:textId="1A951EC0" w:rsidR="0056591D" w:rsidRPr="0056591D" w:rsidRDefault="0056591D" w:rsidP="0056591D">
      <w:pPr>
        <w:spacing w:after="0" w:line="240" w:lineRule="auto"/>
      </w:pPr>
      <w:r w:rsidRPr="0056591D">
        <w:t>Sandra R. Thompson</w:t>
      </w:r>
    </w:p>
    <w:p w14:paraId="19354EBE" w14:textId="77777777" w:rsidR="0056591D" w:rsidRPr="0056591D" w:rsidRDefault="0056591D" w:rsidP="0056591D">
      <w:pPr>
        <w:spacing w:after="0" w:line="240" w:lineRule="auto"/>
      </w:pPr>
      <w:r w:rsidRPr="0056591D">
        <w:t>Director</w:t>
      </w:r>
    </w:p>
    <w:p w14:paraId="2D1A8233" w14:textId="116E4475" w:rsidR="0056591D" w:rsidRPr="0056591D" w:rsidRDefault="0056591D" w:rsidP="0056591D">
      <w:pPr>
        <w:spacing w:after="0" w:line="240" w:lineRule="auto"/>
      </w:pPr>
      <w:r w:rsidRPr="0056591D">
        <w:t>Federal Housing Finance Agency</w:t>
      </w:r>
      <w:r w:rsidR="009B334D">
        <w:t xml:space="preserve"> (FHFA)</w:t>
      </w:r>
    </w:p>
    <w:p w14:paraId="6D01BAB0" w14:textId="77777777" w:rsidR="0056591D" w:rsidRPr="0056591D" w:rsidRDefault="0056591D" w:rsidP="0056591D">
      <w:pPr>
        <w:spacing w:after="0" w:line="240" w:lineRule="auto"/>
      </w:pPr>
    </w:p>
    <w:p w14:paraId="7663DBCF" w14:textId="25983736" w:rsidR="0056591D" w:rsidRPr="0056591D" w:rsidRDefault="0056591D" w:rsidP="0056591D">
      <w:pPr>
        <w:spacing w:after="0" w:line="240" w:lineRule="auto"/>
      </w:pPr>
      <w:r w:rsidRPr="0056591D">
        <w:t>Dear Director Thompson:</w:t>
      </w:r>
    </w:p>
    <w:p w14:paraId="6FF4875D" w14:textId="77777777" w:rsidR="0056591D" w:rsidRPr="0056591D" w:rsidRDefault="0056591D" w:rsidP="0056591D">
      <w:pPr>
        <w:spacing w:after="0" w:line="240" w:lineRule="auto"/>
      </w:pPr>
    </w:p>
    <w:p w14:paraId="4D994983" w14:textId="7E4EA405" w:rsidR="00547AAC" w:rsidRDefault="0056591D" w:rsidP="00B506B6">
      <w:pPr>
        <w:spacing w:after="0" w:line="240" w:lineRule="auto"/>
      </w:pPr>
      <w:r w:rsidRPr="0056591D">
        <w:t>Thank you for soliciting comments</w:t>
      </w:r>
      <w:r w:rsidRPr="0056591D">
        <w:t xml:space="preserve"> </w:t>
      </w:r>
      <w:r>
        <w:t xml:space="preserve">as part of the FHFA’s </w:t>
      </w:r>
      <w:r w:rsidRPr="0056591D">
        <w:t>Comprehensive Review of the Federal Home Loan Bank (FHLB) system.</w:t>
      </w:r>
      <w:r>
        <w:t xml:space="preserve"> T</w:t>
      </w:r>
      <w:r w:rsidR="009979C1">
        <w:t>h</w:t>
      </w:r>
      <w:r>
        <w:t>e views expressed</w:t>
      </w:r>
      <w:r w:rsidR="009979C1">
        <w:t xml:space="preserve"> below are my own and do not necessarily reflect those of New York University or the Furman Center.</w:t>
      </w:r>
    </w:p>
    <w:p w14:paraId="2295F405" w14:textId="77777777" w:rsidR="0056591D" w:rsidRPr="0056591D" w:rsidRDefault="0056591D" w:rsidP="00B506B6">
      <w:pPr>
        <w:spacing w:after="0" w:line="240" w:lineRule="auto"/>
      </w:pPr>
    </w:p>
    <w:p w14:paraId="3B95A16F" w14:textId="6B631D8C" w:rsidR="00547AAC" w:rsidRPr="0056591D" w:rsidRDefault="00547AAC" w:rsidP="00B506B6">
      <w:pPr>
        <w:spacing w:after="0" w:line="240" w:lineRule="auto"/>
      </w:pPr>
      <w:r w:rsidRPr="0056591D">
        <w:t xml:space="preserve">Rather than comment on each of the six areas, I would like to make one overall observation: the FHLB system is a GSE and </w:t>
      </w:r>
      <w:r w:rsidR="009979C1">
        <w:t>hence</w:t>
      </w:r>
      <w:r w:rsidRPr="0056591D">
        <w:t xml:space="preserve"> susceptible, as Fannie Mae and Freddie Mac</w:t>
      </w:r>
      <w:r w:rsidR="009979C1">
        <w:t xml:space="preserve"> proved to be,</w:t>
      </w:r>
      <w:r w:rsidRPr="0056591D">
        <w:t xml:space="preserve"> </w:t>
      </w:r>
      <w:r w:rsidR="009979C1">
        <w:t>t</w:t>
      </w:r>
      <w:r w:rsidR="004A2CBC" w:rsidRPr="0056591D">
        <w:t>o</w:t>
      </w:r>
      <w:r w:rsidR="009979C1">
        <w:t xml:space="preserve"> </w:t>
      </w:r>
      <w:r w:rsidRPr="0056591D">
        <w:t>tak</w:t>
      </w:r>
      <w:r w:rsidR="009979C1">
        <w:t>ing</w:t>
      </w:r>
      <w:r w:rsidRPr="0056591D">
        <w:t xml:space="preserve"> </w:t>
      </w:r>
      <w:r w:rsidR="009979C1">
        <w:t xml:space="preserve">unnecessary risks </w:t>
      </w:r>
      <w:r w:rsidR="00263ECB">
        <w:t xml:space="preserve">while </w:t>
      </w:r>
      <w:r w:rsidR="008716E1">
        <w:t>it and its members hide</w:t>
      </w:r>
      <w:r w:rsidR="009979C1">
        <w:t xml:space="preserve"> behind </w:t>
      </w:r>
      <w:r w:rsidR="000C4544">
        <w:t xml:space="preserve">and benefit from </w:t>
      </w:r>
      <w:r w:rsidR="009979C1">
        <w:t>the</w:t>
      </w:r>
      <w:r w:rsidRPr="0056591D">
        <w:t xml:space="preserve"> implied government guarantee</w:t>
      </w:r>
      <w:r w:rsidR="009979C1">
        <w:t xml:space="preserve"> of its debt</w:t>
      </w:r>
      <w:r w:rsidRPr="0056591D">
        <w:t>. Without sufficient guardrails, the FHLB system could</w:t>
      </w:r>
      <w:r w:rsidR="00263ECB">
        <w:t>, as a result,</w:t>
      </w:r>
      <w:r w:rsidRPr="0056591D">
        <w:t xml:space="preserve"> </w:t>
      </w:r>
      <w:r w:rsidR="00263ECB">
        <w:t>undertak</w:t>
      </w:r>
      <w:r w:rsidR="000C4544">
        <w:t>e</w:t>
      </w:r>
      <w:r w:rsidRPr="0056591D">
        <w:t xml:space="preserve"> policies/approaches that </w:t>
      </w:r>
      <w:r w:rsidR="00263ECB">
        <w:t>provide</w:t>
      </w:r>
      <w:r w:rsidRPr="0056591D">
        <w:t xml:space="preserve"> little or no public gain.  </w:t>
      </w:r>
      <w:r w:rsidR="008716E1">
        <w:t>Based on</w:t>
      </w:r>
      <w:r w:rsidRPr="0056591D">
        <w:t xml:space="preserve"> that conc</w:t>
      </w:r>
      <w:r w:rsidR="008716E1">
        <w:t>e</w:t>
      </w:r>
      <w:r w:rsidRPr="0056591D">
        <w:t>rn</w:t>
      </w:r>
      <w:r w:rsidR="00263ECB" w:rsidRPr="0056591D">
        <w:t>,</w:t>
      </w:r>
      <w:r w:rsidRPr="0056591D">
        <w:t xml:space="preserve"> I </w:t>
      </w:r>
      <w:r w:rsidR="000C4544">
        <w:t>offer</w:t>
      </w:r>
      <w:r w:rsidRPr="0056591D">
        <w:t xml:space="preserve"> the following</w:t>
      </w:r>
      <w:r w:rsidR="00263ECB">
        <w:t>:</w:t>
      </w:r>
    </w:p>
    <w:p w14:paraId="767C0647" w14:textId="2F2B3342" w:rsidR="00547AAC" w:rsidRPr="0056591D" w:rsidRDefault="00FA21D3" w:rsidP="00547AAC">
      <w:pPr>
        <w:pStyle w:val="ListParagraph"/>
        <w:numPr>
          <w:ilvl w:val="0"/>
          <w:numId w:val="1"/>
        </w:numPr>
        <w:spacing w:after="0" w:line="240" w:lineRule="auto"/>
      </w:pPr>
      <w:r w:rsidRPr="0056591D">
        <w:t xml:space="preserve">How </w:t>
      </w:r>
      <w:r w:rsidR="00263ECB">
        <w:t>can the FHFA</w:t>
      </w:r>
      <w:r w:rsidRPr="0056591D">
        <w:t xml:space="preserve"> prevent the </w:t>
      </w:r>
      <w:r w:rsidR="00263ECB">
        <w:t xml:space="preserve">FHLB </w:t>
      </w:r>
      <w:r w:rsidRPr="0056591D">
        <w:t xml:space="preserve">system and </w:t>
      </w:r>
      <w:r w:rsidR="00263ECB">
        <w:t>its</w:t>
      </w:r>
      <w:r w:rsidRPr="0056591D">
        <w:t xml:space="preserve"> individual FHLBs from pursuing growth</w:t>
      </w:r>
      <w:r w:rsidR="000C4544">
        <w:t xml:space="preserve"> </w:t>
      </w:r>
      <w:r w:rsidR="00547AAC" w:rsidRPr="0056591D">
        <w:t>for growth</w:t>
      </w:r>
      <w:r w:rsidR="000C4544">
        <w:t>’s</w:t>
      </w:r>
      <w:r w:rsidR="00547AAC" w:rsidRPr="0056591D">
        <w:t xml:space="preserve"> sake,</w:t>
      </w:r>
      <w:r w:rsidR="000C4544">
        <w:t xml:space="preserve"> a goal</w:t>
      </w:r>
      <w:r w:rsidRPr="0056591D">
        <w:t xml:space="preserve"> that </w:t>
      </w:r>
      <w:r w:rsidR="00547AAC" w:rsidRPr="0056591D">
        <w:t xml:space="preserve">should </w:t>
      </w:r>
      <w:r w:rsidR="008716E1">
        <w:t xml:space="preserve">not </w:t>
      </w:r>
      <w:r w:rsidRPr="0056591D">
        <w:t xml:space="preserve">be pursued </w:t>
      </w:r>
      <w:r w:rsidR="00255E28">
        <w:t xml:space="preserve">without a </w:t>
      </w:r>
      <w:r w:rsidR="008716E1">
        <w:t>clear</w:t>
      </w:r>
      <w:r w:rsidR="000C4544">
        <w:t xml:space="preserve"> public benefit</w:t>
      </w:r>
      <w:r w:rsidR="009F6982">
        <w:t>?</w:t>
      </w:r>
    </w:p>
    <w:p w14:paraId="6AE3A1A7" w14:textId="64DD19DE" w:rsidR="00547AAC" w:rsidRPr="0056591D" w:rsidRDefault="00547AAC" w:rsidP="00547AAC">
      <w:pPr>
        <w:pStyle w:val="ListParagraph"/>
        <w:numPr>
          <w:ilvl w:val="0"/>
          <w:numId w:val="1"/>
        </w:numPr>
        <w:spacing w:after="0" w:line="240" w:lineRule="auto"/>
      </w:pPr>
      <w:r w:rsidRPr="0056591D">
        <w:t>Wh</w:t>
      </w:r>
      <w:r w:rsidRPr="0056591D">
        <w:t xml:space="preserve">at is the need for </w:t>
      </w:r>
      <w:r w:rsidR="00255E28">
        <w:t>incurring the costs of maintaining 11</w:t>
      </w:r>
      <w:r w:rsidRPr="0056591D">
        <w:t xml:space="preserve"> banks with their separate executive management</w:t>
      </w:r>
      <w:r w:rsidR="00255E28">
        <w:t>s</w:t>
      </w:r>
      <w:r w:rsidRPr="0056591D">
        <w:t xml:space="preserve"> and duplicative functions</w:t>
      </w:r>
      <w:r w:rsidRPr="0056591D">
        <w:t xml:space="preserve"> when </w:t>
      </w:r>
      <w:r w:rsidR="000C4544">
        <w:t>a system of</w:t>
      </w:r>
      <w:r w:rsidR="00263ECB">
        <w:t xml:space="preserve"> regional </w:t>
      </w:r>
      <w:r w:rsidR="000C4544">
        <w:t>offices might suffice</w:t>
      </w:r>
      <w:r w:rsidRPr="0056591D">
        <w:t>?</w:t>
      </w:r>
    </w:p>
    <w:p w14:paraId="144257D5" w14:textId="6575E923" w:rsidR="00CE3B1A" w:rsidRPr="0056591D" w:rsidRDefault="00CE3B1A" w:rsidP="00CE3B1A">
      <w:pPr>
        <w:pStyle w:val="ListParagraph"/>
        <w:numPr>
          <w:ilvl w:val="0"/>
          <w:numId w:val="1"/>
        </w:numPr>
        <w:spacing w:after="0" w:line="240" w:lineRule="auto"/>
      </w:pPr>
      <w:r w:rsidRPr="0056591D">
        <w:t xml:space="preserve">What functions/products </w:t>
      </w:r>
      <w:r w:rsidR="00263ECB">
        <w:t xml:space="preserve">are </w:t>
      </w:r>
      <w:r w:rsidR="008716E1">
        <w:t>essential</w:t>
      </w:r>
      <w:r w:rsidR="00263ECB">
        <w:t xml:space="preserve"> for </w:t>
      </w:r>
      <w:r w:rsidRPr="0056591D">
        <w:t xml:space="preserve">the FHLBs </w:t>
      </w:r>
      <w:r w:rsidR="000C4544">
        <w:t xml:space="preserve">to be self-sustaining during both good and bad </w:t>
      </w:r>
      <w:r w:rsidR="00263ECB">
        <w:t xml:space="preserve">times </w:t>
      </w:r>
      <w:r w:rsidR="000C4544">
        <w:t xml:space="preserve">in order </w:t>
      </w:r>
      <w:r w:rsidR="00255E28">
        <w:t xml:space="preserve">for the system </w:t>
      </w:r>
      <w:r w:rsidR="000C4544">
        <w:t xml:space="preserve">to be </w:t>
      </w:r>
      <w:r w:rsidR="009B334D">
        <w:t>in reserve for</w:t>
      </w:r>
      <w:r w:rsidR="007C446C">
        <w:t xml:space="preserve"> alleviating, when necessary, </w:t>
      </w:r>
      <w:r w:rsidR="004A2CBC" w:rsidRPr="0056591D">
        <w:t>stress in the</w:t>
      </w:r>
      <w:r w:rsidR="00FA21D3" w:rsidRPr="0056591D">
        <w:t xml:space="preserve"> h</w:t>
      </w:r>
      <w:r w:rsidRPr="0056591D">
        <w:t>ousing industry/markets</w:t>
      </w:r>
      <w:r w:rsidR="009B334D">
        <w:t>?</w:t>
      </w:r>
      <w:r w:rsidR="008716E1">
        <w:t xml:space="preserve"> Is it sensible to provide</w:t>
      </w:r>
      <w:r w:rsidRPr="0056591D">
        <w:t xml:space="preserve"> that support at a below</w:t>
      </w:r>
      <w:r w:rsidR="00C275C5" w:rsidRPr="0056591D">
        <w:t>-m</w:t>
      </w:r>
      <w:r w:rsidRPr="0056591D">
        <w:t>arket rate rather than</w:t>
      </w:r>
      <w:r w:rsidR="00FA21D3" w:rsidRPr="0056591D">
        <w:t xml:space="preserve"> </w:t>
      </w:r>
      <w:r w:rsidR="008716E1">
        <w:t>above-market</w:t>
      </w:r>
      <w:r w:rsidR="00C275C5" w:rsidRPr="0056591D">
        <w:t xml:space="preserve"> as is </w:t>
      </w:r>
      <w:r w:rsidRPr="0056591D">
        <w:t xml:space="preserve">offered </w:t>
      </w:r>
      <w:r w:rsidR="00C451D8">
        <w:t>at</w:t>
      </w:r>
      <w:r w:rsidRPr="0056591D">
        <w:t xml:space="preserve"> the Federal Reserve discount window</w:t>
      </w:r>
      <w:r w:rsidR="009F6982">
        <w:t>?</w:t>
      </w:r>
      <w:r w:rsidRPr="0056591D">
        <w:t xml:space="preserve">  (</w:t>
      </w:r>
      <w:r w:rsidR="00FA21D3" w:rsidRPr="0056591D">
        <w:t xml:space="preserve">More </w:t>
      </w:r>
      <w:r w:rsidR="00C451D8">
        <w:t>specifically</w:t>
      </w:r>
      <w:r w:rsidR="00FA21D3" w:rsidRPr="0056591D">
        <w:t xml:space="preserve">, </w:t>
      </w:r>
      <w:r w:rsidR="007C446C">
        <w:t xml:space="preserve">do </w:t>
      </w:r>
      <w:r w:rsidRPr="0056591D">
        <w:t>institutions that al</w:t>
      </w:r>
      <w:r w:rsidR="00C275C5" w:rsidRPr="0056591D">
        <w:t>ready</w:t>
      </w:r>
      <w:r w:rsidRPr="0056591D">
        <w:t xml:space="preserve"> have access to the Fed’s facility</w:t>
      </w:r>
      <w:r w:rsidR="007C446C">
        <w:t xml:space="preserve"> need access to the FHLB system</w:t>
      </w:r>
      <w:r w:rsidRPr="0056591D">
        <w:t>?)</w:t>
      </w:r>
    </w:p>
    <w:p w14:paraId="1AA4A874" w14:textId="14945E8B" w:rsidR="00CE3B1A" w:rsidRPr="0056591D" w:rsidRDefault="007C446C" w:rsidP="00CE3B1A">
      <w:pPr>
        <w:pStyle w:val="ListParagraph"/>
        <w:numPr>
          <w:ilvl w:val="0"/>
          <w:numId w:val="1"/>
        </w:numPr>
        <w:spacing w:after="0" w:line="240" w:lineRule="auto"/>
      </w:pPr>
      <w:r>
        <w:t>How can AHP funding be best targeted, not just to great sounding projects</w:t>
      </w:r>
      <w:r w:rsidR="00255E28">
        <w:t>/institutions</w:t>
      </w:r>
      <w:r w:rsidR="0056321A">
        <w:t xml:space="preserve"> </w:t>
      </w:r>
      <w:r w:rsidR="008716E1">
        <w:t xml:space="preserve">(often </w:t>
      </w:r>
      <w:r w:rsidR="00255E28">
        <w:t xml:space="preserve">also </w:t>
      </w:r>
      <w:r w:rsidR="008716E1">
        <w:t xml:space="preserve">benefiting to a much larger degree from other government </w:t>
      </w:r>
      <w:r w:rsidR="0056321A">
        <w:t>program</w:t>
      </w:r>
      <w:r w:rsidR="008716E1">
        <w:t>s)</w:t>
      </w:r>
      <w:r>
        <w:t xml:space="preserve">, but </w:t>
      </w:r>
      <w:r w:rsidR="0056321A">
        <w:t xml:space="preserve">to </w:t>
      </w:r>
      <w:r w:rsidR="008716E1">
        <w:t xml:space="preserve">fill gaps that </w:t>
      </w:r>
      <w:r w:rsidR="00255E28">
        <w:t>would otherwise be unfillable from</w:t>
      </w:r>
      <w:r w:rsidR="008716E1">
        <w:t xml:space="preserve"> other sources</w:t>
      </w:r>
      <w:r w:rsidR="009B334D">
        <w:t>?</w:t>
      </w:r>
    </w:p>
    <w:p w14:paraId="39DF2842" w14:textId="0D02A2F3" w:rsidR="00CE3B1A" w:rsidRPr="0056591D" w:rsidRDefault="00FA21D3" w:rsidP="00CE3B1A">
      <w:pPr>
        <w:pStyle w:val="ListParagraph"/>
        <w:numPr>
          <w:ilvl w:val="0"/>
          <w:numId w:val="1"/>
        </w:numPr>
        <w:spacing w:after="0" w:line="240" w:lineRule="auto"/>
      </w:pPr>
      <w:r w:rsidRPr="0056591D">
        <w:t xml:space="preserve">More </w:t>
      </w:r>
      <w:r w:rsidR="00E54580">
        <w:t>generally and fundamental</w:t>
      </w:r>
      <w:r w:rsidRPr="0056591D">
        <w:t>, to what degree does the below-market-rate funding provided to members of the FHLB system reduce cost to</w:t>
      </w:r>
      <w:r w:rsidR="00CE3B1A" w:rsidRPr="0056591D">
        <w:t xml:space="preserve"> homebuyers, renters, small business owners, etc</w:t>
      </w:r>
      <w:r w:rsidRPr="0056591D">
        <w:t>?</w:t>
      </w:r>
    </w:p>
    <w:p w14:paraId="411835B5" w14:textId="565A6E54" w:rsidR="00CE3B1A" w:rsidRPr="0056591D" w:rsidRDefault="00C275C5" w:rsidP="00CE3B1A">
      <w:pPr>
        <w:pStyle w:val="ListParagraph"/>
        <w:numPr>
          <w:ilvl w:val="0"/>
          <w:numId w:val="1"/>
        </w:numPr>
        <w:spacing w:after="0" w:line="240" w:lineRule="auto"/>
      </w:pPr>
      <w:r w:rsidRPr="0056591D">
        <w:t xml:space="preserve">How much risk </w:t>
      </w:r>
      <w:r w:rsidR="00C451D8">
        <w:t xml:space="preserve">to the public fisc </w:t>
      </w:r>
      <w:r w:rsidR="009B334D">
        <w:t>and for what purpose is it appropriate for</w:t>
      </w:r>
      <w:r w:rsidRPr="0056591D">
        <w:t xml:space="preserve"> th</w:t>
      </w:r>
      <w:r w:rsidR="00255E28">
        <w:t>is</w:t>
      </w:r>
      <w:r w:rsidRPr="0056591D">
        <w:t xml:space="preserve"> </w:t>
      </w:r>
      <w:r w:rsidR="000C4544">
        <w:t xml:space="preserve">government-backed </w:t>
      </w:r>
      <w:r w:rsidRPr="0056591D">
        <w:t>system to undertake?  The existence of the so-called s</w:t>
      </w:r>
      <w:r w:rsidR="00CE3B1A" w:rsidRPr="0056591D">
        <w:t>uper lien</w:t>
      </w:r>
      <w:r w:rsidRPr="0056591D">
        <w:t xml:space="preserve"> has</w:t>
      </w:r>
      <w:r w:rsidR="008716E1">
        <w:t>, up to now,</w:t>
      </w:r>
      <w:r w:rsidRPr="0056591D">
        <w:t xml:space="preserve"> basically </w:t>
      </w:r>
      <w:r w:rsidR="00E54580">
        <w:t xml:space="preserve">spared the FHLBs from losses on their </w:t>
      </w:r>
      <w:r w:rsidR="000C4544">
        <w:t xml:space="preserve">primary program of </w:t>
      </w:r>
      <w:r w:rsidR="00E54580">
        <w:t xml:space="preserve">advances to their </w:t>
      </w:r>
      <w:r w:rsidR="008716E1">
        <w:t xml:space="preserve">banking </w:t>
      </w:r>
      <w:r w:rsidR="00E54580">
        <w:t>members</w:t>
      </w:r>
      <w:r w:rsidR="008716E1">
        <w:t>.</w:t>
      </w:r>
    </w:p>
    <w:p w14:paraId="1199E932" w14:textId="77777777" w:rsidR="00C275C5" w:rsidRPr="0056591D" w:rsidRDefault="00C275C5" w:rsidP="00FA21D3">
      <w:pPr>
        <w:spacing w:after="0" w:line="240" w:lineRule="auto"/>
      </w:pPr>
    </w:p>
    <w:p w14:paraId="6865B520" w14:textId="73AD7F04" w:rsidR="00547AAC" w:rsidRPr="0056591D" w:rsidRDefault="0056591D" w:rsidP="00FA21D3">
      <w:pPr>
        <w:spacing w:after="0" w:line="240" w:lineRule="auto"/>
      </w:pPr>
      <w:r w:rsidRPr="0056591D">
        <w:t xml:space="preserve">I look forward to learning more </w:t>
      </w:r>
      <w:r w:rsidR="0056321A">
        <w:t>on these topics from</w:t>
      </w:r>
      <w:r w:rsidRPr="0056591D">
        <w:t xml:space="preserve"> your review.  Regardless</w:t>
      </w:r>
      <w:r w:rsidR="0056321A">
        <w:t xml:space="preserve"> of the answers</w:t>
      </w:r>
      <w:r w:rsidRPr="0056591D">
        <w:t>, c</w:t>
      </w:r>
      <w:r w:rsidR="00FA21D3" w:rsidRPr="0056591D">
        <w:t xml:space="preserve">areful consideration should be given to establishing guardrails </w:t>
      </w:r>
      <w:r w:rsidR="000C4544">
        <w:t xml:space="preserve">comparable to those </w:t>
      </w:r>
      <w:r w:rsidRPr="0056591D">
        <w:t xml:space="preserve">that proved necessary for Fannie and Freddie to avoid </w:t>
      </w:r>
      <w:r w:rsidR="000C4544">
        <w:t xml:space="preserve">further </w:t>
      </w:r>
      <w:r w:rsidR="00FA21D3" w:rsidRPr="0056591D">
        <w:t>privatizing of gains and socialization of costs.</w:t>
      </w:r>
    </w:p>
    <w:p w14:paraId="7C5803C9" w14:textId="77777777" w:rsidR="000C4544" w:rsidRDefault="000C4544" w:rsidP="00FA21D3">
      <w:pPr>
        <w:spacing w:after="0" w:line="240" w:lineRule="auto"/>
      </w:pPr>
    </w:p>
    <w:p w14:paraId="46BD4971" w14:textId="278A3676" w:rsidR="00FA21D3" w:rsidRPr="0056591D" w:rsidRDefault="00FA21D3" w:rsidP="00FA21D3">
      <w:pPr>
        <w:spacing w:after="0" w:line="240" w:lineRule="auto"/>
      </w:pPr>
      <w:r w:rsidRPr="0056591D">
        <w:t>Thank you for the opportunity to comment.</w:t>
      </w:r>
    </w:p>
    <w:p w14:paraId="351F0B35" w14:textId="57963BB1" w:rsidR="00547AAC" w:rsidRDefault="00547AAC" w:rsidP="00B506B6">
      <w:pPr>
        <w:spacing w:after="0" w:line="240" w:lineRule="auto"/>
      </w:pPr>
    </w:p>
    <w:p w14:paraId="59D4F3B4" w14:textId="227BB68E" w:rsidR="00547AAC" w:rsidRDefault="000C4544" w:rsidP="00B506B6">
      <w:pPr>
        <w:spacing w:after="0" w:line="240" w:lineRule="auto"/>
      </w:pPr>
      <w:r>
        <w:t>Sincerely yours,</w:t>
      </w:r>
    </w:p>
    <w:p w14:paraId="47FEBFBD" w14:textId="14A8BEE5" w:rsidR="000C4544" w:rsidRDefault="0056321A" w:rsidP="00B506B6">
      <w:pPr>
        <w:spacing w:after="0" w:line="240" w:lineRule="auto"/>
      </w:pPr>
      <w:r>
        <w:rPr>
          <w:noProof/>
        </w:rPr>
        <w:drawing>
          <wp:inline distT="0" distB="0" distL="0" distR="0" wp14:anchorId="2F221C3F" wp14:editId="2C74B74D">
            <wp:extent cx="2353945" cy="42989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1A630" w14:textId="53C3E7C8" w:rsidR="00B506B6" w:rsidRPr="0056591D" w:rsidRDefault="0056321A" w:rsidP="00B506B6">
      <w:pPr>
        <w:spacing w:after="0" w:line="240" w:lineRule="auto"/>
      </w:pPr>
      <w:r>
        <w:t>Mark A. Willis</w:t>
      </w:r>
    </w:p>
    <w:sectPr w:rsidR="00B506B6" w:rsidRPr="0056591D" w:rsidSect="0056321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E73"/>
    <w:multiLevelType w:val="hybridMultilevel"/>
    <w:tmpl w:val="E4B82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4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B6"/>
    <w:rsid w:val="00042600"/>
    <w:rsid w:val="000C4544"/>
    <w:rsid w:val="00255E28"/>
    <w:rsid w:val="00263ECB"/>
    <w:rsid w:val="002A019D"/>
    <w:rsid w:val="003E27D8"/>
    <w:rsid w:val="004A2CBC"/>
    <w:rsid w:val="00547AAC"/>
    <w:rsid w:val="0056321A"/>
    <w:rsid w:val="0056591D"/>
    <w:rsid w:val="0065311E"/>
    <w:rsid w:val="007329DA"/>
    <w:rsid w:val="0075312C"/>
    <w:rsid w:val="007C446C"/>
    <w:rsid w:val="008716E1"/>
    <w:rsid w:val="008B0DA6"/>
    <w:rsid w:val="008D1266"/>
    <w:rsid w:val="009979C1"/>
    <w:rsid w:val="009B334D"/>
    <w:rsid w:val="009C4B9A"/>
    <w:rsid w:val="009D55EA"/>
    <w:rsid w:val="009F6982"/>
    <w:rsid w:val="00AA0372"/>
    <w:rsid w:val="00B506B6"/>
    <w:rsid w:val="00C275C5"/>
    <w:rsid w:val="00C451D8"/>
    <w:rsid w:val="00CA40CB"/>
    <w:rsid w:val="00CB17D7"/>
    <w:rsid w:val="00CE3B1A"/>
    <w:rsid w:val="00DA690E"/>
    <w:rsid w:val="00E54580"/>
    <w:rsid w:val="00F55F1A"/>
    <w:rsid w:val="00FA21D3"/>
    <w:rsid w:val="00FA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D60D0"/>
  <w15:chartTrackingRefBased/>
  <w15:docId w15:val="{44D3F257-FFBA-43B6-A8C1-64DC3DFF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A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45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mailto:Mark.Willis@nyu.ed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308E10-2927-4F1A-8D3C-E075E49120DF}"/>
</file>

<file path=customXml/itemProps2.xml><?xml version="1.0" encoding="utf-8"?>
<ds:datastoreItem xmlns:ds="http://schemas.openxmlformats.org/officeDocument/2006/customXml" ds:itemID="{B555F0EE-CB29-474F-99AD-607468EC2824}"/>
</file>

<file path=customXml/itemProps3.xml><?xml version="1.0" encoding="utf-8"?>
<ds:datastoreItem xmlns:ds="http://schemas.openxmlformats.org/officeDocument/2006/customXml" ds:itemID="{A5771ACE-421B-4349-96C4-7BF914A6FC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willis</dc:creator>
  <cp:keywords/>
  <dc:description/>
  <cp:lastModifiedBy>mark willis</cp:lastModifiedBy>
  <cp:revision>5</cp:revision>
  <cp:lastPrinted>2022-10-20T03:02:00Z</cp:lastPrinted>
  <dcterms:created xsi:type="dcterms:W3CDTF">2022-10-22T01:42:00Z</dcterms:created>
  <dcterms:modified xsi:type="dcterms:W3CDTF">2022-10-22T01:55:00Z</dcterms:modified>
</cp:coreProperties>
</file>