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B7DA"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 xml:space="preserve">The Honorable Mark Calabria </w:t>
      </w:r>
    </w:p>
    <w:p w14:paraId="6230DC38"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 xml:space="preserve">Director </w:t>
      </w:r>
    </w:p>
    <w:p w14:paraId="077D28C3"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Federal Housing Finance Agency</w:t>
      </w:r>
    </w:p>
    <w:p w14:paraId="67918133"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Office of the Director</w:t>
      </w:r>
    </w:p>
    <w:p w14:paraId="541682DA"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400 Seventh Street, S.W.</w:t>
      </w:r>
    </w:p>
    <w:p w14:paraId="7EA6D2A9" w14:textId="7777777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10</w:t>
      </w:r>
      <w:r w:rsidRPr="00D46053">
        <w:rPr>
          <w:rFonts w:ascii="Times New Roman" w:hAnsi="Times New Roman" w:cs="Times New Roman"/>
          <w:color w:val="000000" w:themeColor="text1"/>
          <w:sz w:val="24"/>
          <w:szCs w:val="24"/>
          <w:vertAlign w:val="superscript"/>
        </w:rPr>
        <w:t>th</w:t>
      </w:r>
      <w:r w:rsidRPr="00D46053">
        <w:rPr>
          <w:rFonts w:ascii="Times New Roman" w:hAnsi="Times New Roman" w:cs="Times New Roman"/>
          <w:color w:val="000000" w:themeColor="text1"/>
          <w:sz w:val="24"/>
          <w:szCs w:val="24"/>
        </w:rPr>
        <w:t xml:space="preserve"> Floor</w:t>
      </w:r>
    </w:p>
    <w:p w14:paraId="60ECAC0E" w14:textId="3368984B"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Washington, DC 20219</w:t>
      </w:r>
    </w:p>
    <w:p w14:paraId="72918F4B" w14:textId="77777777" w:rsidR="00A16430" w:rsidRPr="00D46053" w:rsidRDefault="00A16430" w:rsidP="00A16430">
      <w:pPr>
        <w:pStyle w:val="NoSpacing"/>
        <w:jc w:val="both"/>
        <w:rPr>
          <w:rFonts w:ascii="Times New Roman" w:hAnsi="Times New Roman" w:cs="Times New Roman"/>
          <w:color w:val="000000" w:themeColor="text1"/>
          <w:sz w:val="24"/>
          <w:szCs w:val="24"/>
        </w:rPr>
      </w:pPr>
    </w:p>
    <w:p w14:paraId="553313E6" w14:textId="3BB09495"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April 19, 2021</w:t>
      </w:r>
    </w:p>
    <w:p w14:paraId="238F4EE0" w14:textId="77777777" w:rsidR="00A16430" w:rsidRPr="00D46053" w:rsidRDefault="00A16430" w:rsidP="00A16430">
      <w:pPr>
        <w:pStyle w:val="NoSpacing"/>
        <w:jc w:val="both"/>
        <w:rPr>
          <w:rFonts w:ascii="Times New Roman" w:hAnsi="Times New Roman" w:cs="Times New Roman"/>
          <w:color w:val="000000" w:themeColor="text1"/>
          <w:sz w:val="24"/>
          <w:szCs w:val="24"/>
        </w:rPr>
      </w:pPr>
    </w:p>
    <w:p w14:paraId="4BD1A591" w14:textId="7BD304B7"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 xml:space="preserve">RE: </w:t>
      </w:r>
      <w:proofErr w:type="spellStart"/>
      <w:r w:rsidRPr="00D46053">
        <w:rPr>
          <w:rFonts w:ascii="Times New Roman" w:hAnsi="Times New Roman" w:cs="Times New Roman"/>
          <w:color w:val="000000" w:themeColor="text1"/>
          <w:sz w:val="24"/>
          <w:szCs w:val="24"/>
        </w:rPr>
        <w:t>Renaissance</w:t>
      </w:r>
      <w:r w:rsidR="00F06B33">
        <w:rPr>
          <w:rFonts w:ascii="Times New Roman" w:hAnsi="Times New Roman" w:cs="Times New Roman"/>
          <w:color w:val="000000" w:themeColor="text1"/>
          <w:sz w:val="24"/>
          <w:szCs w:val="24"/>
        </w:rPr>
        <w:t>Re</w:t>
      </w:r>
      <w:proofErr w:type="spellEnd"/>
      <w:r w:rsidRPr="00D46053">
        <w:rPr>
          <w:rFonts w:ascii="Times New Roman" w:hAnsi="Times New Roman" w:cs="Times New Roman"/>
          <w:color w:val="000000" w:themeColor="text1"/>
          <w:sz w:val="24"/>
          <w:szCs w:val="24"/>
        </w:rPr>
        <w:t xml:space="preserve"> Comments in Response to FHFA January 2021 </w:t>
      </w:r>
      <w:r w:rsidRPr="00D46053">
        <w:rPr>
          <w:rFonts w:ascii="Times New Roman" w:hAnsi="Times New Roman" w:cs="Times New Roman"/>
          <w:sz w:val="24"/>
          <w:szCs w:val="24"/>
          <w:shd w:val="clear" w:color="auto" w:fill="FFFFFF"/>
        </w:rPr>
        <w:t xml:space="preserve">Request for Input </w:t>
      </w:r>
      <w:r w:rsidRPr="00D46053">
        <w:rPr>
          <w:rFonts w:ascii="Times New Roman" w:hAnsi="Times New Roman" w:cs="Times New Roman"/>
          <w:sz w:val="24"/>
          <w:szCs w:val="24"/>
          <w:bdr w:val="none" w:sz="0" w:space="0" w:color="auto" w:frame="1"/>
        </w:rPr>
        <w:t>on “Climate and Natural Disaster Risk Management at the Regulated Entities</w:t>
      </w:r>
      <w:r w:rsidRPr="00D46053">
        <w:rPr>
          <w:rStyle w:val="Hyperlink"/>
          <w:rFonts w:ascii="Times New Roman" w:hAnsi="Times New Roman" w:cs="Times New Roman"/>
          <w:color w:val="000000" w:themeColor="text1"/>
          <w:sz w:val="24"/>
          <w:szCs w:val="24"/>
          <w:u w:val="none"/>
          <w:bdr w:val="none" w:sz="0" w:space="0" w:color="auto" w:frame="1"/>
        </w:rPr>
        <w:t>”</w:t>
      </w:r>
    </w:p>
    <w:p w14:paraId="44C97C60" w14:textId="77777777" w:rsidR="00A16430" w:rsidRPr="00D46053" w:rsidRDefault="00A16430" w:rsidP="00A16430">
      <w:pPr>
        <w:pStyle w:val="NoSpacing"/>
        <w:jc w:val="both"/>
        <w:rPr>
          <w:rFonts w:ascii="Times New Roman" w:hAnsi="Times New Roman" w:cs="Times New Roman"/>
          <w:color w:val="000000" w:themeColor="text1"/>
          <w:sz w:val="24"/>
          <w:szCs w:val="24"/>
        </w:rPr>
      </w:pPr>
    </w:p>
    <w:p w14:paraId="00B53A68" w14:textId="77777777" w:rsidR="00A16430" w:rsidRPr="00D46053" w:rsidRDefault="00A16430" w:rsidP="00A16430">
      <w:pPr>
        <w:pStyle w:val="NoSpacing"/>
        <w:jc w:val="both"/>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Dear Director Calabria:</w:t>
      </w:r>
    </w:p>
    <w:p w14:paraId="438E5EDB" w14:textId="77777777" w:rsidR="00A16430" w:rsidRPr="00D46053" w:rsidRDefault="00A16430" w:rsidP="00A16430">
      <w:pPr>
        <w:pStyle w:val="NoSpacing"/>
        <w:jc w:val="both"/>
        <w:rPr>
          <w:rFonts w:ascii="Times New Roman" w:hAnsi="Times New Roman" w:cs="Times New Roman"/>
          <w:color w:val="000000" w:themeColor="text1"/>
          <w:sz w:val="24"/>
          <w:szCs w:val="24"/>
        </w:rPr>
      </w:pPr>
    </w:p>
    <w:p w14:paraId="47D9BE71" w14:textId="49500A49" w:rsidR="00A16430" w:rsidRPr="00D46053" w:rsidRDefault="00A16430" w:rsidP="00A16430">
      <w:pPr>
        <w:pStyle w:val="NoSpacing"/>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 xml:space="preserve">This letter is submitted by </w:t>
      </w:r>
      <w:proofErr w:type="spellStart"/>
      <w:r w:rsidRPr="00D46053">
        <w:rPr>
          <w:rFonts w:ascii="Times New Roman" w:hAnsi="Times New Roman" w:cs="Times New Roman"/>
          <w:color w:val="000000" w:themeColor="text1"/>
          <w:sz w:val="24"/>
          <w:szCs w:val="24"/>
        </w:rPr>
        <w:t>RenaissanceRe</w:t>
      </w:r>
      <w:proofErr w:type="spellEnd"/>
      <w:r w:rsidRPr="00D46053">
        <w:rPr>
          <w:rFonts w:ascii="Times New Roman" w:hAnsi="Times New Roman" w:cs="Times New Roman"/>
          <w:color w:val="000000" w:themeColor="text1"/>
          <w:sz w:val="24"/>
          <w:szCs w:val="24"/>
        </w:rPr>
        <w:t>, a global provider of reinsurance and insurance that specializes in matching well-structured risks with efficient sources of capital.</w:t>
      </w:r>
    </w:p>
    <w:p w14:paraId="3D5F1BE3" w14:textId="0CF61394" w:rsidR="00D7765E" w:rsidRPr="001611AF" w:rsidRDefault="00D7765E">
      <w:pPr>
        <w:rPr>
          <w:rFonts w:ascii="Times New Roman" w:hAnsi="Times New Roman" w:cs="Times New Roman"/>
          <w:sz w:val="24"/>
          <w:szCs w:val="24"/>
        </w:rPr>
      </w:pPr>
    </w:p>
    <w:p w14:paraId="5759D14E" w14:textId="583F200B" w:rsidR="00D46053" w:rsidRDefault="00D46053" w:rsidP="00D46053">
      <w:pPr>
        <w:pStyle w:val="NoSpacing"/>
        <w:rPr>
          <w:rFonts w:ascii="Times New Roman" w:hAnsi="Times New Roman" w:cs="Times New Roman"/>
          <w:sz w:val="24"/>
          <w:szCs w:val="24"/>
        </w:rPr>
      </w:pPr>
      <w:proofErr w:type="spellStart"/>
      <w:r w:rsidRPr="001611AF">
        <w:rPr>
          <w:rFonts w:ascii="Times New Roman" w:hAnsi="Times New Roman" w:cs="Times New Roman"/>
          <w:sz w:val="24"/>
          <w:szCs w:val="24"/>
        </w:rPr>
        <w:t>RenaissanceRe</w:t>
      </w:r>
      <w:proofErr w:type="spellEnd"/>
      <w:r w:rsidRPr="001611AF">
        <w:rPr>
          <w:rFonts w:ascii="Times New Roman" w:hAnsi="Times New Roman" w:cs="Times New Roman"/>
          <w:sz w:val="24"/>
          <w:szCs w:val="24"/>
        </w:rPr>
        <w:t xml:space="preserve"> underwrites risk in numerous jurisdictions and accordingly its operating subsidiaries</w:t>
      </w:r>
      <w:r>
        <w:rPr>
          <w:rFonts w:ascii="Times New Roman" w:hAnsi="Times New Roman" w:cs="Times New Roman"/>
          <w:sz w:val="24"/>
          <w:szCs w:val="24"/>
        </w:rPr>
        <w:t xml:space="preserve"> </w:t>
      </w:r>
      <w:r w:rsidRPr="001611AF">
        <w:rPr>
          <w:rFonts w:ascii="Times New Roman" w:hAnsi="Times New Roman" w:cs="Times New Roman"/>
          <w:sz w:val="24"/>
          <w:szCs w:val="24"/>
        </w:rPr>
        <w:t>are subject to a high level of scrutiny from both regulators and rating agencies. When we were</w:t>
      </w:r>
      <w:r>
        <w:rPr>
          <w:rFonts w:ascii="Times New Roman" w:hAnsi="Times New Roman" w:cs="Times New Roman"/>
          <w:sz w:val="24"/>
          <w:szCs w:val="24"/>
        </w:rPr>
        <w:t xml:space="preserve"> </w:t>
      </w:r>
      <w:r w:rsidRPr="001611AF">
        <w:rPr>
          <w:rFonts w:ascii="Times New Roman" w:hAnsi="Times New Roman" w:cs="Times New Roman"/>
          <w:sz w:val="24"/>
          <w:szCs w:val="24"/>
        </w:rPr>
        <w:t xml:space="preserve">formed 27 years ago, </w:t>
      </w:r>
      <w:proofErr w:type="spellStart"/>
      <w:r w:rsidRPr="001611AF">
        <w:rPr>
          <w:rFonts w:ascii="Times New Roman" w:hAnsi="Times New Roman" w:cs="Times New Roman"/>
          <w:sz w:val="24"/>
          <w:szCs w:val="24"/>
        </w:rPr>
        <w:t>RenaissanceRe</w:t>
      </w:r>
      <w:proofErr w:type="spellEnd"/>
      <w:r w:rsidRPr="001611AF">
        <w:rPr>
          <w:rFonts w:ascii="Times New Roman" w:hAnsi="Times New Roman" w:cs="Times New Roman"/>
          <w:sz w:val="24"/>
          <w:szCs w:val="24"/>
        </w:rPr>
        <w:t xml:space="preserve"> was principally a reinsurer of property catastrophe risk. Today,</w:t>
      </w:r>
      <w:r>
        <w:rPr>
          <w:rFonts w:ascii="Times New Roman" w:hAnsi="Times New Roman" w:cs="Times New Roman"/>
          <w:sz w:val="24"/>
          <w:szCs w:val="24"/>
        </w:rPr>
        <w:t xml:space="preserve"> </w:t>
      </w:r>
      <w:r w:rsidRPr="001611AF">
        <w:rPr>
          <w:rFonts w:ascii="Times New Roman" w:hAnsi="Times New Roman" w:cs="Times New Roman"/>
          <w:sz w:val="24"/>
          <w:szCs w:val="24"/>
        </w:rPr>
        <w:t xml:space="preserve">we are a global multi-line reinsurer and leader in an ever-growing number of lines of business. As </w:t>
      </w:r>
      <w:r w:rsidR="00F06B33">
        <w:rPr>
          <w:rFonts w:ascii="Times New Roman" w:hAnsi="Times New Roman" w:cs="Times New Roman"/>
          <w:sz w:val="24"/>
          <w:szCs w:val="24"/>
        </w:rPr>
        <w:t>of January 1, 2021</w:t>
      </w:r>
      <w:r w:rsidRPr="001611AF">
        <w:rPr>
          <w:rFonts w:ascii="Times New Roman" w:hAnsi="Times New Roman" w:cs="Times New Roman"/>
          <w:sz w:val="24"/>
          <w:szCs w:val="24"/>
        </w:rPr>
        <w:t xml:space="preserve">, </w:t>
      </w:r>
      <w:proofErr w:type="spellStart"/>
      <w:r w:rsidRPr="001611AF">
        <w:rPr>
          <w:rFonts w:ascii="Times New Roman" w:hAnsi="Times New Roman" w:cs="Times New Roman"/>
          <w:sz w:val="24"/>
          <w:szCs w:val="24"/>
        </w:rPr>
        <w:t>RenaissanceRe’s</w:t>
      </w:r>
      <w:proofErr w:type="spellEnd"/>
      <w:r w:rsidRPr="001611AF">
        <w:rPr>
          <w:rFonts w:ascii="Times New Roman" w:hAnsi="Times New Roman" w:cs="Times New Roman"/>
          <w:sz w:val="24"/>
          <w:szCs w:val="24"/>
        </w:rPr>
        <w:t xml:space="preserve"> current portfolio is comprised of approximately $5</w:t>
      </w:r>
      <w:r w:rsidR="00F06B33">
        <w:rPr>
          <w:rFonts w:ascii="Times New Roman" w:hAnsi="Times New Roman" w:cs="Times New Roman"/>
          <w:sz w:val="24"/>
          <w:szCs w:val="24"/>
        </w:rPr>
        <w:t>.8</w:t>
      </w:r>
      <w:r w:rsidRPr="001611AF">
        <w:rPr>
          <w:rFonts w:ascii="Times New Roman" w:hAnsi="Times New Roman" w:cs="Times New Roman"/>
          <w:sz w:val="24"/>
          <w:szCs w:val="24"/>
        </w:rPr>
        <w:t xml:space="preserve"> billion o</w:t>
      </w:r>
      <w:r>
        <w:rPr>
          <w:rFonts w:ascii="Times New Roman" w:hAnsi="Times New Roman" w:cs="Times New Roman"/>
          <w:sz w:val="24"/>
          <w:szCs w:val="24"/>
        </w:rPr>
        <w:t xml:space="preserve">f </w:t>
      </w:r>
      <w:r w:rsidRPr="001611AF">
        <w:rPr>
          <w:rFonts w:ascii="Times New Roman" w:hAnsi="Times New Roman" w:cs="Times New Roman"/>
          <w:sz w:val="24"/>
          <w:szCs w:val="24"/>
        </w:rPr>
        <w:t>Gross Written Premium and $1</w:t>
      </w:r>
      <w:r w:rsidR="00F06B33">
        <w:rPr>
          <w:rFonts w:ascii="Times New Roman" w:hAnsi="Times New Roman" w:cs="Times New Roman"/>
          <w:sz w:val="24"/>
          <w:szCs w:val="24"/>
        </w:rPr>
        <w:t>9</w:t>
      </w:r>
      <w:r w:rsidRPr="001611AF">
        <w:rPr>
          <w:rFonts w:ascii="Times New Roman" w:hAnsi="Times New Roman" w:cs="Times New Roman"/>
          <w:sz w:val="24"/>
          <w:szCs w:val="24"/>
        </w:rPr>
        <w:t xml:space="preserve"> billion in total managed capital across our subsidiary</w:t>
      </w:r>
      <w:r>
        <w:rPr>
          <w:rFonts w:ascii="Times New Roman" w:hAnsi="Times New Roman" w:cs="Times New Roman"/>
          <w:sz w:val="24"/>
          <w:szCs w:val="24"/>
        </w:rPr>
        <w:t xml:space="preserve"> </w:t>
      </w:r>
      <w:r w:rsidRPr="001611AF">
        <w:rPr>
          <w:rFonts w:ascii="Times New Roman" w:hAnsi="Times New Roman" w:cs="Times New Roman"/>
          <w:sz w:val="24"/>
          <w:szCs w:val="24"/>
        </w:rPr>
        <w:t>balance sheets. We have been an underwriter of mortgage risk globally since 2010 and an active</w:t>
      </w:r>
      <w:r>
        <w:rPr>
          <w:rFonts w:ascii="Times New Roman" w:hAnsi="Times New Roman" w:cs="Times New Roman"/>
          <w:sz w:val="24"/>
          <w:szCs w:val="24"/>
        </w:rPr>
        <w:t xml:space="preserve"> </w:t>
      </w:r>
      <w:r w:rsidRPr="001611AF">
        <w:rPr>
          <w:rFonts w:ascii="Times New Roman" w:hAnsi="Times New Roman" w:cs="Times New Roman"/>
          <w:sz w:val="24"/>
          <w:szCs w:val="24"/>
        </w:rPr>
        <w:t>participant in structuring and pricing US mortgage reinsurance transactions since the first placement</w:t>
      </w:r>
      <w:r>
        <w:rPr>
          <w:rFonts w:ascii="Times New Roman" w:hAnsi="Times New Roman" w:cs="Times New Roman"/>
          <w:sz w:val="24"/>
          <w:szCs w:val="24"/>
        </w:rPr>
        <w:t xml:space="preserve"> </w:t>
      </w:r>
      <w:r w:rsidRPr="001611AF">
        <w:rPr>
          <w:rFonts w:ascii="Times New Roman" w:hAnsi="Times New Roman" w:cs="Times New Roman"/>
          <w:sz w:val="24"/>
          <w:szCs w:val="24"/>
        </w:rPr>
        <w:t>following the Global Financial Crisis in 2013.</w:t>
      </w:r>
      <w:r>
        <w:rPr>
          <w:rFonts w:ascii="Times New Roman" w:hAnsi="Times New Roman" w:cs="Times New Roman"/>
          <w:sz w:val="24"/>
          <w:szCs w:val="24"/>
        </w:rPr>
        <w:t xml:space="preserve"> </w:t>
      </w:r>
    </w:p>
    <w:p w14:paraId="4A4A5AB2" w14:textId="77777777" w:rsidR="00D46053" w:rsidRPr="001611AF" w:rsidRDefault="00D46053" w:rsidP="001611AF">
      <w:pPr>
        <w:pStyle w:val="NoSpacing"/>
        <w:rPr>
          <w:rFonts w:ascii="Times New Roman" w:hAnsi="Times New Roman" w:cs="Times New Roman"/>
          <w:sz w:val="24"/>
          <w:szCs w:val="24"/>
        </w:rPr>
      </w:pPr>
    </w:p>
    <w:p w14:paraId="7757BB02" w14:textId="410D920A" w:rsidR="00D46053" w:rsidRPr="00D46053" w:rsidRDefault="00A16430" w:rsidP="00A16430">
      <w:pPr>
        <w:pStyle w:val="NoSpacing"/>
        <w:jc w:val="both"/>
        <w:rPr>
          <w:rFonts w:ascii="Times New Roman" w:hAnsi="Times New Roman" w:cs="Times New Roman"/>
          <w:color w:val="000000" w:themeColor="text1"/>
          <w:sz w:val="24"/>
          <w:szCs w:val="24"/>
          <w:shd w:val="clear" w:color="auto" w:fill="FFFFFF"/>
        </w:rPr>
      </w:pPr>
      <w:r w:rsidRPr="00D46053">
        <w:rPr>
          <w:rFonts w:ascii="Times New Roman" w:hAnsi="Times New Roman" w:cs="Times New Roman"/>
          <w:color w:val="000000" w:themeColor="text1"/>
          <w:sz w:val="24"/>
          <w:szCs w:val="24"/>
          <w:shd w:val="clear" w:color="auto" w:fill="FFFFFF"/>
        </w:rPr>
        <w:t>We thank you for your leadership in addressing the crucial issue of climate change and how the FHFA and its managed entities can prepare for the risks and costs associated with rising sea levels, increasing temperatures, and more frequent and costlier disasters</w:t>
      </w:r>
      <w:r w:rsidR="001F758E">
        <w:rPr>
          <w:rFonts w:ascii="Times New Roman" w:hAnsi="Times New Roman" w:cs="Times New Roman"/>
          <w:color w:val="000000" w:themeColor="text1"/>
          <w:sz w:val="24"/>
          <w:szCs w:val="24"/>
          <w:shd w:val="clear" w:color="auto" w:fill="FFFFFF"/>
        </w:rPr>
        <w:t xml:space="preserve">. </w:t>
      </w:r>
      <w:r w:rsidR="00E278AE" w:rsidRPr="00D46053">
        <w:rPr>
          <w:rFonts w:ascii="Times New Roman" w:hAnsi="Times New Roman" w:cs="Times New Roman"/>
          <w:color w:val="000000" w:themeColor="text1"/>
          <w:sz w:val="24"/>
          <w:szCs w:val="24"/>
          <w:shd w:val="clear" w:color="auto" w:fill="FFFFFF"/>
        </w:rPr>
        <w:t xml:space="preserve">At </w:t>
      </w:r>
      <w:proofErr w:type="spellStart"/>
      <w:r w:rsidR="00E278AE" w:rsidRPr="00D46053">
        <w:rPr>
          <w:rFonts w:ascii="Times New Roman" w:hAnsi="Times New Roman" w:cs="Times New Roman"/>
          <w:color w:val="000000" w:themeColor="text1"/>
          <w:sz w:val="24"/>
          <w:szCs w:val="24"/>
          <w:shd w:val="clear" w:color="auto" w:fill="FFFFFF"/>
        </w:rPr>
        <w:t>RenaissanceRe</w:t>
      </w:r>
      <w:proofErr w:type="spellEnd"/>
      <w:r w:rsidR="000F5EE6">
        <w:rPr>
          <w:rFonts w:ascii="Times New Roman" w:hAnsi="Times New Roman" w:cs="Times New Roman"/>
          <w:color w:val="000000" w:themeColor="text1"/>
          <w:sz w:val="24"/>
          <w:szCs w:val="24"/>
          <w:shd w:val="clear" w:color="auto" w:fill="FFFFFF"/>
        </w:rPr>
        <w:t xml:space="preserve">, a core pillar of our environmental, social and governance (ESG) strategy is to promote climate resilience. Our ESG strategy focuses on the areas where we can apply our core business strengths to make a meaningful impact, and </w:t>
      </w:r>
      <w:r w:rsidR="00A80F54">
        <w:rPr>
          <w:rFonts w:ascii="Times New Roman" w:hAnsi="Times New Roman" w:cs="Times New Roman"/>
          <w:color w:val="000000" w:themeColor="text1"/>
          <w:sz w:val="24"/>
          <w:szCs w:val="24"/>
          <w:shd w:val="clear" w:color="auto" w:fill="FFFFFF"/>
        </w:rPr>
        <w:t>for many years we have been</w:t>
      </w:r>
      <w:r w:rsidR="0058226B">
        <w:rPr>
          <w:rFonts w:ascii="Times New Roman" w:hAnsi="Times New Roman" w:cs="Times New Roman"/>
          <w:color w:val="000000" w:themeColor="text1"/>
          <w:sz w:val="24"/>
          <w:szCs w:val="24"/>
          <w:shd w:val="clear" w:color="auto" w:fill="FFFFFF"/>
        </w:rPr>
        <w:t xml:space="preserve"> </w:t>
      </w:r>
      <w:r w:rsidR="00E51FC1">
        <w:rPr>
          <w:rFonts w:ascii="Times New Roman" w:hAnsi="Times New Roman" w:cs="Times New Roman"/>
          <w:color w:val="000000" w:themeColor="text1"/>
          <w:sz w:val="24"/>
          <w:szCs w:val="24"/>
          <w:shd w:val="clear" w:color="auto" w:fill="FFFFFF"/>
        </w:rPr>
        <w:t>committed to</w:t>
      </w:r>
      <w:r w:rsidR="000F5EE6">
        <w:rPr>
          <w:rFonts w:ascii="Times New Roman" w:hAnsi="Times New Roman" w:cs="Times New Roman"/>
          <w:color w:val="000000" w:themeColor="text1"/>
          <w:sz w:val="24"/>
          <w:szCs w:val="24"/>
          <w:shd w:val="clear" w:color="auto" w:fill="FFFFFF"/>
        </w:rPr>
        <w:t xml:space="preserve"> developing and sharing our skills and expertise to help </w:t>
      </w:r>
      <w:r w:rsidR="006903AC">
        <w:rPr>
          <w:rFonts w:ascii="Times New Roman" w:hAnsi="Times New Roman" w:cs="Times New Roman"/>
          <w:color w:val="000000" w:themeColor="text1"/>
          <w:sz w:val="24"/>
          <w:szCs w:val="24"/>
          <w:shd w:val="clear" w:color="auto" w:fill="FFFFFF"/>
        </w:rPr>
        <w:t>the world better manage climate risk</w:t>
      </w:r>
      <w:r w:rsidR="000F5EE6">
        <w:rPr>
          <w:rFonts w:ascii="Times New Roman" w:hAnsi="Times New Roman" w:cs="Times New Roman"/>
          <w:color w:val="000000" w:themeColor="text1"/>
          <w:sz w:val="24"/>
          <w:szCs w:val="24"/>
          <w:shd w:val="clear" w:color="auto" w:fill="FFFFFF"/>
        </w:rPr>
        <w:t>.</w:t>
      </w:r>
      <w:r w:rsidR="007E7713">
        <w:rPr>
          <w:rFonts w:ascii="Times New Roman" w:hAnsi="Times New Roman" w:cs="Times New Roman"/>
          <w:color w:val="000000" w:themeColor="text1"/>
          <w:sz w:val="24"/>
          <w:szCs w:val="24"/>
          <w:shd w:val="clear" w:color="auto" w:fill="FFFFFF"/>
        </w:rPr>
        <w:t xml:space="preserve"> We have invested significantly in internal resources and tools to assess and</w:t>
      </w:r>
      <w:r w:rsidR="00DA34D3">
        <w:rPr>
          <w:rFonts w:ascii="Times New Roman" w:hAnsi="Times New Roman" w:cs="Times New Roman"/>
          <w:color w:val="000000" w:themeColor="text1"/>
          <w:sz w:val="24"/>
          <w:szCs w:val="24"/>
          <w:shd w:val="clear" w:color="auto" w:fill="FFFFFF"/>
        </w:rPr>
        <w:t xml:space="preserve"> </w:t>
      </w:r>
      <w:r w:rsidR="007E7713">
        <w:rPr>
          <w:rFonts w:ascii="Times New Roman" w:hAnsi="Times New Roman" w:cs="Times New Roman"/>
          <w:color w:val="000000" w:themeColor="text1"/>
          <w:sz w:val="24"/>
          <w:szCs w:val="24"/>
          <w:shd w:val="clear" w:color="auto" w:fill="FFFFFF"/>
        </w:rPr>
        <w:t>analyze climate-related risks, including the expansive team of scientists in our wholly owne</w:t>
      </w:r>
      <w:r w:rsidR="007E3319">
        <w:rPr>
          <w:rFonts w:ascii="Times New Roman" w:hAnsi="Times New Roman" w:cs="Times New Roman"/>
          <w:color w:val="000000" w:themeColor="text1"/>
          <w:sz w:val="24"/>
          <w:szCs w:val="24"/>
          <w:shd w:val="clear" w:color="auto" w:fill="FFFFFF"/>
        </w:rPr>
        <w:t>d</w:t>
      </w:r>
      <w:r w:rsidR="007E7713">
        <w:rPr>
          <w:rFonts w:ascii="Times New Roman" w:hAnsi="Times New Roman" w:cs="Times New Roman"/>
          <w:color w:val="000000" w:themeColor="text1"/>
          <w:sz w:val="24"/>
          <w:szCs w:val="24"/>
          <w:shd w:val="clear" w:color="auto" w:fill="FFFFFF"/>
        </w:rPr>
        <w:t xml:space="preserve"> </w:t>
      </w:r>
      <w:proofErr w:type="spellStart"/>
      <w:r w:rsidR="007E7713">
        <w:rPr>
          <w:rFonts w:ascii="Times New Roman" w:hAnsi="Times New Roman" w:cs="Times New Roman"/>
          <w:color w:val="000000" w:themeColor="text1"/>
          <w:sz w:val="24"/>
          <w:szCs w:val="24"/>
          <w:shd w:val="clear" w:color="auto" w:fill="FFFFFF"/>
        </w:rPr>
        <w:t>RenaissanceRe</w:t>
      </w:r>
      <w:proofErr w:type="spellEnd"/>
      <w:r w:rsidR="007E7713">
        <w:rPr>
          <w:rFonts w:ascii="Times New Roman" w:hAnsi="Times New Roman" w:cs="Times New Roman"/>
          <w:color w:val="000000" w:themeColor="text1"/>
          <w:sz w:val="24"/>
          <w:szCs w:val="24"/>
          <w:shd w:val="clear" w:color="auto" w:fill="FFFFFF"/>
        </w:rPr>
        <w:t xml:space="preserve"> Risk Sciences subsidiary.</w:t>
      </w:r>
      <w:r w:rsidR="007E3319">
        <w:rPr>
          <w:rFonts w:ascii="Times New Roman" w:hAnsi="Times New Roman" w:cs="Times New Roman"/>
          <w:color w:val="000000" w:themeColor="text1"/>
          <w:sz w:val="24"/>
          <w:szCs w:val="24"/>
          <w:shd w:val="clear" w:color="auto" w:fill="FFFFFF"/>
        </w:rPr>
        <w:t xml:space="preserve"> Our </w:t>
      </w:r>
      <w:r w:rsidR="003A0F8E">
        <w:rPr>
          <w:rFonts w:ascii="Times New Roman" w:hAnsi="Times New Roman" w:cs="Times New Roman"/>
          <w:color w:val="000000" w:themeColor="text1"/>
          <w:sz w:val="24"/>
          <w:szCs w:val="24"/>
          <w:shd w:val="clear" w:color="auto" w:fill="FFFFFF"/>
        </w:rPr>
        <w:t xml:space="preserve">corporate strategy includes a core focus on superior risk management, </w:t>
      </w:r>
      <w:r w:rsidR="00E1230A">
        <w:rPr>
          <w:rFonts w:ascii="Times New Roman" w:hAnsi="Times New Roman" w:cs="Times New Roman"/>
          <w:color w:val="000000" w:themeColor="text1"/>
          <w:sz w:val="24"/>
          <w:szCs w:val="24"/>
          <w:shd w:val="clear" w:color="auto" w:fill="FFFFFF"/>
        </w:rPr>
        <w:t xml:space="preserve">which </w:t>
      </w:r>
      <w:r w:rsidR="00FF614F">
        <w:rPr>
          <w:rFonts w:ascii="Times New Roman" w:hAnsi="Times New Roman" w:cs="Times New Roman"/>
          <w:color w:val="000000" w:themeColor="text1"/>
          <w:sz w:val="24"/>
          <w:szCs w:val="24"/>
          <w:shd w:val="clear" w:color="auto" w:fill="FFFFFF"/>
        </w:rPr>
        <w:t>incorporates</w:t>
      </w:r>
      <w:r w:rsidR="003A0F8E">
        <w:rPr>
          <w:rFonts w:ascii="Times New Roman" w:hAnsi="Times New Roman" w:cs="Times New Roman"/>
          <w:color w:val="000000" w:themeColor="text1"/>
          <w:sz w:val="24"/>
          <w:szCs w:val="24"/>
          <w:shd w:val="clear" w:color="auto" w:fill="FFFFFF"/>
        </w:rPr>
        <w:t xml:space="preserve"> climate-related risks, and as an outgrowth of these activities</w:t>
      </w:r>
      <w:r w:rsidR="003A2AD4">
        <w:rPr>
          <w:rFonts w:ascii="Times New Roman" w:hAnsi="Times New Roman" w:cs="Times New Roman"/>
          <w:color w:val="000000" w:themeColor="text1"/>
          <w:sz w:val="24"/>
          <w:szCs w:val="24"/>
          <w:shd w:val="clear" w:color="auto" w:fill="FFFFFF"/>
        </w:rPr>
        <w:t xml:space="preserve"> </w:t>
      </w:r>
      <w:r w:rsidR="003A0F8E">
        <w:rPr>
          <w:rFonts w:ascii="Times New Roman" w:hAnsi="Times New Roman" w:cs="Times New Roman"/>
          <w:color w:val="000000" w:themeColor="text1"/>
          <w:sz w:val="24"/>
          <w:szCs w:val="24"/>
          <w:shd w:val="clear" w:color="auto" w:fill="FFFFFF"/>
        </w:rPr>
        <w:t xml:space="preserve">we </w:t>
      </w:r>
      <w:r w:rsidR="006D15C9">
        <w:rPr>
          <w:rFonts w:ascii="Times New Roman" w:hAnsi="Times New Roman" w:cs="Times New Roman"/>
          <w:color w:val="000000" w:themeColor="text1"/>
          <w:sz w:val="24"/>
          <w:szCs w:val="24"/>
          <w:shd w:val="clear" w:color="auto" w:fill="FFFFFF"/>
        </w:rPr>
        <w:t>focus on</w:t>
      </w:r>
      <w:r w:rsidR="003A0F8E">
        <w:rPr>
          <w:rFonts w:ascii="Times New Roman" w:hAnsi="Times New Roman" w:cs="Times New Roman"/>
          <w:color w:val="000000" w:themeColor="text1"/>
          <w:sz w:val="24"/>
          <w:szCs w:val="24"/>
          <w:shd w:val="clear" w:color="auto" w:fill="FFFFFF"/>
        </w:rPr>
        <w:t xml:space="preserve"> sharing our perspectives and research to </w:t>
      </w:r>
      <w:r w:rsidR="00A54272">
        <w:rPr>
          <w:rFonts w:ascii="Times New Roman" w:hAnsi="Times New Roman" w:cs="Times New Roman"/>
          <w:color w:val="000000" w:themeColor="text1"/>
          <w:sz w:val="24"/>
          <w:szCs w:val="24"/>
          <w:shd w:val="clear" w:color="auto" w:fill="FFFFFF"/>
        </w:rPr>
        <w:t>mitigate the impact of climate change on society</w:t>
      </w:r>
      <w:r w:rsidR="001F758E">
        <w:rPr>
          <w:rFonts w:ascii="Times New Roman" w:hAnsi="Times New Roman" w:cs="Times New Roman"/>
          <w:color w:val="000000" w:themeColor="text1"/>
          <w:sz w:val="24"/>
          <w:szCs w:val="24"/>
          <w:shd w:val="clear" w:color="auto" w:fill="FFFFFF"/>
        </w:rPr>
        <w:t xml:space="preserve">. </w:t>
      </w:r>
    </w:p>
    <w:p w14:paraId="67380007" w14:textId="77777777" w:rsidR="00D46053" w:rsidRPr="00D46053" w:rsidRDefault="00D46053" w:rsidP="00A16430">
      <w:pPr>
        <w:pStyle w:val="NoSpacing"/>
        <w:jc w:val="both"/>
        <w:rPr>
          <w:rFonts w:ascii="Times New Roman" w:hAnsi="Times New Roman" w:cs="Times New Roman"/>
          <w:color w:val="000000" w:themeColor="text1"/>
          <w:sz w:val="24"/>
          <w:szCs w:val="24"/>
          <w:shd w:val="clear" w:color="auto" w:fill="FFFFFF"/>
        </w:rPr>
      </w:pPr>
    </w:p>
    <w:p w14:paraId="62CA10B1" w14:textId="40831506" w:rsidR="00A16430" w:rsidRPr="00D46053" w:rsidRDefault="00D46053" w:rsidP="00E278AE">
      <w:pPr>
        <w:pStyle w:val="No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Given our detailed knowledge of the risk presented by natural disasters and significant trading relationship with the GSEs</w:t>
      </w:r>
      <w:r w:rsidR="00E278AE" w:rsidRPr="00D46053">
        <w:rPr>
          <w:rFonts w:ascii="Times New Roman" w:hAnsi="Times New Roman" w:cs="Times New Roman"/>
          <w:color w:val="000000" w:themeColor="text1"/>
          <w:sz w:val="24"/>
          <w:szCs w:val="24"/>
          <w:shd w:val="clear" w:color="auto" w:fill="FFFFFF"/>
        </w:rPr>
        <w:t>, we are uniquely positioned to provide feedback and potential solutions to this most significant of risks</w:t>
      </w:r>
      <w:r w:rsidR="001F758E">
        <w:rPr>
          <w:rFonts w:ascii="Times New Roman" w:hAnsi="Times New Roman" w:cs="Times New Roman"/>
          <w:color w:val="000000" w:themeColor="text1"/>
          <w:sz w:val="24"/>
          <w:szCs w:val="24"/>
          <w:shd w:val="clear" w:color="auto" w:fill="FFFFFF"/>
        </w:rPr>
        <w:t xml:space="preserve">. </w:t>
      </w:r>
      <w:r w:rsidR="00E278AE" w:rsidRPr="00D46053">
        <w:rPr>
          <w:rFonts w:ascii="Times New Roman" w:hAnsi="Times New Roman" w:cs="Times New Roman"/>
          <w:color w:val="000000" w:themeColor="text1"/>
          <w:sz w:val="24"/>
          <w:szCs w:val="24"/>
          <w:shd w:val="clear" w:color="auto" w:fill="FFFFFF"/>
        </w:rPr>
        <w:t>We look forward to engaging broadly on this topic and have responded to specific questions within the RFI below:</w:t>
      </w:r>
    </w:p>
    <w:p w14:paraId="0364CAEB" w14:textId="4CC94641" w:rsidR="009C0FF7" w:rsidRPr="00D46053" w:rsidRDefault="009C0FF7" w:rsidP="00A16430">
      <w:pPr>
        <w:pStyle w:val="NoSpacing"/>
        <w:jc w:val="both"/>
        <w:rPr>
          <w:rFonts w:ascii="Times New Roman" w:hAnsi="Times New Roman" w:cs="Times New Roman"/>
          <w:color w:val="000000" w:themeColor="text1"/>
          <w:sz w:val="24"/>
          <w:szCs w:val="24"/>
          <w:shd w:val="clear" w:color="auto" w:fill="FFFFFF"/>
        </w:rPr>
      </w:pPr>
    </w:p>
    <w:p w14:paraId="032A4229" w14:textId="77777777" w:rsidR="00305398" w:rsidRPr="001611AF" w:rsidRDefault="00305398" w:rsidP="00305398">
      <w:pPr>
        <w:rPr>
          <w:rFonts w:ascii="Times New Roman" w:hAnsi="Times New Roman" w:cs="Times New Roman"/>
          <w:sz w:val="24"/>
          <w:szCs w:val="24"/>
          <w:u w:val="single"/>
        </w:rPr>
      </w:pPr>
      <w:r w:rsidRPr="001611AF">
        <w:rPr>
          <w:rFonts w:ascii="Times New Roman" w:hAnsi="Times New Roman" w:cs="Times New Roman"/>
          <w:sz w:val="24"/>
          <w:szCs w:val="24"/>
          <w:u w:val="single"/>
        </w:rPr>
        <w:lastRenderedPageBreak/>
        <w:t>Q2.</w:t>
      </w:r>
      <w:r w:rsidRPr="001611AF">
        <w:rPr>
          <w:rFonts w:ascii="Times New Roman" w:hAnsi="Times New Roman" w:cs="Times New Roman"/>
          <w:sz w:val="24"/>
          <w:szCs w:val="24"/>
          <w:u w:val="single"/>
        </w:rPr>
        <w:tab/>
        <w:t>What are the climate and natural disaster risks to the regulated entities, including long- and short-term risks, and how might such risks change over time? To what extent, if any, could such risks now or in the future impede the ability of each regulated entity to operate in a safe and sound manner, fulfill its statutory mission, or foster liquid, efficient, competitive, and resilient national housing finance markets?</w:t>
      </w:r>
    </w:p>
    <w:p w14:paraId="79ACD789" w14:textId="3DFE64B8" w:rsidR="00305398" w:rsidRPr="001611AF" w:rsidRDefault="00305398" w:rsidP="001611AF">
      <w:pPr>
        <w:rPr>
          <w:rFonts w:ascii="Times New Roman" w:hAnsi="Times New Roman" w:cs="Times New Roman"/>
          <w:sz w:val="24"/>
          <w:szCs w:val="24"/>
        </w:rPr>
      </w:pPr>
      <w:r w:rsidRPr="001611AF">
        <w:rPr>
          <w:rFonts w:ascii="Times New Roman" w:hAnsi="Times New Roman" w:cs="Times New Roman"/>
          <w:sz w:val="24"/>
          <w:szCs w:val="24"/>
        </w:rPr>
        <w:t>We think the risk to the GSEs is twofold</w:t>
      </w:r>
      <w:r w:rsidR="001F758E">
        <w:rPr>
          <w:rFonts w:ascii="Times New Roman" w:hAnsi="Times New Roman" w:cs="Times New Roman"/>
          <w:sz w:val="24"/>
          <w:szCs w:val="24"/>
        </w:rPr>
        <w:t xml:space="preserve">. </w:t>
      </w:r>
      <w:r w:rsidR="00FA6779" w:rsidRPr="001611AF">
        <w:rPr>
          <w:rFonts w:ascii="Times New Roman" w:hAnsi="Times New Roman" w:cs="Times New Roman"/>
          <w:sz w:val="24"/>
          <w:szCs w:val="24"/>
        </w:rPr>
        <w:t>In the short term, the GSEs are exposed to the risk of physical damage</w:t>
      </w:r>
      <w:r w:rsidR="00F06B33">
        <w:rPr>
          <w:rFonts w:ascii="Times New Roman" w:hAnsi="Times New Roman" w:cs="Times New Roman"/>
          <w:sz w:val="24"/>
          <w:szCs w:val="24"/>
        </w:rPr>
        <w:t xml:space="preserve"> and </w:t>
      </w:r>
      <w:r w:rsidR="00FA6779" w:rsidRPr="001611AF">
        <w:rPr>
          <w:rFonts w:ascii="Times New Roman" w:hAnsi="Times New Roman" w:cs="Times New Roman"/>
          <w:sz w:val="24"/>
          <w:szCs w:val="24"/>
        </w:rPr>
        <w:t>the ensuing increases in delinquencies and defaults that are likely to arise from climate and natural disaster risks that cause physical damage to guaranteed mortgages</w:t>
      </w:r>
      <w:r w:rsidR="00C402B4">
        <w:rPr>
          <w:rFonts w:ascii="Times New Roman" w:hAnsi="Times New Roman" w:cs="Times New Roman"/>
          <w:sz w:val="24"/>
          <w:szCs w:val="24"/>
        </w:rPr>
        <w:t xml:space="preserve">. </w:t>
      </w:r>
      <w:r w:rsidR="00CF721F" w:rsidRPr="001611AF">
        <w:rPr>
          <w:rFonts w:ascii="Times New Roman" w:hAnsi="Times New Roman" w:cs="Times New Roman"/>
          <w:sz w:val="24"/>
          <w:szCs w:val="24"/>
        </w:rPr>
        <w:t>Mortgage Guarantees provided by both Fannie Mae and Freddie Mac, referred to as the GSEs, are subject to significant risk of credit default arising from natural disasters</w:t>
      </w:r>
      <w:r w:rsidR="001F758E">
        <w:rPr>
          <w:rFonts w:ascii="Times New Roman" w:hAnsi="Times New Roman" w:cs="Times New Roman"/>
          <w:sz w:val="24"/>
          <w:szCs w:val="24"/>
        </w:rPr>
        <w:t xml:space="preserve">. </w:t>
      </w:r>
      <w:r w:rsidR="00CF721F" w:rsidRPr="001611AF">
        <w:rPr>
          <w:rFonts w:ascii="Times New Roman" w:hAnsi="Times New Roman" w:cs="Times New Roman"/>
          <w:sz w:val="24"/>
          <w:szCs w:val="24"/>
        </w:rPr>
        <w:t>Current guidance requires only a standard fire insurance policy on most residences, and in the event of the property being designated in a Special Flood Hazard Area, additional flood coverage</w:t>
      </w:r>
      <w:r w:rsidR="001F758E">
        <w:rPr>
          <w:rFonts w:ascii="Times New Roman" w:hAnsi="Times New Roman" w:cs="Times New Roman"/>
          <w:sz w:val="24"/>
          <w:szCs w:val="24"/>
        </w:rPr>
        <w:t xml:space="preserve">. </w:t>
      </w:r>
      <w:r w:rsidR="00CF721F" w:rsidRPr="001611AF">
        <w:rPr>
          <w:rFonts w:ascii="Times New Roman" w:hAnsi="Times New Roman" w:cs="Times New Roman"/>
          <w:sz w:val="24"/>
          <w:szCs w:val="24"/>
        </w:rPr>
        <w:t>As such there is a substantial insurance coverage gap that the GSEs are exposed to</w:t>
      </w:r>
      <w:r w:rsidR="00556349" w:rsidRPr="001611AF">
        <w:rPr>
          <w:rFonts w:ascii="Times New Roman" w:hAnsi="Times New Roman" w:cs="Times New Roman"/>
          <w:sz w:val="24"/>
          <w:szCs w:val="24"/>
        </w:rPr>
        <w:t xml:space="preserve"> from the impact of immediate events, most notably</w:t>
      </w:r>
      <w:r w:rsidR="00C402B4">
        <w:rPr>
          <w:rFonts w:ascii="Times New Roman" w:hAnsi="Times New Roman" w:cs="Times New Roman"/>
          <w:sz w:val="24"/>
          <w:szCs w:val="24"/>
        </w:rPr>
        <w:t xml:space="preserve"> in our view is</w:t>
      </w:r>
      <w:r w:rsidR="00556349" w:rsidRPr="001611AF">
        <w:rPr>
          <w:rFonts w:ascii="Times New Roman" w:hAnsi="Times New Roman" w:cs="Times New Roman"/>
          <w:sz w:val="24"/>
          <w:szCs w:val="24"/>
        </w:rPr>
        <w:t xml:space="preserve"> the risk of a major California Earthquake</w:t>
      </w:r>
      <w:r w:rsidR="00C402B4">
        <w:rPr>
          <w:rFonts w:ascii="Times New Roman" w:hAnsi="Times New Roman" w:cs="Times New Roman"/>
          <w:sz w:val="24"/>
          <w:szCs w:val="24"/>
        </w:rPr>
        <w:t xml:space="preserve">.  There is also risk from other perils including but not limited to the </w:t>
      </w:r>
      <w:r w:rsidR="00556349" w:rsidRPr="001611AF">
        <w:rPr>
          <w:rFonts w:ascii="Times New Roman" w:hAnsi="Times New Roman" w:cs="Times New Roman"/>
          <w:sz w:val="24"/>
          <w:szCs w:val="24"/>
        </w:rPr>
        <w:t>direct impact of severe flooding</w:t>
      </w:r>
      <w:r w:rsidR="001F758E">
        <w:rPr>
          <w:rFonts w:ascii="Times New Roman" w:hAnsi="Times New Roman" w:cs="Times New Roman"/>
          <w:sz w:val="24"/>
          <w:szCs w:val="24"/>
        </w:rPr>
        <w:t xml:space="preserve">. </w:t>
      </w:r>
      <w:r w:rsidR="00556349" w:rsidRPr="001611AF">
        <w:rPr>
          <w:rFonts w:ascii="Times New Roman" w:hAnsi="Times New Roman" w:cs="Times New Roman"/>
          <w:sz w:val="24"/>
          <w:szCs w:val="24"/>
        </w:rPr>
        <w:t>As noted in research provided by CoreLogic</w:t>
      </w:r>
      <w:r w:rsidR="00556349" w:rsidRPr="001611AF">
        <w:rPr>
          <w:rStyle w:val="FootnoteReference"/>
          <w:rFonts w:ascii="Times New Roman" w:hAnsi="Times New Roman" w:cs="Times New Roman"/>
          <w:sz w:val="24"/>
          <w:szCs w:val="24"/>
        </w:rPr>
        <w:footnoteReference w:id="1"/>
      </w:r>
      <w:r w:rsidR="00556349" w:rsidRPr="001611AF">
        <w:rPr>
          <w:rFonts w:ascii="Times New Roman" w:hAnsi="Times New Roman" w:cs="Times New Roman"/>
          <w:sz w:val="24"/>
          <w:szCs w:val="24"/>
        </w:rPr>
        <w:t xml:space="preserve"> there is an immediate and appreciable increase in mortgage delinquencies for properties </w:t>
      </w:r>
      <w:r w:rsidR="00C402B4">
        <w:rPr>
          <w:rFonts w:ascii="Times New Roman" w:hAnsi="Times New Roman" w:cs="Times New Roman"/>
          <w:sz w:val="24"/>
          <w:szCs w:val="24"/>
        </w:rPr>
        <w:t>following</w:t>
      </w:r>
      <w:r w:rsidR="00556349" w:rsidRPr="001611AF">
        <w:rPr>
          <w:rFonts w:ascii="Times New Roman" w:hAnsi="Times New Roman" w:cs="Times New Roman"/>
          <w:sz w:val="24"/>
          <w:szCs w:val="24"/>
        </w:rPr>
        <w:t xml:space="preserve"> a natural disaster </w:t>
      </w:r>
      <w:r w:rsidR="00C402B4">
        <w:rPr>
          <w:rFonts w:ascii="Times New Roman" w:hAnsi="Times New Roman" w:cs="Times New Roman"/>
          <w:sz w:val="24"/>
          <w:szCs w:val="24"/>
        </w:rPr>
        <w:t xml:space="preserve">declaration </w:t>
      </w:r>
      <w:r w:rsidR="00556349" w:rsidRPr="001611AF">
        <w:rPr>
          <w:rFonts w:ascii="Times New Roman" w:hAnsi="Times New Roman" w:cs="Times New Roman"/>
          <w:sz w:val="24"/>
          <w:szCs w:val="24"/>
        </w:rPr>
        <w:t>by FEMA</w:t>
      </w:r>
      <w:r w:rsidR="001F758E">
        <w:rPr>
          <w:rFonts w:ascii="Times New Roman" w:hAnsi="Times New Roman" w:cs="Times New Roman"/>
          <w:sz w:val="24"/>
          <w:szCs w:val="24"/>
        </w:rPr>
        <w:t xml:space="preserve">. </w:t>
      </w:r>
      <w:r w:rsidR="00556349" w:rsidRPr="001611AF">
        <w:rPr>
          <w:rFonts w:ascii="Times New Roman" w:hAnsi="Times New Roman" w:cs="Times New Roman"/>
          <w:sz w:val="24"/>
          <w:szCs w:val="24"/>
        </w:rPr>
        <w:t xml:space="preserve">This is most significant on properties that have suffered damage, but </w:t>
      </w:r>
      <w:r w:rsidR="00C402B4">
        <w:rPr>
          <w:rFonts w:ascii="Times New Roman" w:hAnsi="Times New Roman" w:cs="Times New Roman"/>
          <w:sz w:val="24"/>
          <w:szCs w:val="24"/>
        </w:rPr>
        <w:t xml:space="preserve">consistently </w:t>
      </w:r>
      <w:r w:rsidR="00556349" w:rsidRPr="001611AF">
        <w:rPr>
          <w:rFonts w:ascii="Times New Roman" w:hAnsi="Times New Roman" w:cs="Times New Roman"/>
          <w:sz w:val="24"/>
          <w:szCs w:val="24"/>
        </w:rPr>
        <w:t>spreads beyond those directly damaged by the event</w:t>
      </w:r>
      <w:r w:rsidR="001F758E">
        <w:rPr>
          <w:rFonts w:ascii="Times New Roman" w:hAnsi="Times New Roman" w:cs="Times New Roman"/>
          <w:sz w:val="24"/>
          <w:szCs w:val="24"/>
        </w:rPr>
        <w:t xml:space="preserve">. </w:t>
      </w:r>
      <w:r w:rsidR="00C402B4">
        <w:rPr>
          <w:rFonts w:ascii="Times New Roman" w:hAnsi="Times New Roman" w:cs="Times New Roman"/>
          <w:sz w:val="24"/>
          <w:szCs w:val="24"/>
        </w:rPr>
        <w:t>Furthermore, t</w:t>
      </w:r>
      <w:r w:rsidR="00556349" w:rsidRPr="001611AF">
        <w:rPr>
          <w:rFonts w:ascii="Times New Roman" w:hAnsi="Times New Roman" w:cs="Times New Roman"/>
          <w:sz w:val="24"/>
          <w:szCs w:val="24"/>
        </w:rPr>
        <w:t xml:space="preserve">he presence of restoration clauses in mortgage insurance policies means that this risk </w:t>
      </w:r>
      <w:r w:rsidR="00C402B4">
        <w:rPr>
          <w:rFonts w:ascii="Times New Roman" w:hAnsi="Times New Roman" w:cs="Times New Roman"/>
          <w:sz w:val="24"/>
          <w:szCs w:val="24"/>
        </w:rPr>
        <w:t xml:space="preserve">on lower income borrowers, who are more likely to supplement their down payment with mortgage insurance, </w:t>
      </w:r>
      <w:r w:rsidR="00556349" w:rsidRPr="001611AF">
        <w:rPr>
          <w:rFonts w:ascii="Times New Roman" w:hAnsi="Times New Roman" w:cs="Times New Roman"/>
          <w:sz w:val="24"/>
          <w:szCs w:val="24"/>
        </w:rPr>
        <w:t>will be disproportionately borne by the GSEs.</w:t>
      </w:r>
      <w:r w:rsidR="00C402B4">
        <w:rPr>
          <w:rFonts w:ascii="Times New Roman" w:hAnsi="Times New Roman" w:cs="Times New Roman"/>
          <w:sz w:val="24"/>
          <w:szCs w:val="24"/>
        </w:rPr>
        <w:t xml:space="preserve">  </w:t>
      </w:r>
      <w:r w:rsidR="00556349" w:rsidRPr="001611AF">
        <w:rPr>
          <w:rFonts w:ascii="Times New Roman" w:hAnsi="Times New Roman" w:cs="Times New Roman"/>
          <w:sz w:val="24"/>
          <w:szCs w:val="24"/>
        </w:rPr>
        <w:t xml:space="preserve">Analysis from </w:t>
      </w:r>
      <w:proofErr w:type="gramStart"/>
      <w:r w:rsidR="00556349" w:rsidRPr="001611AF">
        <w:rPr>
          <w:rFonts w:ascii="Times New Roman" w:hAnsi="Times New Roman" w:cs="Times New Roman"/>
          <w:sz w:val="24"/>
          <w:szCs w:val="24"/>
        </w:rPr>
        <w:t>ourselves</w:t>
      </w:r>
      <w:proofErr w:type="gramEnd"/>
      <w:r w:rsidR="00556349" w:rsidRPr="001611AF">
        <w:rPr>
          <w:rFonts w:ascii="Times New Roman" w:hAnsi="Times New Roman" w:cs="Times New Roman"/>
          <w:sz w:val="24"/>
          <w:szCs w:val="24"/>
        </w:rPr>
        <w:t xml:space="preserve"> and others strongly indicates that this</w:t>
      </w:r>
      <w:r w:rsidRPr="001611AF">
        <w:rPr>
          <w:rFonts w:ascii="Times New Roman" w:hAnsi="Times New Roman" w:cs="Times New Roman"/>
          <w:sz w:val="24"/>
          <w:szCs w:val="24"/>
        </w:rPr>
        <w:t xml:space="preserve"> risk is appreciably rising due to climate variability</w:t>
      </w:r>
      <w:r w:rsidR="001F758E">
        <w:rPr>
          <w:rFonts w:ascii="Times New Roman" w:hAnsi="Times New Roman" w:cs="Times New Roman"/>
          <w:sz w:val="24"/>
          <w:szCs w:val="24"/>
        </w:rPr>
        <w:t xml:space="preserve">. </w:t>
      </w:r>
    </w:p>
    <w:p w14:paraId="1B143B61" w14:textId="0732504F" w:rsidR="0028574D" w:rsidRPr="001611AF" w:rsidRDefault="00FA6779" w:rsidP="00305398">
      <w:pPr>
        <w:rPr>
          <w:rFonts w:ascii="Times New Roman" w:hAnsi="Times New Roman" w:cs="Times New Roman"/>
          <w:sz w:val="24"/>
          <w:szCs w:val="24"/>
        </w:rPr>
      </w:pPr>
      <w:r w:rsidRPr="001611AF">
        <w:rPr>
          <w:rFonts w:ascii="Times New Roman" w:hAnsi="Times New Roman" w:cs="Times New Roman"/>
          <w:sz w:val="24"/>
          <w:szCs w:val="24"/>
        </w:rPr>
        <w:t xml:space="preserve">Secondly, we believe that climate variability and natural disasters could lead to secular changes to demand in certain geographies, significantly impairing the </w:t>
      </w:r>
      <w:r w:rsidR="00C402B4">
        <w:rPr>
          <w:rFonts w:ascii="Times New Roman" w:hAnsi="Times New Roman" w:cs="Times New Roman"/>
          <w:sz w:val="24"/>
          <w:szCs w:val="24"/>
        </w:rPr>
        <w:t>buying behavior</w:t>
      </w:r>
      <w:r w:rsidRPr="001611AF">
        <w:rPr>
          <w:rFonts w:ascii="Times New Roman" w:hAnsi="Times New Roman" w:cs="Times New Roman"/>
          <w:sz w:val="24"/>
          <w:szCs w:val="24"/>
        </w:rPr>
        <w:t xml:space="preserve"> for properties and causing increases in both loss frequency and severity</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With respect to</w:t>
      </w:r>
      <w:r w:rsidR="00305398" w:rsidRPr="001611AF">
        <w:rPr>
          <w:rFonts w:ascii="Times New Roman" w:hAnsi="Times New Roman" w:cs="Times New Roman"/>
          <w:sz w:val="24"/>
          <w:szCs w:val="24"/>
        </w:rPr>
        <w:t xml:space="preserve"> the earthquake peril specifically, a reduction in demand for properties in certain regions could arise due to how geophysical hazards increase an event’s impact</w:t>
      </w:r>
      <w:r w:rsidR="001F758E">
        <w:rPr>
          <w:rFonts w:ascii="Times New Roman" w:hAnsi="Times New Roman" w:cs="Times New Roman"/>
          <w:sz w:val="24"/>
          <w:szCs w:val="24"/>
        </w:rPr>
        <w:t>.</w:t>
      </w:r>
      <w:r w:rsidR="00C402B4">
        <w:rPr>
          <w:rFonts w:ascii="Times New Roman" w:hAnsi="Times New Roman" w:cs="Times New Roman"/>
          <w:sz w:val="24"/>
          <w:szCs w:val="24"/>
        </w:rPr>
        <w:t xml:space="preserve"> </w:t>
      </w:r>
      <w:r w:rsidR="001F758E">
        <w:rPr>
          <w:rFonts w:ascii="Times New Roman" w:hAnsi="Times New Roman" w:cs="Times New Roman"/>
          <w:sz w:val="24"/>
          <w:szCs w:val="24"/>
        </w:rPr>
        <w:t xml:space="preserve"> </w:t>
      </w:r>
      <w:r w:rsidR="00305398" w:rsidRPr="001611AF">
        <w:rPr>
          <w:rFonts w:ascii="Times New Roman" w:hAnsi="Times New Roman" w:cs="Times New Roman"/>
          <w:sz w:val="24"/>
          <w:szCs w:val="24"/>
        </w:rPr>
        <w:t>Ground motions can be significantly amplified in certain locations where very weak and unconsolidated soils exist, thereby creating outsized shaking levels for buildings in that local area</w:t>
      </w:r>
      <w:r w:rsidR="001F758E">
        <w:rPr>
          <w:rFonts w:ascii="Times New Roman" w:hAnsi="Times New Roman" w:cs="Times New Roman"/>
          <w:sz w:val="24"/>
          <w:szCs w:val="24"/>
        </w:rPr>
        <w:t xml:space="preserve">. </w:t>
      </w:r>
      <w:r w:rsidR="00305398" w:rsidRPr="001611AF">
        <w:rPr>
          <w:rFonts w:ascii="Times New Roman" w:hAnsi="Times New Roman" w:cs="Times New Roman"/>
          <w:sz w:val="24"/>
          <w:szCs w:val="24"/>
        </w:rPr>
        <w:t>Precise soil micro-zonation maps coupled with engineering analysis is necessary to understand where these extreme hazards arise – intelligence that is not typically employed in designing residential structures</w:t>
      </w:r>
      <w:r w:rsidR="001F758E">
        <w:rPr>
          <w:rFonts w:ascii="Times New Roman" w:hAnsi="Times New Roman" w:cs="Times New Roman"/>
          <w:sz w:val="24"/>
          <w:szCs w:val="24"/>
        </w:rPr>
        <w:t xml:space="preserve">. </w:t>
      </w:r>
      <w:r w:rsidR="00256F2E">
        <w:rPr>
          <w:rFonts w:ascii="Times New Roman" w:hAnsi="Times New Roman" w:cs="Times New Roman"/>
          <w:sz w:val="24"/>
          <w:szCs w:val="24"/>
        </w:rPr>
        <w:t>Another example is e</w:t>
      </w:r>
      <w:r w:rsidR="00256F2E" w:rsidRPr="00101E7F">
        <w:rPr>
          <w:rFonts w:ascii="Times New Roman" w:hAnsi="Times New Roman" w:cs="Times New Roman"/>
          <w:sz w:val="24"/>
          <w:szCs w:val="24"/>
        </w:rPr>
        <w:t>arthquake-related liquefaction</w:t>
      </w:r>
      <w:r w:rsidR="00256F2E">
        <w:rPr>
          <w:rFonts w:ascii="Times New Roman" w:hAnsi="Times New Roman" w:cs="Times New Roman"/>
          <w:sz w:val="24"/>
          <w:szCs w:val="24"/>
        </w:rPr>
        <w:t xml:space="preserve">. </w:t>
      </w:r>
      <w:r w:rsidR="00256F2E" w:rsidRPr="00101E7F">
        <w:rPr>
          <w:rFonts w:ascii="Times New Roman" w:hAnsi="Times New Roman" w:cs="Times New Roman"/>
          <w:sz w:val="24"/>
          <w:szCs w:val="24"/>
        </w:rPr>
        <w:t>Liquefaction is the phenomena where selected soil types are “activated” by a combination strong ground motions and high ground water tables, to such an extent that those areas affected instantaneously lose bearing capacity</w:t>
      </w:r>
      <w:r w:rsidR="00256F2E">
        <w:rPr>
          <w:rFonts w:ascii="Times New Roman" w:hAnsi="Times New Roman" w:cs="Times New Roman"/>
          <w:sz w:val="24"/>
          <w:szCs w:val="24"/>
        </w:rPr>
        <w:t xml:space="preserve">. </w:t>
      </w:r>
      <w:r w:rsidR="00256F2E" w:rsidRPr="00101E7F">
        <w:rPr>
          <w:rFonts w:ascii="Times New Roman" w:hAnsi="Times New Roman" w:cs="Times New Roman"/>
          <w:sz w:val="24"/>
          <w:szCs w:val="24"/>
        </w:rPr>
        <w:t>The “liquified” soil results in a range of damage that can be highly consequential to buildings that have no mitigation for liquefaction incidence</w:t>
      </w:r>
      <w:r w:rsidR="00256F2E">
        <w:rPr>
          <w:rFonts w:ascii="Times New Roman" w:hAnsi="Times New Roman" w:cs="Times New Roman"/>
          <w:sz w:val="24"/>
          <w:szCs w:val="24"/>
        </w:rPr>
        <w:t xml:space="preserve">. </w:t>
      </w:r>
      <w:r w:rsidR="00256F2E" w:rsidRPr="00101E7F">
        <w:rPr>
          <w:rFonts w:ascii="Times New Roman" w:hAnsi="Times New Roman" w:cs="Times New Roman"/>
          <w:sz w:val="24"/>
          <w:szCs w:val="24"/>
        </w:rPr>
        <w:t>This includes differential displacement, tilting, cracked foundations, etc</w:t>
      </w:r>
      <w:r w:rsidR="00256F2E">
        <w:rPr>
          <w:rFonts w:ascii="Times New Roman" w:hAnsi="Times New Roman" w:cs="Times New Roman"/>
          <w:sz w:val="24"/>
          <w:szCs w:val="24"/>
        </w:rPr>
        <w:t>.</w:t>
      </w:r>
      <w:r w:rsidR="0028574D">
        <w:rPr>
          <w:rFonts w:ascii="Times New Roman" w:hAnsi="Times New Roman" w:cs="Times New Roman"/>
          <w:sz w:val="24"/>
          <w:szCs w:val="24"/>
        </w:rPr>
        <w:t xml:space="preserve"> </w:t>
      </w:r>
      <w:r w:rsidR="0028574D" w:rsidRPr="00101E7F">
        <w:rPr>
          <w:rFonts w:ascii="Times New Roman" w:hAnsi="Times New Roman" w:cs="Times New Roman"/>
          <w:sz w:val="24"/>
          <w:szCs w:val="24"/>
        </w:rPr>
        <w:t>Such damage modes are very expensive to repair and often result in near total loss of the structure</w:t>
      </w:r>
      <w:r w:rsidR="0028574D">
        <w:rPr>
          <w:rFonts w:ascii="Times New Roman" w:hAnsi="Times New Roman" w:cs="Times New Roman"/>
          <w:sz w:val="24"/>
          <w:szCs w:val="24"/>
        </w:rPr>
        <w:t xml:space="preserve">. </w:t>
      </w:r>
      <w:r w:rsidR="0028574D" w:rsidRPr="00101E7F">
        <w:rPr>
          <w:rFonts w:ascii="Times New Roman" w:hAnsi="Times New Roman" w:cs="Times New Roman"/>
          <w:sz w:val="24"/>
          <w:szCs w:val="24"/>
        </w:rPr>
        <w:t>Residential buildings are not typically designed to resist liquefaction events</w:t>
      </w:r>
      <w:r w:rsidR="0028574D">
        <w:rPr>
          <w:rFonts w:ascii="Times New Roman" w:hAnsi="Times New Roman" w:cs="Times New Roman"/>
          <w:sz w:val="24"/>
          <w:szCs w:val="24"/>
        </w:rPr>
        <w:t xml:space="preserve">. </w:t>
      </w:r>
    </w:p>
    <w:p w14:paraId="18B58CBE" w14:textId="525F2707" w:rsidR="00305398" w:rsidRPr="001611AF" w:rsidRDefault="00305398">
      <w:pPr>
        <w:rPr>
          <w:rFonts w:ascii="Times New Roman" w:hAnsi="Times New Roman" w:cs="Times New Roman"/>
          <w:sz w:val="24"/>
          <w:szCs w:val="24"/>
        </w:rPr>
      </w:pPr>
      <w:r w:rsidRPr="001611AF">
        <w:rPr>
          <w:rFonts w:ascii="Times New Roman" w:hAnsi="Times New Roman" w:cs="Times New Roman"/>
          <w:sz w:val="24"/>
          <w:szCs w:val="24"/>
        </w:rPr>
        <w:lastRenderedPageBreak/>
        <w:t>Earthquakes can and will reveal these high-risk locations through outsized damage to buildings in the area – and consumers will quickly recognize (post-earthquake) that these areas are less desirable from a</w:t>
      </w:r>
      <w:r w:rsidR="00C402B4">
        <w:rPr>
          <w:rFonts w:ascii="Times New Roman" w:hAnsi="Times New Roman" w:cs="Times New Roman"/>
          <w:sz w:val="24"/>
          <w:szCs w:val="24"/>
        </w:rPr>
        <w:t xml:space="preserve"> </w:t>
      </w:r>
      <w:r w:rsidRPr="001611AF">
        <w:rPr>
          <w:rFonts w:ascii="Times New Roman" w:hAnsi="Times New Roman" w:cs="Times New Roman"/>
          <w:sz w:val="24"/>
          <w:szCs w:val="24"/>
        </w:rPr>
        <w:t>risk standpoint</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Such differential results are often show u</w:t>
      </w:r>
      <w:r w:rsidR="0026429A">
        <w:rPr>
          <w:rFonts w:ascii="Times New Roman" w:hAnsi="Times New Roman" w:cs="Times New Roman"/>
          <w:sz w:val="24"/>
          <w:szCs w:val="24"/>
        </w:rPr>
        <w:t>p</w:t>
      </w:r>
      <w:r w:rsidRPr="001611AF">
        <w:rPr>
          <w:rFonts w:ascii="Times New Roman" w:hAnsi="Times New Roman" w:cs="Times New Roman"/>
          <w:sz w:val="24"/>
          <w:szCs w:val="24"/>
        </w:rPr>
        <w:t xml:space="preserve"> on a sub-ZIP code level after moderate to large earthquakes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There are numerous examples in past earthquakes where high ground motion amplification areas were observed</w:t>
      </w:r>
      <w:r w:rsidR="001F758E">
        <w:rPr>
          <w:rFonts w:ascii="Times New Roman" w:hAnsi="Times New Roman" w:cs="Times New Roman"/>
          <w:sz w:val="24"/>
          <w:szCs w:val="24"/>
        </w:rPr>
        <w:t xml:space="preserve">. </w:t>
      </w:r>
      <w:r w:rsidR="0028574D">
        <w:rPr>
          <w:rFonts w:ascii="Times New Roman" w:hAnsi="Times New Roman" w:cs="Times New Roman"/>
          <w:sz w:val="24"/>
          <w:szCs w:val="24"/>
        </w:rPr>
        <w:t>Similarly, t</w:t>
      </w:r>
      <w:r w:rsidR="0028574D" w:rsidRPr="00101E7F">
        <w:rPr>
          <w:rFonts w:ascii="Times New Roman" w:hAnsi="Times New Roman" w:cs="Times New Roman"/>
          <w:sz w:val="24"/>
          <w:szCs w:val="24"/>
        </w:rPr>
        <w:t>he recent (2010-11) earthquake sequence striking Canterbury, New Zealand is a prime example of how vast areas of liquefaction incidence affected residential (and commercial) structures, often to such an extent that buildings were not repairable, and in many cases large tracts of the affected region were deemed unusable for redevelopment due to the high mitigation expense necessary for existing soils</w:t>
      </w:r>
      <w:r w:rsidR="0028574D">
        <w:rPr>
          <w:rFonts w:ascii="Times New Roman" w:hAnsi="Times New Roman" w:cs="Times New Roman"/>
          <w:sz w:val="24"/>
          <w:szCs w:val="24"/>
        </w:rPr>
        <w:t xml:space="preserve">. </w:t>
      </w:r>
      <w:r w:rsidR="0028574D" w:rsidRPr="00101E7F">
        <w:rPr>
          <w:rFonts w:ascii="Times New Roman" w:hAnsi="Times New Roman" w:cs="Times New Roman"/>
          <w:sz w:val="24"/>
          <w:szCs w:val="24"/>
        </w:rPr>
        <w:t>Many earthquake regions in the United States have the potential for significant liquefaction incidence, including the San Francisco Bay Area, Seattle-Tacoma region, and parts of the New Madrid region of the Midwest.</w:t>
      </w:r>
      <w:r w:rsidR="00C402B4">
        <w:rPr>
          <w:rFonts w:ascii="Times New Roman" w:hAnsi="Times New Roman" w:cs="Times New Roman"/>
          <w:sz w:val="24"/>
          <w:szCs w:val="24"/>
        </w:rPr>
        <w:t xml:space="preserve">  </w:t>
      </w:r>
      <w:r w:rsidR="00FA6779" w:rsidRPr="001611AF">
        <w:rPr>
          <w:rFonts w:ascii="Times New Roman" w:hAnsi="Times New Roman" w:cs="Times New Roman"/>
          <w:sz w:val="24"/>
          <w:szCs w:val="24"/>
        </w:rPr>
        <w:t>It is reasonable to conclude that the impact to demand could spread to other regions with similar geophysical properties and soil characteristics, thus impacting credit losses in a region not impacted by a natural disaster.</w:t>
      </w:r>
      <w:r w:rsidR="00256F2E">
        <w:rPr>
          <w:rStyle w:val="FootnoteReference"/>
          <w:rFonts w:ascii="Times New Roman" w:hAnsi="Times New Roman" w:cs="Times New Roman"/>
          <w:sz w:val="24"/>
          <w:szCs w:val="24"/>
        </w:rPr>
        <w:footnoteReference w:id="2"/>
      </w:r>
      <w:r w:rsidR="00C402B4" w:rsidRPr="00D46053" w:rsidDel="00C402B4">
        <w:rPr>
          <w:rFonts w:ascii="Times New Roman" w:hAnsi="Times New Roman" w:cs="Times New Roman"/>
          <w:sz w:val="24"/>
          <w:szCs w:val="24"/>
        </w:rPr>
        <w:t xml:space="preserve"> </w:t>
      </w:r>
    </w:p>
    <w:p w14:paraId="07E50834" w14:textId="40839AE9" w:rsidR="00305398" w:rsidRPr="001611AF" w:rsidRDefault="00FA6779" w:rsidP="00305398">
      <w:pPr>
        <w:rPr>
          <w:rFonts w:ascii="Times New Roman" w:hAnsi="Times New Roman" w:cs="Times New Roman"/>
          <w:sz w:val="24"/>
          <w:szCs w:val="24"/>
        </w:rPr>
      </w:pPr>
      <w:r w:rsidRPr="001611AF">
        <w:rPr>
          <w:rFonts w:ascii="Times New Roman" w:hAnsi="Times New Roman" w:cs="Times New Roman"/>
          <w:sz w:val="24"/>
          <w:szCs w:val="24"/>
        </w:rPr>
        <w:t>We are already seeing the impacts of climate change on the property market with</w:t>
      </w:r>
      <w:r w:rsidR="00305398" w:rsidRPr="001611AF">
        <w:rPr>
          <w:rFonts w:ascii="Times New Roman" w:hAnsi="Times New Roman" w:cs="Times New Roman"/>
          <w:sz w:val="24"/>
          <w:szCs w:val="24"/>
        </w:rPr>
        <w:t xml:space="preserve"> </w:t>
      </w:r>
      <w:r w:rsidRPr="001611AF">
        <w:rPr>
          <w:rFonts w:ascii="Times New Roman" w:hAnsi="Times New Roman" w:cs="Times New Roman"/>
          <w:sz w:val="24"/>
          <w:szCs w:val="24"/>
        </w:rPr>
        <w:t xml:space="preserve">portions of </w:t>
      </w:r>
      <w:r w:rsidR="00305398" w:rsidRPr="001611AF">
        <w:rPr>
          <w:rFonts w:ascii="Times New Roman" w:hAnsi="Times New Roman" w:cs="Times New Roman"/>
          <w:sz w:val="24"/>
          <w:szCs w:val="24"/>
        </w:rPr>
        <w:t>Florida</w:t>
      </w:r>
      <w:r w:rsidR="00E9076E">
        <w:rPr>
          <w:rFonts w:ascii="Times New Roman" w:hAnsi="Times New Roman" w:cs="Times New Roman"/>
          <w:sz w:val="24"/>
          <w:szCs w:val="24"/>
        </w:rPr>
        <w:t>,</w:t>
      </w:r>
      <w:r w:rsidR="00305398" w:rsidRPr="001611AF">
        <w:rPr>
          <w:rFonts w:ascii="Times New Roman" w:hAnsi="Times New Roman" w:cs="Times New Roman"/>
          <w:sz w:val="24"/>
          <w:szCs w:val="24"/>
        </w:rPr>
        <w:t xml:space="preserve"> most exposed to sea level rise</w:t>
      </w:r>
      <w:r w:rsidR="00E9076E">
        <w:rPr>
          <w:rFonts w:ascii="Times New Roman" w:hAnsi="Times New Roman" w:cs="Times New Roman"/>
          <w:sz w:val="24"/>
          <w:szCs w:val="24"/>
        </w:rPr>
        <w:t>,</w:t>
      </w:r>
      <w:r w:rsidR="00305398" w:rsidRPr="001611AF">
        <w:rPr>
          <w:rFonts w:ascii="Times New Roman" w:hAnsi="Times New Roman" w:cs="Times New Roman"/>
          <w:sz w:val="24"/>
          <w:szCs w:val="24"/>
        </w:rPr>
        <w:t xml:space="preserve"> </w:t>
      </w:r>
      <w:r w:rsidRPr="001611AF">
        <w:rPr>
          <w:rFonts w:ascii="Times New Roman" w:hAnsi="Times New Roman" w:cs="Times New Roman"/>
          <w:sz w:val="24"/>
          <w:szCs w:val="24"/>
        </w:rPr>
        <w:t>already showing decreases in home prices</w:t>
      </w:r>
      <w:r w:rsidRPr="001611AF">
        <w:rPr>
          <w:rStyle w:val="FootnoteReference"/>
          <w:rFonts w:ascii="Times New Roman" w:hAnsi="Times New Roman" w:cs="Times New Roman"/>
          <w:sz w:val="24"/>
          <w:szCs w:val="24"/>
        </w:rPr>
        <w:footnoteReference w:id="3"/>
      </w:r>
      <w:r w:rsidR="001F758E">
        <w:rPr>
          <w:rFonts w:ascii="Times New Roman" w:hAnsi="Times New Roman" w:cs="Times New Roman"/>
          <w:sz w:val="24"/>
          <w:szCs w:val="24"/>
        </w:rPr>
        <w:t xml:space="preserve">. </w:t>
      </w:r>
      <w:r w:rsidR="00305398" w:rsidRPr="001611AF">
        <w:rPr>
          <w:rFonts w:ascii="Times New Roman" w:hAnsi="Times New Roman" w:cs="Times New Roman"/>
          <w:sz w:val="24"/>
          <w:szCs w:val="24"/>
        </w:rPr>
        <w:t xml:space="preserve">Our expectation is that this will continue in the highest impacted areas from climate change, </w:t>
      </w:r>
      <w:r w:rsidRPr="001611AF">
        <w:rPr>
          <w:rFonts w:ascii="Times New Roman" w:hAnsi="Times New Roman" w:cs="Times New Roman"/>
          <w:sz w:val="24"/>
          <w:szCs w:val="24"/>
        </w:rPr>
        <w:t xml:space="preserve">particularly in relation to </w:t>
      </w:r>
      <w:r w:rsidR="00305398" w:rsidRPr="001611AF">
        <w:rPr>
          <w:rFonts w:ascii="Times New Roman" w:hAnsi="Times New Roman" w:cs="Times New Roman"/>
          <w:sz w:val="24"/>
          <w:szCs w:val="24"/>
        </w:rPr>
        <w:t>wildfires and sea level rise</w:t>
      </w:r>
      <w:r w:rsidR="001F758E">
        <w:rPr>
          <w:rFonts w:ascii="Times New Roman" w:hAnsi="Times New Roman" w:cs="Times New Roman"/>
          <w:sz w:val="24"/>
          <w:szCs w:val="24"/>
        </w:rPr>
        <w:t xml:space="preserve">. </w:t>
      </w:r>
    </w:p>
    <w:p w14:paraId="4A1FDBFA" w14:textId="0A896341" w:rsidR="00ED028C"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Another avenue to losses is the reduction in value for properties due to changing government guidelines (</w:t>
      </w:r>
      <w:proofErr w:type="gramStart"/>
      <w:r w:rsidRPr="001611AF">
        <w:rPr>
          <w:rFonts w:ascii="Times New Roman" w:hAnsi="Times New Roman" w:cs="Times New Roman"/>
          <w:sz w:val="24"/>
          <w:szCs w:val="24"/>
        </w:rPr>
        <w:t>i.e.</w:t>
      </w:r>
      <w:proofErr w:type="gramEnd"/>
      <w:r w:rsidRPr="001611AF">
        <w:rPr>
          <w:rFonts w:ascii="Times New Roman" w:hAnsi="Times New Roman" w:cs="Times New Roman"/>
          <w:sz w:val="24"/>
          <w:szCs w:val="24"/>
        </w:rPr>
        <w:t xml:space="preserve"> redesignation of flood plains) making an area less attractive for broad scale development</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Flood-related physical damage is a clear example where short-term atmospheric risk continues to “surprise” communities and longer-term trends are expected to expand the reach and overall impact of flood risk. In the United States the flood risk is communicated to the public through flood hazard maps developed by FEMA </w:t>
      </w:r>
      <w:r w:rsidR="005E48D9" w:rsidRPr="001611AF">
        <w:rPr>
          <w:rFonts w:ascii="Times New Roman" w:hAnsi="Times New Roman" w:cs="Times New Roman"/>
          <w:sz w:val="24"/>
          <w:szCs w:val="24"/>
        </w:rPr>
        <w:t>based on</w:t>
      </w:r>
      <w:r w:rsidRPr="001611AF">
        <w:rPr>
          <w:rFonts w:ascii="Times New Roman" w:hAnsi="Times New Roman" w:cs="Times New Roman"/>
          <w:sz w:val="24"/>
          <w:szCs w:val="24"/>
        </w:rPr>
        <w:t xml:space="preserve"> numerous location-specific scientific studies. </w:t>
      </w:r>
    </w:p>
    <w:p w14:paraId="787868B0" w14:textId="731A3A6A"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Flood studies vary greatly in quality and level of sophistication and age of study leading in many cases to severely underestimated flood risk. Large flood events can reveal problems with flood zone delineation resulting in major flood zone revisions over large areas. For instance, hurricane Sandy (2012) caused unprecedented storm surge along NJ, NY, and CT coast resulting in major flood zone revisions in affected areas. Similar revisions of FEMA flood zones in Florida Panhandle were triggered by hurricane Michael (2018) that created storm surge inundation way beyond previously identified flood zones V and A. Flood zone revisions can have significant negative impact on property values over large areas</w:t>
      </w:r>
      <w:r w:rsidR="001F758E">
        <w:rPr>
          <w:rFonts w:ascii="Times New Roman" w:hAnsi="Times New Roman" w:cs="Times New Roman"/>
          <w:sz w:val="24"/>
          <w:szCs w:val="24"/>
        </w:rPr>
        <w:t xml:space="preserve">. </w:t>
      </w:r>
    </w:p>
    <w:p w14:paraId="3E5511D0" w14:textId="0A54DFDC"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lastRenderedPageBreak/>
        <w:t>The flood maps developed by FEMA were never expected to inform the public of their full risk from flood</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They were created to draw a line to determine if flood coverage was mandated for GSE backed mortgages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Having a single line determining if flood </w:t>
      </w:r>
      <w:r w:rsidR="00E9076E">
        <w:rPr>
          <w:rFonts w:ascii="Times New Roman" w:hAnsi="Times New Roman" w:cs="Times New Roman"/>
          <w:sz w:val="24"/>
          <w:szCs w:val="24"/>
        </w:rPr>
        <w:t xml:space="preserve">coverage </w:t>
      </w:r>
      <w:r w:rsidRPr="001611AF">
        <w:rPr>
          <w:rFonts w:ascii="Times New Roman" w:hAnsi="Times New Roman" w:cs="Times New Roman"/>
          <w:sz w:val="24"/>
          <w:szCs w:val="24"/>
        </w:rPr>
        <w:t>is mandatory creates a false sense of low to zero flood risk for those not in the SFHA areas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false sense of security has created a large uninsured risk from flood leading to a high credit risk for the GSEs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“After Hurricane Harvey devastated the Gulf Coast in 2017, CoreLogic estimated that 70% of the flood damage was uninsured,” said Dr. Howard Botts, executive and chief scientist at CoreLogic.</w:t>
      </w:r>
      <w:r w:rsidR="00977E35">
        <w:rPr>
          <w:rStyle w:val="FootnoteReference"/>
          <w:rFonts w:ascii="Times New Roman" w:hAnsi="Times New Roman" w:cs="Times New Roman"/>
          <w:sz w:val="24"/>
          <w:szCs w:val="24"/>
        </w:rPr>
        <w:footnoteReference w:id="4"/>
      </w:r>
      <w:r w:rsidR="00C402B4">
        <w:rPr>
          <w:rFonts w:ascii="Times New Roman" w:hAnsi="Times New Roman" w:cs="Times New Roman"/>
          <w:sz w:val="24"/>
          <w:szCs w:val="24"/>
        </w:rPr>
        <w:t xml:space="preserve">  </w:t>
      </w:r>
    </w:p>
    <w:p w14:paraId="09922C69" w14:textId="77777777" w:rsidR="00305398" w:rsidRPr="001611AF" w:rsidRDefault="00305398" w:rsidP="00305398">
      <w:pPr>
        <w:rPr>
          <w:rFonts w:ascii="Times New Roman" w:hAnsi="Times New Roman" w:cs="Times New Roman"/>
          <w:sz w:val="24"/>
          <w:szCs w:val="24"/>
          <w:u w:val="single"/>
        </w:rPr>
      </w:pPr>
      <w:r w:rsidRPr="001611AF">
        <w:rPr>
          <w:rFonts w:ascii="Times New Roman" w:hAnsi="Times New Roman" w:cs="Times New Roman"/>
          <w:sz w:val="24"/>
          <w:szCs w:val="24"/>
          <w:u w:val="single"/>
        </w:rPr>
        <w:t>Q10.</w:t>
      </w:r>
      <w:r w:rsidRPr="001611AF">
        <w:rPr>
          <w:rFonts w:ascii="Times New Roman" w:hAnsi="Times New Roman" w:cs="Times New Roman"/>
          <w:sz w:val="24"/>
          <w:szCs w:val="24"/>
          <w:u w:val="single"/>
        </w:rPr>
        <w:tab/>
        <w:t>How should FHFA prioritize the various climate and natural disaster risks to the regulated entities?</w:t>
      </w:r>
    </w:p>
    <w:p w14:paraId="47BE6387" w14:textId="30311320"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Prioritization of various climate and natural disaster related risks must account for a range of risk management challenges that affect exposures financed by GSEs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Importantly, prioritization should account for potential impact of natural catastrophes to portfolios, the level of insurance protection purchased by homeowners specific to a region and peril combination, and how non-stationarity may affect the baseline risk in the intermediate future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Thinking across these variables leads us to propose the following order of priority:</w:t>
      </w:r>
    </w:p>
    <w:p w14:paraId="6DFD1266" w14:textId="77777777" w:rsidR="00305398" w:rsidRPr="001611AF" w:rsidRDefault="00305398" w:rsidP="00305398">
      <w:pPr>
        <w:pStyle w:val="ListParagraph"/>
        <w:numPr>
          <w:ilvl w:val="0"/>
          <w:numId w:val="2"/>
        </w:numPr>
        <w:rPr>
          <w:rFonts w:ascii="Times New Roman" w:hAnsi="Times New Roman" w:cs="Times New Roman"/>
          <w:sz w:val="24"/>
          <w:szCs w:val="24"/>
        </w:rPr>
      </w:pPr>
      <w:r w:rsidRPr="001611AF">
        <w:rPr>
          <w:rFonts w:ascii="Times New Roman" w:hAnsi="Times New Roman" w:cs="Times New Roman"/>
          <w:sz w:val="24"/>
          <w:szCs w:val="24"/>
        </w:rPr>
        <w:t>Earthquake</w:t>
      </w:r>
    </w:p>
    <w:p w14:paraId="20B7C386" w14:textId="77777777" w:rsidR="00305398" w:rsidRPr="001611AF" w:rsidRDefault="00305398" w:rsidP="00305398">
      <w:pPr>
        <w:pStyle w:val="ListParagraph"/>
        <w:numPr>
          <w:ilvl w:val="0"/>
          <w:numId w:val="2"/>
        </w:numPr>
        <w:rPr>
          <w:rFonts w:ascii="Times New Roman" w:hAnsi="Times New Roman" w:cs="Times New Roman"/>
          <w:sz w:val="24"/>
          <w:szCs w:val="24"/>
        </w:rPr>
      </w:pPr>
      <w:r w:rsidRPr="001611AF">
        <w:rPr>
          <w:rFonts w:ascii="Times New Roman" w:hAnsi="Times New Roman" w:cs="Times New Roman"/>
          <w:sz w:val="24"/>
          <w:szCs w:val="24"/>
        </w:rPr>
        <w:t>Sea Level Rise</w:t>
      </w:r>
    </w:p>
    <w:p w14:paraId="44D4B7E2" w14:textId="77777777" w:rsidR="00305398" w:rsidRPr="001611AF" w:rsidRDefault="00305398" w:rsidP="00305398">
      <w:pPr>
        <w:pStyle w:val="ListParagraph"/>
        <w:numPr>
          <w:ilvl w:val="0"/>
          <w:numId w:val="2"/>
        </w:numPr>
        <w:rPr>
          <w:rFonts w:ascii="Times New Roman" w:hAnsi="Times New Roman" w:cs="Times New Roman"/>
          <w:sz w:val="24"/>
          <w:szCs w:val="24"/>
        </w:rPr>
      </w:pPr>
      <w:r w:rsidRPr="001611AF">
        <w:rPr>
          <w:rFonts w:ascii="Times New Roman" w:hAnsi="Times New Roman" w:cs="Times New Roman"/>
          <w:sz w:val="24"/>
          <w:szCs w:val="24"/>
        </w:rPr>
        <w:t>Inland Flood</w:t>
      </w:r>
    </w:p>
    <w:p w14:paraId="2F9F2887" w14:textId="77777777" w:rsidR="00305398" w:rsidRPr="001611AF" w:rsidRDefault="00305398" w:rsidP="00305398">
      <w:pPr>
        <w:pStyle w:val="ListParagraph"/>
        <w:numPr>
          <w:ilvl w:val="0"/>
          <w:numId w:val="2"/>
        </w:numPr>
        <w:rPr>
          <w:rFonts w:ascii="Times New Roman" w:hAnsi="Times New Roman" w:cs="Times New Roman"/>
          <w:sz w:val="24"/>
          <w:szCs w:val="24"/>
        </w:rPr>
      </w:pPr>
      <w:r w:rsidRPr="001611AF">
        <w:rPr>
          <w:rFonts w:ascii="Times New Roman" w:hAnsi="Times New Roman" w:cs="Times New Roman"/>
          <w:sz w:val="24"/>
          <w:szCs w:val="24"/>
        </w:rPr>
        <w:t>Hurricane</w:t>
      </w:r>
    </w:p>
    <w:p w14:paraId="07E28B34" w14:textId="498F7133"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Our prioritization first reflects the existing protection gaps in residential exposures in the United States, and where those unprotected exposures are most concentrated</w:t>
      </w:r>
      <w:r w:rsidR="001F758E">
        <w:rPr>
          <w:rFonts w:ascii="Times New Roman" w:hAnsi="Times New Roman" w:cs="Times New Roman"/>
          <w:sz w:val="24"/>
          <w:szCs w:val="24"/>
        </w:rPr>
        <w:t xml:space="preserve">. </w:t>
      </w:r>
    </w:p>
    <w:p w14:paraId="1902FA4C" w14:textId="14D474DB"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Earthquake risk, and particularly California earthquake risk, represents the highest priority risk to GSEs, because the take-up rates for homeowner’s earthquake insurance is very low</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In California, the number of homes that are protected with earthquake insurance hovers around 10%</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In other states it varies, but it is also very low</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means that significant earthquakes will result in many properties with significant-to-major damage, that are uninsured</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will of course heighten the likelihood of default, depending on the homeowner’s ability to repair damage from their own funds or access to financing</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Depending on the earthquake scenario examined, the difference between insured and insurable loss is substantial and the absolute loss figures for large earthquake easily exceed the $100 billon threshold</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For very large earthquake events, losses should be expected to be exacerbated by the impacts of demand surge (making repairs and rebuilding more costly and time consuming), hardships due to loss of use for damaged buildings, significant lifeline interruption (i.e., water, gas, electric services, and transportation), and secondary economic impacts especially affecting employment stability in the affected region</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Finally, hard to anticipate collateral hazards (i.e., dam failures, landslides, and </w:t>
      </w:r>
      <w:r w:rsidRPr="001611AF">
        <w:rPr>
          <w:rFonts w:ascii="Times New Roman" w:hAnsi="Times New Roman" w:cs="Times New Roman"/>
          <w:sz w:val="24"/>
          <w:szCs w:val="24"/>
        </w:rPr>
        <w:lastRenderedPageBreak/>
        <w:t>tsunami) would be expected to increase overall losses to residential construction, which would potentially be uninsured as well.</w:t>
      </w:r>
    </w:p>
    <w:p w14:paraId="2248F620" w14:textId="5CCEDEA3"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Also considered in this prioritization is the quickening pace of sea-level rise and its impact for coastal regions of the United States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impact is especially important as the proportion of United States residential exposures situated in coastal counties continues to grow</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sea-level rise is a critical driver of increasing flood risk associated with hurricane landfalls and Nor’easters, each delivering stronger impacts further inland as sea-levels increase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A good example of such risk increase is Hurricane Sandy in the New York area, where scientists have identified climate change to be responsible for 10-12% of the total storm surge impact</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Many areas along the Gulf and East coast of the United States are disasters waiting to happen</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A prime example of a high consequence storm surge catastrophe would be a large hurricane landfall in the Tampa-St. Petersburg region</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In combination with the enhanced risk due to sea-level rise, there is a significant lack of insurance protection for flood related hazards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should be a high concern to GSEs – one that will expand as sea-level rise from climate change continues</w:t>
      </w:r>
    </w:p>
    <w:p w14:paraId="5E6EC61F" w14:textId="17EC122F"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Climate change will also increase precipitation-related risk for inland areas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is directly related to the ability of a warmer atmosphere to hold more moisture, which in turn increases the potential for more intense precipitation events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will affect both tropical cyclone related rainfalls as well as other rain events not associated with tropical cyclones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Already, scientists have shown that increased precipitation in catastrophic flood events is attributable to climate change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In Hurricane Harvey, rapid attribution studies have shown that 20% or more of the total precipitation volume in that event are the result of climate change impacts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Again, low take-up rates for residential flood insurance (on the order of 30% or less in some critical areas), result in a significant credit risk for GSEs today, and it should be expected to increase in the future.</w:t>
      </w:r>
    </w:p>
    <w:p w14:paraId="5AB37C4F" w14:textId="49673F68"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Finally, hurricane risk in general should be considered a high priority. As noted above, hurricane related storm surge and inland flooding will increase with climate change while impacting residential properties that have low or no protection for flood-related damage. In addition to increased flooding effects, hurricane intensity is also expected to increase. Although the science is less settled on the exact amount of the expected increase, the consensus is that winds will increase enough to significantly expand the damage footprints of landfalling storms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Those same increased average winds may further increase the intensity of storm surge effects associated with those landfalling storms</w:t>
      </w:r>
      <w:r w:rsidR="00515856">
        <w:rPr>
          <w:rFonts w:ascii="Times New Roman" w:hAnsi="Times New Roman" w:cs="Times New Roman"/>
          <w:sz w:val="24"/>
          <w:szCs w:val="24"/>
        </w:rPr>
        <w:t xml:space="preserve">, </w:t>
      </w:r>
      <w:r w:rsidRPr="001611AF">
        <w:rPr>
          <w:rFonts w:ascii="Times New Roman" w:hAnsi="Times New Roman" w:cs="Times New Roman"/>
          <w:sz w:val="24"/>
          <w:szCs w:val="24"/>
        </w:rPr>
        <w:t>on top of the increase associated with the sea level rise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In the former, larger damage footprints will increase insured losses due to wind, but simultaneously, the effects of storm surge damage attributable to the same event will also likely increase, from the increased wind as well as sea level rise, while impacting uninsured (for flood) residential properties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In the latter, impacts to properties at risk for flood (both storm surge </w:t>
      </w:r>
      <w:r w:rsidR="00777713" w:rsidRPr="00D46053">
        <w:rPr>
          <w:rFonts w:ascii="Times New Roman" w:hAnsi="Times New Roman" w:cs="Times New Roman"/>
          <w:sz w:val="24"/>
          <w:szCs w:val="24"/>
        </w:rPr>
        <w:t>related,</w:t>
      </w:r>
      <w:r w:rsidRPr="001611AF">
        <w:rPr>
          <w:rFonts w:ascii="Times New Roman" w:hAnsi="Times New Roman" w:cs="Times New Roman"/>
          <w:sz w:val="24"/>
          <w:szCs w:val="24"/>
        </w:rPr>
        <w:t xml:space="preserve"> and rainfall related) will increase over time, exacerbating insurance protection gaps and increasing the risk of credit losses to GSEs.</w:t>
      </w:r>
    </w:p>
    <w:p w14:paraId="5E7D6017" w14:textId="77777777" w:rsidR="00305398" w:rsidRPr="001611AF" w:rsidRDefault="00305398" w:rsidP="00305398">
      <w:pPr>
        <w:pStyle w:val="Default"/>
        <w:rPr>
          <w:u w:val="single"/>
        </w:rPr>
      </w:pPr>
      <w:r w:rsidRPr="001611AF">
        <w:rPr>
          <w:u w:val="single"/>
        </w:rPr>
        <w:t xml:space="preserve">Q3. What methodologies, datasets, variables, assumptions, future climate scenarios, and measurement tools are used to measure and monitor climate risk to the national housing finance markets? Describe any gaps in available data that limit the ability to measure such risks. How could such data gaps be resolved? </w:t>
      </w:r>
    </w:p>
    <w:p w14:paraId="0ADC4646" w14:textId="77777777" w:rsidR="00305398" w:rsidRPr="001611AF" w:rsidRDefault="00305398" w:rsidP="00305398">
      <w:pPr>
        <w:rPr>
          <w:rFonts w:ascii="Times New Roman" w:hAnsi="Times New Roman" w:cs="Times New Roman"/>
          <w:sz w:val="24"/>
          <w:szCs w:val="24"/>
        </w:rPr>
      </w:pPr>
    </w:p>
    <w:p w14:paraId="3F809ED5" w14:textId="7E3C4496"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Quantifying climate change impacts on risk means informing short-term horizon view with longer-term intelligence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For any simulation model being employed, even for a one-year horizon, the characterization of risk and uncertainty needs to account for the progression of climate influence in a way that</w:t>
      </w:r>
      <w:r w:rsidR="00977E35">
        <w:rPr>
          <w:rFonts w:ascii="Times New Roman" w:hAnsi="Times New Roman" w:cs="Times New Roman"/>
          <w:sz w:val="24"/>
          <w:szCs w:val="24"/>
        </w:rPr>
        <w:t xml:space="preserve"> is </w:t>
      </w:r>
      <w:r w:rsidRPr="001611AF">
        <w:rPr>
          <w:rFonts w:ascii="Times New Roman" w:hAnsi="Times New Roman" w:cs="Times New Roman"/>
          <w:sz w:val="24"/>
          <w:szCs w:val="24"/>
        </w:rPr>
        <w:t xml:space="preserve">nuanced </w:t>
      </w:r>
      <w:r w:rsidR="00977E35">
        <w:rPr>
          <w:rFonts w:ascii="Times New Roman" w:hAnsi="Times New Roman" w:cs="Times New Roman"/>
          <w:sz w:val="24"/>
          <w:szCs w:val="24"/>
        </w:rPr>
        <w:t xml:space="preserve">and reflects </w:t>
      </w:r>
      <w:r w:rsidRPr="001611AF">
        <w:rPr>
          <w:rFonts w:ascii="Times New Roman" w:hAnsi="Times New Roman" w:cs="Times New Roman"/>
          <w:sz w:val="24"/>
          <w:szCs w:val="24"/>
        </w:rPr>
        <w:t xml:space="preserve">the physics of that </w:t>
      </w:r>
      <w:r w:rsidR="00777713" w:rsidRPr="00D46053">
        <w:rPr>
          <w:rFonts w:ascii="Times New Roman" w:hAnsi="Times New Roman" w:cs="Times New Roman"/>
          <w:sz w:val="24"/>
          <w:szCs w:val="24"/>
        </w:rPr>
        <w:t>region-peril</w:t>
      </w:r>
      <w:r w:rsidRPr="001611AF">
        <w:rPr>
          <w:rFonts w:ascii="Times New Roman" w:hAnsi="Times New Roman" w:cs="Times New Roman"/>
          <w:sz w:val="24"/>
          <w:szCs w:val="24"/>
        </w:rPr>
        <w:t xml:space="preserve"> combination</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Are there indications that the overall uncertainty modeled should be more robust because climate impacts could appear more quickly than anticipated? This is an important criterion for the usefulness of a vendor model – does the model allow users to modify baseline stochastics to test the sensitivity of climate influenced parameters? </w:t>
      </w:r>
      <w:r w:rsidR="00977E35">
        <w:rPr>
          <w:rFonts w:ascii="Times New Roman" w:hAnsi="Times New Roman" w:cs="Times New Roman"/>
          <w:sz w:val="24"/>
          <w:szCs w:val="24"/>
        </w:rPr>
        <w:t xml:space="preserve">It is important to establish </w:t>
      </w:r>
      <w:r w:rsidRPr="001611AF">
        <w:rPr>
          <w:rFonts w:ascii="Times New Roman" w:hAnsi="Times New Roman" w:cs="Times New Roman"/>
          <w:sz w:val="24"/>
          <w:szCs w:val="24"/>
        </w:rPr>
        <w:t>a climate change ramp for each peril being addressed and use that to gauge how robust the models are</w:t>
      </w:r>
      <w:r w:rsidR="001F758E">
        <w:rPr>
          <w:rFonts w:ascii="Times New Roman" w:hAnsi="Times New Roman" w:cs="Times New Roman"/>
          <w:sz w:val="24"/>
          <w:szCs w:val="24"/>
        </w:rPr>
        <w:t xml:space="preserve">. </w:t>
      </w:r>
      <w:r w:rsidR="00AD067E">
        <w:rPr>
          <w:rFonts w:ascii="Times New Roman" w:hAnsi="Times New Roman" w:cs="Times New Roman"/>
          <w:sz w:val="24"/>
          <w:szCs w:val="24"/>
        </w:rPr>
        <w:t xml:space="preserve">A </w:t>
      </w:r>
      <w:r w:rsidR="00777713">
        <w:rPr>
          <w:rFonts w:ascii="Times New Roman" w:hAnsi="Times New Roman" w:cs="Times New Roman"/>
          <w:sz w:val="24"/>
          <w:szCs w:val="24"/>
        </w:rPr>
        <w:t>rigorous</w:t>
      </w:r>
      <w:r w:rsidR="00AD067E">
        <w:rPr>
          <w:rFonts w:ascii="Times New Roman" w:hAnsi="Times New Roman" w:cs="Times New Roman"/>
          <w:sz w:val="24"/>
          <w:szCs w:val="24"/>
        </w:rPr>
        <w:t xml:space="preserve"> approach will also recognize </w:t>
      </w:r>
      <w:r w:rsidRPr="001611AF">
        <w:rPr>
          <w:rFonts w:ascii="Times New Roman" w:hAnsi="Times New Roman" w:cs="Times New Roman"/>
          <w:sz w:val="24"/>
          <w:szCs w:val="24"/>
        </w:rPr>
        <w:t xml:space="preserve">that scientific consensus about how future climates might affect perils is not about certainty – inter-model uncertainty </w:t>
      </w:r>
      <w:r w:rsidR="00F9049E" w:rsidRPr="001611AF">
        <w:rPr>
          <w:rFonts w:ascii="Times New Roman" w:hAnsi="Times New Roman" w:cs="Times New Roman"/>
          <w:sz w:val="24"/>
          <w:szCs w:val="24"/>
        </w:rPr>
        <w:t>is</w:t>
      </w:r>
      <w:r w:rsidRPr="001611AF">
        <w:rPr>
          <w:rFonts w:ascii="Times New Roman" w:hAnsi="Times New Roman" w:cs="Times New Roman"/>
          <w:sz w:val="24"/>
          <w:szCs w:val="24"/>
        </w:rPr>
        <w:t xml:space="preserve"> important information in how much variation needs to be anticipated in the ultimate view of risk</w:t>
      </w:r>
      <w:r w:rsidR="001F758E">
        <w:rPr>
          <w:rFonts w:ascii="Times New Roman" w:hAnsi="Times New Roman" w:cs="Times New Roman"/>
          <w:sz w:val="24"/>
          <w:szCs w:val="24"/>
        </w:rPr>
        <w:t xml:space="preserve">. </w:t>
      </w:r>
    </w:p>
    <w:p w14:paraId="445A1C15" w14:textId="69BFCF9B"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With respect to the influence of climate change on current and future risks, any valid quantification approach needs to recognize key non-stationary factors in addition to climate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Understanding that climate change risk is intertwined in many other non-stationary elements of a peril is critical for successful risk management practice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It is important to understand how model vendors and risk-assumers are capturing these interactions, as they often constructively interfere</w:t>
      </w:r>
      <w:r w:rsidR="001F758E">
        <w:rPr>
          <w:rFonts w:ascii="Times New Roman" w:hAnsi="Times New Roman" w:cs="Times New Roman"/>
          <w:sz w:val="24"/>
          <w:szCs w:val="24"/>
        </w:rPr>
        <w:t xml:space="preserve">. </w:t>
      </w:r>
    </w:p>
    <w:p w14:paraId="4FF42F24" w14:textId="05DAF89A"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It is also important to consider about how risk metrics might impact risk management decisions like exposure allocation and financing costs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For instance, if expected loss is the key measure, then the potential impact of climate change on loss volatility might be overlooked</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The shape of the distribution and how climate change might enhance short but impactful departures to high loss volatility should be an important consideration in how loss exposures are managed and financed</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Climate change can be an enhancer of volatility, recognizing that in a period of high volatility, both spatial and temporal correlation of loss exposures increase, which means portfolios can get significantly riskier from a risk allocation standpoint</w:t>
      </w:r>
      <w:r w:rsidR="001F758E">
        <w:rPr>
          <w:rFonts w:ascii="Times New Roman" w:hAnsi="Times New Roman" w:cs="Times New Roman"/>
          <w:sz w:val="24"/>
          <w:szCs w:val="24"/>
        </w:rPr>
        <w:t xml:space="preserve">. </w:t>
      </w:r>
    </w:p>
    <w:p w14:paraId="65C145ED" w14:textId="0FE4ACD5"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Finally, recognize the multiplicative effects of climate change</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Such impacts are sometimes “daylighted” because climate change effects operate on various natural systems in the background -- these separate physical systems can interact and sometimes coordinate to produce outcomes that are a multiplicative in degree</w:t>
      </w:r>
      <w:r w:rsidR="001F758E">
        <w:rPr>
          <w:rFonts w:ascii="Times New Roman" w:hAnsi="Times New Roman" w:cs="Times New Roman"/>
          <w:sz w:val="24"/>
          <w:szCs w:val="24"/>
        </w:rPr>
        <w:t xml:space="preserve">. </w:t>
      </w:r>
    </w:p>
    <w:p w14:paraId="42A48ABC" w14:textId="69203C2E" w:rsidR="00305398" w:rsidRPr="001611AF" w:rsidRDefault="00305398" w:rsidP="00305398">
      <w:pPr>
        <w:rPr>
          <w:rFonts w:ascii="Times New Roman" w:hAnsi="Times New Roman" w:cs="Times New Roman"/>
          <w:sz w:val="24"/>
          <w:szCs w:val="24"/>
        </w:rPr>
      </w:pPr>
      <w:r w:rsidRPr="001611AF">
        <w:rPr>
          <w:rFonts w:ascii="Times New Roman" w:hAnsi="Times New Roman" w:cs="Times New Roman"/>
          <w:sz w:val="24"/>
          <w:szCs w:val="24"/>
        </w:rPr>
        <w:t xml:space="preserve">For instance, when considering tropical cyclones, we generally understand </w:t>
      </w:r>
      <w:r w:rsidR="00AD067E">
        <w:rPr>
          <w:rFonts w:ascii="Times New Roman" w:hAnsi="Times New Roman" w:cs="Times New Roman"/>
          <w:sz w:val="24"/>
          <w:szCs w:val="24"/>
        </w:rPr>
        <w:t xml:space="preserve">that </w:t>
      </w:r>
      <w:r w:rsidRPr="001611AF">
        <w:rPr>
          <w:rFonts w:ascii="Times New Roman" w:hAnsi="Times New Roman" w:cs="Times New Roman"/>
          <w:sz w:val="24"/>
          <w:szCs w:val="24"/>
        </w:rPr>
        <w:t>climate change will slightly increase their intensity over time (i.e., wind velocity) and significantly increase their ability to deliver intense rain after landfall</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Sea-levels are also increasing at the same time, so climate change will expand catastrophic coastal impacts due to higher sea-levels coordinating with more wind driving larger storm surge – a multiplicative effect, which is yet again enhanced by average larger rainfall volumes and associated flooding aligned with the same catastrophe event</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These multiplicative effects will vary as each sub peril coordinates with the others, but importantly, the effect is very easy to underestimate.</w:t>
      </w:r>
    </w:p>
    <w:p w14:paraId="3D6B2EE1" w14:textId="5CDE23C5" w:rsidR="00305398" w:rsidRPr="001611AF" w:rsidRDefault="001F758E" w:rsidP="00305398">
      <w:pPr>
        <w:rPr>
          <w:rFonts w:ascii="Times New Roman" w:hAnsi="Times New Roman" w:cs="Times New Roman"/>
          <w:sz w:val="24"/>
          <w:szCs w:val="24"/>
        </w:rPr>
      </w:pPr>
      <w:r>
        <w:rPr>
          <w:rFonts w:ascii="Times New Roman" w:hAnsi="Times New Roman" w:cs="Times New Roman"/>
          <w:sz w:val="24"/>
          <w:szCs w:val="24"/>
        </w:rPr>
        <w:t xml:space="preserve">. </w:t>
      </w:r>
    </w:p>
    <w:p w14:paraId="53F24CBF" w14:textId="77777777" w:rsidR="00305398" w:rsidRPr="00D46053" w:rsidRDefault="00305398" w:rsidP="00305398">
      <w:pPr>
        <w:pStyle w:val="NoSpacing"/>
        <w:jc w:val="both"/>
        <w:rPr>
          <w:rFonts w:ascii="Times New Roman" w:hAnsi="Times New Roman" w:cs="Times New Roman"/>
          <w:b/>
          <w:bCs/>
          <w:color w:val="000000" w:themeColor="text1"/>
          <w:sz w:val="24"/>
          <w:szCs w:val="24"/>
          <w:u w:val="single"/>
          <w:shd w:val="clear" w:color="auto" w:fill="FFFFFF"/>
        </w:rPr>
      </w:pPr>
      <w:r w:rsidRPr="00D46053">
        <w:rPr>
          <w:rFonts w:ascii="Times New Roman" w:hAnsi="Times New Roman" w:cs="Times New Roman"/>
          <w:b/>
          <w:bCs/>
          <w:color w:val="000000" w:themeColor="text1"/>
          <w:sz w:val="24"/>
          <w:szCs w:val="24"/>
          <w:u w:val="single"/>
          <w:shd w:val="clear" w:color="auto" w:fill="FFFFFF"/>
        </w:rPr>
        <w:lastRenderedPageBreak/>
        <w:t>Conclusion</w:t>
      </w:r>
    </w:p>
    <w:p w14:paraId="11772184" w14:textId="77777777" w:rsidR="00305398" w:rsidRPr="00D46053" w:rsidRDefault="00305398" w:rsidP="00305398">
      <w:pPr>
        <w:pStyle w:val="NoSpacing"/>
        <w:jc w:val="both"/>
        <w:rPr>
          <w:rFonts w:ascii="Times New Roman" w:hAnsi="Times New Roman" w:cs="Times New Roman"/>
          <w:color w:val="000000" w:themeColor="text1"/>
          <w:sz w:val="24"/>
          <w:szCs w:val="24"/>
          <w:shd w:val="clear" w:color="auto" w:fill="FFFFFF"/>
        </w:rPr>
      </w:pPr>
    </w:p>
    <w:p w14:paraId="360F9904" w14:textId="091CE339" w:rsidR="00D73EDF" w:rsidRDefault="00305398">
      <w:pPr>
        <w:rPr>
          <w:rFonts w:ascii="Times New Roman" w:hAnsi="Times New Roman" w:cs="Times New Roman"/>
          <w:color w:val="000000" w:themeColor="text1"/>
          <w:sz w:val="24"/>
          <w:szCs w:val="24"/>
          <w:shd w:val="clear" w:color="auto" w:fill="FFFFFF"/>
        </w:rPr>
      </w:pPr>
      <w:proofErr w:type="spellStart"/>
      <w:r w:rsidRPr="00D46053">
        <w:rPr>
          <w:rFonts w:ascii="Times New Roman" w:hAnsi="Times New Roman" w:cs="Times New Roman"/>
          <w:color w:val="000000" w:themeColor="text1"/>
          <w:sz w:val="24"/>
          <w:szCs w:val="24"/>
          <w:shd w:val="clear" w:color="auto" w:fill="FFFFFF"/>
        </w:rPr>
        <w:t>RenaissanceRe</w:t>
      </w:r>
      <w:proofErr w:type="spellEnd"/>
      <w:r w:rsidRPr="00D46053">
        <w:rPr>
          <w:rFonts w:ascii="Times New Roman" w:hAnsi="Times New Roman" w:cs="Times New Roman"/>
          <w:color w:val="000000" w:themeColor="text1"/>
          <w:sz w:val="24"/>
          <w:szCs w:val="24"/>
          <w:shd w:val="clear" w:color="auto" w:fill="FFFFFF"/>
        </w:rPr>
        <w:t xml:space="preserve"> is supportive of the FHFA’s initiative as presented in its 2021 Climate RFI</w:t>
      </w:r>
      <w:r w:rsidR="001E273B" w:rsidRPr="00D46053">
        <w:rPr>
          <w:rFonts w:ascii="Times New Roman" w:hAnsi="Times New Roman" w:cs="Times New Roman"/>
          <w:color w:val="000000" w:themeColor="text1"/>
          <w:sz w:val="24"/>
          <w:szCs w:val="24"/>
          <w:shd w:val="clear" w:color="auto" w:fill="FFFFFF"/>
        </w:rPr>
        <w:t xml:space="preserve"> and are available to assist with the FHFA</w:t>
      </w:r>
      <w:r w:rsidR="00C57741">
        <w:rPr>
          <w:rFonts w:ascii="Times New Roman" w:hAnsi="Times New Roman" w:cs="Times New Roman"/>
          <w:color w:val="000000" w:themeColor="text1"/>
          <w:sz w:val="24"/>
          <w:szCs w:val="24"/>
          <w:shd w:val="clear" w:color="auto" w:fill="FFFFFF"/>
        </w:rPr>
        <w:t>’</w:t>
      </w:r>
      <w:r w:rsidR="001E273B" w:rsidRPr="00D46053">
        <w:rPr>
          <w:rFonts w:ascii="Times New Roman" w:hAnsi="Times New Roman" w:cs="Times New Roman"/>
          <w:color w:val="000000" w:themeColor="text1"/>
          <w:sz w:val="24"/>
          <w:szCs w:val="24"/>
          <w:shd w:val="clear" w:color="auto" w:fill="FFFFFF"/>
        </w:rPr>
        <w:t>s efforts to better understand, quantify and subsequently mitigate the impacts of climate and natural disaster risk to the GSEs, homeowners and taxpayers</w:t>
      </w:r>
      <w:r w:rsidR="001F758E">
        <w:rPr>
          <w:rFonts w:ascii="Times New Roman" w:hAnsi="Times New Roman" w:cs="Times New Roman"/>
          <w:color w:val="000000" w:themeColor="text1"/>
          <w:sz w:val="24"/>
          <w:szCs w:val="24"/>
          <w:shd w:val="clear" w:color="auto" w:fill="FFFFFF"/>
        </w:rPr>
        <w:t xml:space="preserve">. </w:t>
      </w:r>
      <w:r w:rsidR="00E278AE" w:rsidRPr="00D46053">
        <w:rPr>
          <w:rFonts w:ascii="Times New Roman" w:hAnsi="Times New Roman" w:cs="Times New Roman"/>
          <w:color w:val="000000" w:themeColor="text1"/>
          <w:sz w:val="24"/>
          <w:szCs w:val="24"/>
          <w:shd w:val="clear" w:color="auto" w:fill="FFFFFF"/>
        </w:rPr>
        <w:t>The reinsurance industry has a proven track record in providing innovative solutions to the challenges presented by unique and volatile events supporting both private and public enterprises</w:t>
      </w:r>
      <w:r w:rsidR="001F758E">
        <w:rPr>
          <w:rFonts w:ascii="Times New Roman" w:hAnsi="Times New Roman" w:cs="Times New Roman"/>
          <w:color w:val="000000" w:themeColor="text1"/>
          <w:sz w:val="24"/>
          <w:szCs w:val="24"/>
          <w:shd w:val="clear" w:color="auto" w:fill="FFFFFF"/>
        </w:rPr>
        <w:t xml:space="preserve">. </w:t>
      </w:r>
    </w:p>
    <w:p w14:paraId="09864AD6" w14:textId="77777777" w:rsidR="00D73EDF" w:rsidRDefault="00C57741">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At </w:t>
      </w:r>
      <w:proofErr w:type="spellStart"/>
      <w:r>
        <w:rPr>
          <w:rFonts w:ascii="Times New Roman" w:hAnsi="Times New Roman" w:cs="Times New Roman"/>
          <w:color w:val="000000" w:themeColor="text1"/>
          <w:sz w:val="24"/>
          <w:szCs w:val="24"/>
          <w:shd w:val="clear" w:color="auto" w:fill="FFFFFF"/>
        </w:rPr>
        <w:t>RenaissanceRe</w:t>
      </w:r>
      <w:proofErr w:type="spellEnd"/>
      <w:r>
        <w:rPr>
          <w:rFonts w:ascii="Times New Roman" w:hAnsi="Times New Roman" w:cs="Times New Roman"/>
          <w:color w:val="000000" w:themeColor="text1"/>
          <w:sz w:val="24"/>
          <w:szCs w:val="24"/>
          <w:shd w:val="clear" w:color="auto" w:fill="FFFFFF"/>
        </w:rPr>
        <w:t>, we have a long track record of leadership in applying our risk expertise and leveraging our partnerships to increase economic resiliency</w:t>
      </w:r>
      <w:r w:rsidR="00F06CF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We have made significant commitments to reduce the protection gap and mitigate the impact of climate change on </w:t>
      </w:r>
      <w:r w:rsidR="00F06CF0">
        <w:rPr>
          <w:rFonts w:ascii="Times New Roman" w:hAnsi="Times New Roman" w:cs="Times New Roman"/>
          <w:color w:val="000000" w:themeColor="text1"/>
          <w:sz w:val="24"/>
          <w:szCs w:val="24"/>
          <w:shd w:val="clear" w:color="auto" w:fill="FFFFFF"/>
        </w:rPr>
        <w:t xml:space="preserve">both </w:t>
      </w:r>
      <w:r>
        <w:rPr>
          <w:rFonts w:ascii="Times New Roman" w:hAnsi="Times New Roman" w:cs="Times New Roman"/>
          <w:color w:val="000000" w:themeColor="text1"/>
          <w:sz w:val="24"/>
          <w:szCs w:val="24"/>
          <w:shd w:val="clear" w:color="auto" w:fill="FFFFFF"/>
        </w:rPr>
        <w:t xml:space="preserve">populations and economies, including our active role in the Insurance Development Forum and </w:t>
      </w:r>
      <w:r w:rsidR="0001110E">
        <w:rPr>
          <w:rFonts w:ascii="Times New Roman" w:hAnsi="Times New Roman" w:cs="Times New Roman"/>
          <w:color w:val="000000" w:themeColor="text1"/>
          <w:sz w:val="24"/>
          <w:szCs w:val="24"/>
          <w:shd w:val="clear" w:color="auto" w:fill="FFFFFF"/>
        </w:rPr>
        <w:t xml:space="preserve">being a founding member of </w:t>
      </w:r>
      <w:r>
        <w:rPr>
          <w:rFonts w:ascii="Times New Roman" w:hAnsi="Times New Roman" w:cs="Times New Roman"/>
          <w:color w:val="000000" w:themeColor="text1"/>
          <w:sz w:val="24"/>
          <w:szCs w:val="24"/>
          <w:shd w:val="clear" w:color="auto" w:fill="FFFFFF"/>
        </w:rPr>
        <w:t xml:space="preserve">the Lloyd’s Disaster Risk Facility, within which we have proven how industry capabilities can be applied to </w:t>
      </w:r>
      <w:r w:rsidR="00195630">
        <w:rPr>
          <w:rFonts w:ascii="Times New Roman" w:hAnsi="Times New Roman" w:cs="Times New Roman"/>
          <w:color w:val="000000" w:themeColor="text1"/>
          <w:sz w:val="24"/>
          <w:szCs w:val="24"/>
          <w:shd w:val="clear" w:color="auto" w:fill="FFFFFF"/>
        </w:rPr>
        <w:t xml:space="preserve">reduce </w:t>
      </w:r>
      <w:r w:rsidR="004F2781">
        <w:rPr>
          <w:rFonts w:ascii="Times New Roman" w:hAnsi="Times New Roman" w:cs="Times New Roman"/>
          <w:color w:val="000000" w:themeColor="text1"/>
          <w:sz w:val="24"/>
          <w:szCs w:val="24"/>
          <w:shd w:val="clear" w:color="auto" w:fill="FFFFFF"/>
        </w:rPr>
        <w:t>risk</w:t>
      </w:r>
      <w:r>
        <w:rPr>
          <w:rFonts w:ascii="Times New Roman" w:hAnsi="Times New Roman" w:cs="Times New Roman"/>
          <w:color w:val="000000" w:themeColor="text1"/>
          <w:sz w:val="24"/>
          <w:szCs w:val="24"/>
          <w:shd w:val="clear" w:color="auto" w:fill="FFFFFF"/>
        </w:rPr>
        <w:t xml:space="preserve"> and promote resilience. </w:t>
      </w:r>
    </w:p>
    <w:p w14:paraId="77B6BDD6" w14:textId="3445AE11" w:rsidR="00D73EDF" w:rsidRDefault="00E278AE">
      <w:pPr>
        <w:rPr>
          <w:rFonts w:ascii="Times New Roman" w:hAnsi="Times New Roman" w:cs="Times New Roman"/>
          <w:sz w:val="24"/>
          <w:szCs w:val="24"/>
        </w:rPr>
      </w:pPr>
      <w:r w:rsidRPr="00D46053">
        <w:rPr>
          <w:rFonts w:ascii="Times New Roman" w:hAnsi="Times New Roman" w:cs="Times New Roman"/>
          <w:color w:val="000000" w:themeColor="text1"/>
          <w:sz w:val="24"/>
          <w:szCs w:val="24"/>
          <w:shd w:val="clear" w:color="auto" w:fill="FFFFFF"/>
        </w:rPr>
        <w:t>Our view is that the</w:t>
      </w:r>
      <w:r w:rsidR="001F758E">
        <w:rPr>
          <w:rFonts w:ascii="Times New Roman" w:hAnsi="Times New Roman" w:cs="Times New Roman"/>
          <w:color w:val="000000" w:themeColor="text1"/>
          <w:sz w:val="24"/>
          <w:szCs w:val="24"/>
          <w:shd w:val="clear" w:color="auto" w:fill="FFFFFF"/>
        </w:rPr>
        <w:t xml:space="preserve"> </w:t>
      </w:r>
      <w:r w:rsidRPr="001611AF">
        <w:rPr>
          <w:rFonts w:ascii="Times New Roman" w:hAnsi="Times New Roman" w:cs="Times New Roman"/>
          <w:sz w:val="24"/>
          <w:szCs w:val="24"/>
        </w:rPr>
        <w:t>best way for the GSEs to protect themselves, and taxpayers, from the increasing weather-related risk exposure, is to pursue more risk transfer to the private sector</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This can be accomplished by traditional insurance/reinsurance, by insurance linked securities like traditional catastrophe bonds, or by more recent innovations like parametric bonds</w:t>
      </w:r>
      <w:r w:rsidR="001F758E">
        <w:rPr>
          <w:rFonts w:ascii="Times New Roman" w:hAnsi="Times New Roman" w:cs="Times New Roman"/>
          <w:sz w:val="24"/>
          <w:szCs w:val="24"/>
        </w:rPr>
        <w:t xml:space="preserve">. </w:t>
      </w:r>
    </w:p>
    <w:p w14:paraId="224D8E89" w14:textId="3E1EBF0B" w:rsidR="00305398" w:rsidRPr="00605FC0" w:rsidRDefault="00E278AE" w:rsidP="001611AF">
      <w:pPr>
        <w:rPr>
          <w:rFonts w:ascii="Times New Roman" w:hAnsi="Times New Roman" w:cs="Times New Roman"/>
          <w:color w:val="000000" w:themeColor="text1"/>
          <w:sz w:val="24"/>
          <w:szCs w:val="24"/>
        </w:rPr>
      </w:pPr>
      <w:r w:rsidRPr="001611AF">
        <w:rPr>
          <w:rFonts w:ascii="Times New Roman" w:hAnsi="Times New Roman" w:cs="Times New Roman"/>
          <w:sz w:val="24"/>
          <w:szCs w:val="24"/>
        </w:rPr>
        <w:t xml:space="preserve">Whatever the method, the underlying principle remains the same: to transfer risk from the GSE balance sheet to the </w:t>
      </w:r>
      <w:r w:rsidR="00850335">
        <w:rPr>
          <w:rFonts w:ascii="Times New Roman" w:hAnsi="Times New Roman" w:cs="Times New Roman"/>
          <w:sz w:val="24"/>
          <w:szCs w:val="24"/>
        </w:rPr>
        <w:t>private</w:t>
      </w:r>
      <w:r w:rsidRPr="001611AF">
        <w:rPr>
          <w:rFonts w:ascii="Times New Roman" w:hAnsi="Times New Roman" w:cs="Times New Roman"/>
          <w:sz w:val="24"/>
          <w:szCs w:val="24"/>
        </w:rPr>
        <w:t xml:space="preserve"> markets</w:t>
      </w:r>
      <w:r w:rsidR="001F758E">
        <w:rPr>
          <w:rFonts w:ascii="Times New Roman" w:hAnsi="Times New Roman" w:cs="Times New Roman"/>
          <w:sz w:val="24"/>
          <w:szCs w:val="24"/>
        </w:rPr>
        <w:t xml:space="preserve">.  </w:t>
      </w:r>
      <w:r w:rsidRPr="001611AF">
        <w:rPr>
          <w:rFonts w:ascii="Times New Roman" w:hAnsi="Times New Roman" w:cs="Times New Roman"/>
          <w:sz w:val="24"/>
          <w:szCs w:val="24"/>
        </w:rPr>
        <w:t xml:space="preserve">This would simultaneously reduce the risk of exposure to the taxpayer, while providing a critical feedback loop around the suitability of risk mitigation and aggregation measures currently being undertaken by the GSEs. </w:t>
      </w:r>
      <w:r w:rsidR="001F758E">
        <w:rPr>
          <w:rFonts w:ascii="Times New Roman" w:hAnsi="Times New Roman" w:cs="Times New Roman"/>
          <w:color w:val="000000" w:themeColor="text1"/>
          <w:sz w:val="24"/>
          <w:szCs w:val="24"/>
          <w:shd w:val="clear" w:color="auto" w:fill="FFFFFF"/>
        </w:rPr>
        <w:t xml:space="preserve"> </w:t>
      </w:r>
      <w:r w:rsidR="00D46053" w:rsidRPr="00D46053">
        <w:rPr>
          <w:rFonts w:ascii="Times New Roman" w:eastAsiaTheme="minorEastAsia" w:hAnsi="Times New Roman" w:cs="Times New Roman"/>
          <w:color w:val="000000" w:themeColor="text1"/>
          <w:sz w:val="24"/>
          <w:szCs w:val="24"/>
          <w:shd w:val="clear" w:color="auto" w:fill="FFFFFF"/>
        </w:rPr>
        <w:t>W</w:t>
      </w:r>
      <w:r w:rsidR="00305398" w:rsidRPr="00605FC0">
        <w:rPr>
          <w:rFonts w:ascii="Times New Roman" w:hAnsi="Times New Roman" w:cs="Times New Roman"/>
          <w:color w:val="000000" w:themeColor="text1"/>
          <w:sz w:val="24"/>
          <w:szCs w:val="24"/>
          <w:shd w:val="clear" w:color="auto" w:fill="FFFFFF"/>
        </w:rPr>
        <w:t>e are available to discuss various options with you in the future</w:t>
      </w:r>
      <w:r w:rsidR="001F758E">
        <w:rPr>
          <w:rFonts w:ascii="Times New Roman" w:hAnsi="Times New Roman" w:cs="Times New Roman"/>
          <w:color w:val="000000" w:themeColor="text1"/>
          <w:sz w:val="24"/>
          <w:szCs w:val="24"/>
          <w:shd w:val="clear" w:color="auto" w:fill="FFFFFF"/>
        </w:rPr>
        <w:t xml:space="preserve">. </w:t>
      </w:r>
      <w:r w:rsidR="00305398" w:rsidRPr="00605FC0">
        <w:rPr>
          <w:rFonts w:ascii="Times New Roman" w:hAnsi="Times New Roman" w:cs="Times New Roman"/>
          <w:color w:val="000000" w:themeColor="text1"/>
          <w:sz w:val="24"/>
          <w:szCs w:val="24"/>
        </w:rPr>
        <w:t xml:space="preserve">Please feel free to </w:t>
      </w:r>
      <w:r w:rsidR="00305398" w:rsidRPr="001611AF">
        <w:rPr>
          <w:rFonts w:ascii="Times New Roman" w:hAnsi="Times New Roman" w:cs="Times New Roman"/>
          <w:color w:val="000000" w:themeColor="text1"/>
          <w:sz w:val="24"/>
          <w:szCs w:val="24"/>
        </w:rPr>
        <w:t>me or others within our company</w:t>
      </w:r>
      <w:r w:rsidR="00305398" w:rsidRPr="00605FC0">
        <w:rPr>
          <w:rFonts w:ascii="Times New Roman" w:hAnsi="Times New Roman" w:cs="Times New Roman"/>
          <w:color w:val="000000" w:themeColor="text1"/>
          <w:sz w:val="24"/>
          <w:szCs w:val="24"/>
        </w:rPr>
        <w:t xml:space="preserve"> as you continue to consider your possible solutions going fo</w:t>
      </w:r>
      <w:r w:rsidR="00305398" w:rsidRPr="00A46118">
        <w:rPr>
          <w:rFonts w:ascii="Times New Roman" w:hAnsi="Times New Roman" w:cs="Times New Roman"/>
          <w:color w:val="000000" w:themeColor="text1"/>
          <w:sz w:val="24"/>
          <w:szCs w:val="24"/>
        </w:rPr>
        <w:t>rward</w:t>
      </w:r>
      <w:r w:rsidR="00305398" w:rsidRPr="00D46053">
        <w:rPr>
          <w:rFonts w:ascii="Times New Roman" w:hAnsi="Times New Roman" w:cs="Times New Roman"/>
          <w:color w:val="000000" w:themeColor="text1"/>
          <w:sz w:val="24"/>
          <w:szCs w:val="24"/>
        </w:rPr>
        <w:t>.</w:t>
      </w:r>
    </w:p>
    <w:p w14:paraId="1461DF7C" w14:textId="77777777" w:rsidR="00305398" w:rsidRPr="00D46053" w:rsidRDefault="00305398" w:rsidP="00305398">
      <w:pPr>
        <w:pStyle w:val="NoSpacing"/>
        <w:jc w:val="both"/>
        <w:rPr>
          <w:rFonts w:ascii="Times New Roman" w:hAnsi="Times New Roman" w:cs="Times New Roman"/>
          <w:color w:val="000000" w:themeColor="text1"/>
          <w:sz w:val="24"/>
          <w:szCs w:val="24"/>
        </w:rPr>
      </w:pPr>
    </w:p>
    <w:p w14:paraId="09C756FE" w14:textId="77777777" w:rsidR="00305398" w:rsidRPr="00D46053" w:rsidRDefault="00305398" w:rsidP="00305398">
      <w:pPr>
        <w:pStyle w:val="NoSpacing"/>
        <w:jc w:val="both"/>
        <w:rPr>
          <w:rFonts w:ascii="Times New Roman" w:hAnsi="Times New Roman" w:cs="Times New Roman"/>
          <w:color w:val="000000" w:themeColor="text1"/>
          <w:sz w:val="24"/>
          <w:szCs w:val="24"/>
        </w:rPr>
      </w:pPr>
      <w:r w:rsidRPr="00D46053">
        <w:rPr>
          <w:rFonts w:ascii="Times New Roman" w:hAnsi="Times New Roman" w:cs="Times New Roman"/>
          <w:color w:val="000000" w:themeColor="text1"/>
          <w:sz w:val="24"/>
          <w:szCs w:val="24"/>
        </w:rPr>
        <w:t>Sincerely,</w:t>
      </w:r>
    </w:p>
    <w:p w14:paraId="3F60F191" w14:textId="77777777" w:rsidR="00305398" w:rsidRPr="00D46053" w:rsidRDefault="00305398" w:rsidP="00305398">
      <w:pPr>
        <w:pStyle w:val="NoSpacing"/>
        <w:jc w:val="both"/>
        <w:rPr>
          <w:rFonts w:ascii="Times New Roman" w:hAnsi="Times New Roman" w:cs="Times New Roman"/>
          <w:color w:val="000000" w:themeColor="text1"/>
          <w:sz w:val="24"/>
          <w:szCs w:val="24"/>
        </w:rPr>
      </w:pPr>
    </w:p>
    <w:p w14:paraId="0520105C" w14:textId="3C93E648" w:rsidR="00305398" w:rsidRDefault="001611AF" w:rsidP="00305398">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Michael Cohen</w:t>
      </w:r>
    </w:p>
    <w:p w14:paraId="16304FBB" w14:textId="4F43EC74" w:rsidR="001611AF" w:rsidRPr="00D46053" w:rsidRDefault="001611AF" w:rsidP="00305398">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SVP, Chief Counsel—Government Affairs</w:t>
      </w:r>
    </w:p>
    <w:p w14:paraId="31741B05" w14:textId="77777777" w:rsidR="00A16430" w:rsidRPr="001611AF" w:rsidRDefault="00A16430" w:rsidP="00305398">
      <w:pPr>
        <w:rPr>
          <w:rFonts w:ascii="Times New Roman" w:hAnsi="Times New Roman" w:cs="Times New Roman"/>
          <w:sz w:val="24"/>
          <w:szCs w:val="24"/>
        </w:rPr>
      </w:pPr>
    </w:p>
    <w:sectPr w:rsidR="00A16430" w:rsidRPr="00161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807F" w14:textId="77777777" w:rsidR="0093051D" w:rsidRDefault="0093051D" w:rsidP="00A16430">
      <w:pPr>
        <w:spacing w:after="0" w:line="240" w:lineRule="auto"/>
      </w:pPr>
      <w:r>
        <w:separator/>
      </w:r>
    </w:p>
  </w:endnote>
  <w:endnote w:type="continuationSeparator" w:id="0">
    <w:p w14:paraId="14987521" w14:textId="77777777" w:rsidR="0093051D" w:rsidRDefault="0093051D" w:rsidP="00A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CE84" w14:textId="77777777" w:rsidR="0093051D" w:rsidRDefault="0093051D" w:rsidP="00A16430">
      <w:pPr>
        <w:spacing w:after="0" w:line="240" w:lineRule="auto"/>
      </w:pPr>
      <w:r>
        <w:separator/>
      </w:r>
    </w:p>
  </w:footnote>
  <w:footnote w:type="continuationSeparator" w:id="0">
    <w:p w14:paraId="53461604" w14:textId="77777777" w:rsidR="0093051D" w:rsidRDefault="0093051D" w:rsidP="00A16430">
      <w:pPr>
        <w:spacing w:after="0" w:line="240" w:lineRule="auto"/>
      </w:pPr>
      <w:r>
        <w:continuationSeparator/>
      </w:r>
    </w:p>
  </w:footnote>
  <w:footnote w:id="1">
    <w:p w14:paraId="6DCB6CEA" w14:textId="6CC28733" w:rsidR="00556349" w:rsidRDefault="00556349">
      <w:pPr>
        <w:pStyle w:val="FootnoteText"/>
      </w:pPr>
      <w:r>
        <w:rPr>
          <w:rStyle w:val="FootnoteReference"/>
        </w:rPr>
        <w:footnoteRef/>
      </w:r>
      <w:r>
        <w:t xml:space="preserve"> </w:t>
      </w:r>
      <w:r w:rsidRPr="00556349">
        <w:t>https://www.corelogic.com/blog/2018/09/the-impact-of-natural-catastrophe-on-mortgage-delinquency.aspx</w:t>
      </w:r>
    </w:p>
  </w:footnote>
  <w:footnote w:id="2">
    <w:p w14:paraId="04C92767" w14:textId="50BAABDE" w:rsidR="00256F2E" w:rsidRDefault="00256F2E">
      <w:pPr>
        <w:pStyle w:val="FootnoteText"/>
      </w:pPr>
      <w:r>
        <w:rPr>
          <w:rStyle w:val="FootnoteReference"/>
        </w:rPr>
        <w:footnoteRef/>
      </w:r>
      <w:r>
        <w:t xml:space="preserve"> </w:t>
      </w:r>
      <w:r>
        <w:tab/>
        <w:t>Similarly, e</w:t>
      </w:r>
      <w:r w:rsidRPr="00256F2E">
        <w:t>nsuing</w:t>
      </w:r>
      <w:r w:rsidRPr="00256F2E">
        <w:t/>
      </w:r>
      <w:r w:rsidRPr="00256F2E">
        <w:t xml:space="preserve"> fire from earthquake presents a very real and extreme risk for areas of high-density wood-frame construction. The risk of conflagration after an earthquake, while rare and expected to be covered by </w:t>
      </w:r>
      <w:r>
        <w:t xml:space="preserve">the borrower’s </w:t>
      </w:r>
      <w:r w:rsidRPr="00256F2E">
        <w:t>insurance, could also result in a change in the desirability of high-density residential housing in the aftermath of a large earthquake, especially as an informed public would correctly anticipate strong and impactful aftershocks in the months following the mainshock event. Recent conflagration examples from wildfire events in California amply demonstrate the credibility of this risk to high-density wood frame construction. Of course, the 1906 Great San Francisco Earthquake caused a devastating conflagration that destroyed much of that city. This remains an important consequence of earthquake risk in many regions of the United States.</w:t>
      </w:r>
    </w:p>
  </w:footnote>
  <w:footnote w:id="3">
    <w:p w14:paraId="207A4966" w14:textId="1BFB4C63" w:rsidR="00FA6779" w:rsidRDefault="00FA6779" w:rsidP="00977E35">
      <w:pPr>
        <w:pStyle w:val="FootnoteText"/>
      </w:pPr>
      <w:r>
        <w:rPr>
          <w:rStyle w:val="FootnoteReference"/>
        </w:rPr>
        <w:footnoteRef/>
      </w:r>
      <w:r>
        <w:t xml:space="preserve"> </w:t>
      </w:r>
      <w:r w:rsidR="00977E35">
        <w:tab/>
      </w:r>
      <w:hyperlink r:id="rId1" w:history="1">
        <w:r w:rsidRPr="00BD6424">
          <w:rPr>
            <w:rStyle w:val="Hyperlink"/>
            <w:rFonts w:ascii="Times New Roman" w:hAnsi="Times New Roman" w:cs="Times New Roman"/>
          </w:rPr>
          <w:t>https://www.nber.org/papers/w27930</w:t>
        </w:r>
      </w:hyperlink>
    </w:p>
  </w:footnote>
  <w:footnote w:id="4">
    <w:p w14:paraId="4CA2B71F" w14:textId="6DF4C170" w:rsidR="00977E35" w:rsidRDefault="00977E35">
      <w:pPr>
        <w:pStyle w:val="FootnoteText"/>
      </w:pPr>
      <w:r>
        <w:rPr>
          <w:rStyle w:val="FootnoteReference"/>
        </w:rPr>
        <w:footnoteRef/>
      </w:r>
      <w:r>
        <w:t xml:space="preserve"> </w:t>
      </w:r>
      <w:r>
        <w:tab/>
      </w:r>
      <w:hyperlink r:id="rId2" w:history="1">
        <w:r w:rsidRPr="00977E35">
          <w:rPr>
            <w:rStyle w:val="Hyperlink"/>
          </w:rPr>
          <w:t>https://www.corelogic.com/news/protecting-the-american-dream-corelogic-finds-opportunities-for-insurers-to-better-protect-homeowners-from-flood-damage.aspx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15EF"/>
    <w:multiLevelType w:val="hybridMultilevel"/>
    <w:tmpl w:val="231C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0133E"/>
    <w:multiLevelType w:val="hybridMultilevel"/>
    <w:tmpl w:val="9CCCB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30"/>
    <w:rsid w:val="0000253C"/>
    <w:rsid w:val="0001110E"/>
    <w:rsid w:val="000C196F"/>
    <w:rsid w:val="000F5EE6"/>
    <w:rsid w:val="0015503F"/>
    <w:rsid w:val="001611AF"/>
    <w:rsid w:val="00195630"/>
    <w:rsid w:val="001B63C3"/>
    <w:rsid w:val="001E273B"/>
    <w:rsid w:val="001F5B73"/>
    <w:rsid w:val="001F758E"/>
    <w:rsid w:val="00256F2E"/>
    <w:rsid w:val="0026429A"/>
    <w:rsid w:val="00283241"/>
    <w:rsid w:val="0028574D"/>
    <w:rsid w:val="00305398"/>
    <w:rsid w:val="003349E5"/>
    <w:rsid w:val="00375A96"/>
    <w:rsid w:val="003A0F8E"/>
    <w:rsid w:val="003A2AD4"/>
    <w:rsid w:val="004B3E5C"/>
    <w:rsid w:val="004F2781"/>
    <w:rsid w:val="004F4E75"/>
    <w:rsid w:val="00502B5F"/>
    <w:rsid w:val="00514993"/>
    <w:rsid w:val="00515856"/>
    <w:rsid w:val="00556349"/>
    <w:rsid w:val="0058226B"/>
    <w:rsid w:val="005A2B34"/>
    <w:rsid w:val="005C6FA0"/>
    <w:rsid w:val="005E48D9"/>
    <w:rsid w:val="005F32EB"/>
    <w:rsid w:val="00603C3C"/>
    <w:rsid w:val="00605FC0"/>
    <w:rsid w:val="006903AC"/>
    <w:rsid w:val="006D15C9"/>
    <w:rsid w:val="00777713"/>
    <w:rsid w:val="007E3319"/>
    <w:rsid w:val="007E7713"/>
    <w:rsid w:val="00850335"/>
    <w:rsid w:val="008B03A2"/>
    <w:rsid w:val="008C08D5"/>
    <w:rsid w:val="0093051D"/>
    <w:rsid w:val="00937EF9"/>
    <w:rsid w:val="00955F31"/>
    <w:rsid w:val="00977E35"/>
    <w:rsid w:val="009C0FF7"/>
    <w:rsid w:val="00A16430"/>
    <w:rsid w:val="00A46118"/>
    <w:rsid w:val="00A54272"/>
    <w:rsid w:val="00A80F54"/>
    <w:rsid w:val="00AB16DB"/>
    <w:rsid w:val="00AD067E"/>
    <w:rsid w:val="00B704B3"/>
    <w:rsid w:val="00BD6424"/>
    <w:rsid w:val="00C402B4"/>
    <w:rsid w:val="00C57741"/>
    <w:rsid w:val="00CF721F"/>
    <w:rsid w:val="00D46053"/>
    <w:rsid w:val="00D73EDF"/>
    <w:rsid w:val="00D7765E"/>
    <w:rsid w:val="00DA34D3"/>
    <w:rsid w:val="00E1230A"/>
    <w:rsid w:val="00E278AE"/>
    <w:rsid w:val="00E30FEF"/>
    <w:rsid w:val="00E51FC1"/>
    <w:rsid w:val="00E9076E"/>
    <w:rsid w:val="00E96F43"/>
    <w:rsid w:val="00ED028C"/>
    <w:rsid w:val="00F06B33"/>
    <w:rsid w:val="00F06CF0"/>
    <w:rsid w:val="00F83A4E"/>
    <w:rsid w:val="00F9049E"/>
    <w:rsid w:val="00FA6779"/>
    <w:rsid w:val="00FF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2841"/>
  <w15:chartTrackingRefBased/>
  <w15:docId w15:val="{BA2C857C-4815-47B4-ACA9-9E2D6C3A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430"/>
    <w:rPr>
      <w:color w:val="0563C1"/>
      <w:u w:val="single"/>
    </w:rPr>
  </w:style>
  <w:style w:type="paragraph" w:styleId="FootnoteText">
    <w:name w:val="footnote text"/>
    <w:basedOn w:val="Normal"/>
    <w:link w:val="FootnoteTextChar"/>
    <w:uiPriority w:val="99"/>
    <w:semiHidden/>
    <w:unhideWhenUsed/>
    <w:rsid w:val="00A1643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16430"/>
    <w:rPr>
      <w:rFonts w:eastAsiaTheme="minorEastAsia"/>
      <w:sz w:val="20"/>
      <w:szCs w:val="20"/>
    </w:rPr>
  </w:style>
  <w:style w:type="paragraph" w:styleId="NoSpacing">
    <w:name w:val="No Spacing"/>
    <w:uiPriority w:val="1"/>
    <w:qFormat/>
    <w:rsid w:val="00A16430"/>
    <w:pPr>
      <w:spacing w:after="0" w:line="240" w:lineRule="auto"/>
    </w:pPr>
    <w:rPr>
      <w:rFonts w:eastAsiaTheme="minorEastAsia"/>
      <w:sz w:val="21"/>
      <w:szCs w:val="21"/>
    </w:rPr>
  </w:style>
  <w:style w:type="character" w:styleId="FootnoteReference">
    <w:name w:val="footnote reference"/>
    <w:basedOn w:val="DefaultParagraphFont"/>
    <w:uiPriority w:val="99"/>
    <w:semiHidden/>
    <w:unhideWhenUsed/>
    <w:rsid w:val="00A16430"/>
    <w:rPr>
      <w:vertAlign w:val="superscript"/>
    </w:rPr>
  </w:style>
  <w:style w:type="paragraph" w:styleId="ListParagraph">
    <w:name w:val="List Paragraph"/>
    <w:basedOn w:val="Normal"/>
    <w:uiPriority w:val="34"/>
    <w:qFormat/>
    <w:rsid w:val="009C0FF7"/>
    <w:pPr>
      <w:ind w:left="720"/>
      <w:contextualSpacing/>
    </w:pPr>
  </w:style>
  <w:style w:type="paragraph" w:customStyle="1" w:styleId="Default">
    <w:name w:val="Default"/>
    <w:basedOn w:val="Normal"/>
    <w:rsid w:val="009C0FF7"/>
    <w:pPr>
      <w:autoSpaceDE w:val="0"/>
      <w:autoSpaceDN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F721F"/>
    <w:rPr>
      <w:sz w:val="16"/>
      <w:szCs w:val="16"/>
    </w:rPr>
  </w:style>
  <w:style w:type="paragraph" w:styleId="CommentText">
    <w:name w:val="annotation text"/>
    <w:basedOn w:val="Normal"/>
    <w:link w:val="CommentTextChar"/>
    <w:uiPriority w:val="99"/>
    <w:unhideWhenUsed/>
    <w:rsid w:val="00CF721F"/>
    <w:pPr>
      <w:spacing w:line="240" w:lineRule="auto"/>
    </w:pPr>
    <w:rPr>
      <w:sz w:val="20"/>
      <w:szCs w:val="20"/>
    </w:rPr>
  </w:style>
  <w:style w:type="character" w:customStyle="1" w:styleId="CommentTextChar">
    <w:name w:val="Comment Text Char"/>
    <w:basedOn w:val="DefaultParagraphFont"/>
    <w:link w:val="CommentText"/>
    <w:uiPriority w:val="99"/>
    <w:rsid w:val="00CF721F"/>
    <w:rPr>
      <w:sz w:val="20"/>
      <w:szCs w:val="20"/>
    </w:rPr>
  </w:style>
  <w:style w:type="paragraph" w:styleId="CommentSubject">
    <w:name w:val="annotation subject"/>
    <w:basedOn w:val="CommentText"/>
    <w:next w:val="CommentText"/>
    <w:link w:val="CommentSubjectChar"/>
    <w:uiPriority w:val="99"/>
    <w:semiHidden/>
    <w:unhideWhenUsed/>
    <w:rsid w:val="00CF721F"/>
    <w:rPr>
      <w:b/>
      <w:bCs/>
    </w:rPr>
  </w:style>
  <w:style w:type="character" w:customStyle="1" w:styleId="CommentSubjectChar">
    <w:name w:val="Comment Subject Char"/>
    <w:basedOn w:val="CommentTextChar"/>
    <w:link w:val="CommentSubject"/>
    <w:uiPriority w:val="99"/>
    <w:semiHidden/>
    <w:rsid w:val="00CF721F"/>
    <w:rPr>
      <w:b/>
      <w:bCs/>
      <w:sz w:val="20"/>
      <w:szCs w:val="20"/>
    </w:rPr>
  </w:style>
  <w:style w:type="character" w:styleId="UnresolvedMention">
    <w:name w:val="Unresolved Mention"/>
    <w:basedOn w:val="DefaultParagraphFont"/>
    <w:uiPriority w:val="99"/>
    <w:semiHidden/>
    <w:unhideWhenUsed/>
    <w:rsid w:val="00977E35"/>
    <w:rPr>
      <w:color w:val="605E5C"/>
      <w:shd w:val="clear" w:color="auto" w:fill="E1DFDD"/>
    </w:rPr>
  </w:style>
  <w:style w:type="paragraph" w:styleId="Revision">
    <w:name w:val="Revision"/>
    <w:hidden/>
    <w:uiPriority w:val="99"/>
    <w:semiHidden/>
    <w:rsid w:val="00AD0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8950">
      <w:bodyDiv w:val="1"/>
      <w:marLeft w:val="0"/>
      <w:marRight w:val="0"/>
      <w:marTop w:val="0"/>
      <w:marBottom w:val="0"/>
      <w:divBdr>
        <w:top w:val="none" w:sz="0" w:space="0" w:color="auto"/>
        <w:left w:val="none" w:sz="0" w:space="0" w:color="auto"/>
        <w:bottom w:val="none" w:sz="0" w:space="0" w:color="auto"/>
        <w:right w:val="none" w:sz="0" w:space="0" w:color="auto"/>
      </w:divBdr>
    </w:div>
    <w:div w:id="978414059">
      <w:bodyDiv w:val="1"/>
      <w:marLeft w:val="0"/>
      <w:marRight w:val="0"/>
      <w:marTop w:val="0"/>
      <w:marBottom w:val="0"/>
      <w:divBdr>
        <w:top w:val="none" w:sz="0" w:space="0" w:color="auto"/>
        <w:left w:val="none" w:sz="0" w:space="0" w:color="auto"/>
        <w:bottom w:val="none" w:sz="0" w:space="0" w:color="auto"/>
        <w:right w:val="none" w:sz="0" w:space="0" w:color="auto"/>
      </w:divBdr>
    </w:div>
    <w:div w:id="10869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relogic.com/news/protecting-the-american-dream-corelogic-finds-opportunities-for-insurers-to-better-protect-homeowners-from-flood-damage.aspx" TargetMode="External"/><Relationship Id="rId1" Type="http://schemas.openxmlformats.org/officeDocument/2006/relationships/hyperlink" Target="https://www.nber.org/papers/w27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C97E1-819E-4E7D-9B7A-BD34E7AAFF11}">
  <ds:schemaRefs>
    <ds:schemaRef ds:uri="http://schemas.openxmlformats.org/officeDocument/2006/bibliography"/>
  </ds:schemaRefs>
</ds:datastoreItem>
</file>

<file path=customXml/itemProps2.xml><?xml version="1.0" encoding="utf-8"?>
<ds:datastoreItem xmlns:ds="http://schemas.openxmlformats.org/officeDocument/2006/customXml" ds:itemID="{C942B629-2CCD-46EA-9658-8ABF8800EBB9}"/>
</file>

<file path=customXml/itemProps3.xml><?xml version="1.0" encoding="utf-8"?>
<ds:datastoreItem xmlns:ds="http://schemas.openxmlformats.org/officeDocument/2006/customXml" ds:itemID="{AA1D3DAF-BF89-44EC-896E-58A2A54CEBE6}"/>
</file>

<file path=customXml/itemProps4.xml><?xml version="1.0" encoding="utf-8"?>
<ds:datastoreItem xmlns:ds="http://schemas.openxmlformats.org/officeDocument/2006/customXml" ds:itemID="{A15BA12F-6331-4726-89D6-227C5F096636}"/>
</file>

<file path=docProps/app.xml><?xml version="1.0" encoding="utf-8"?>
<Properties xmlns="http://schemas.openxmlformats.org/officeDocument/2006/extended-properties" xmlns:vt="http://schemas.openxmlformats.org/officeDocument/2006/docPropsVTypes">
  <Template>Normal</Template>
  <TotalTime>6</TotalTime>
  <Pages>7</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Michael</dc:creator>
  <cp:keywords/>
  <dc:description/>
  <cp:lastModifiedBy>Cohen, Michael</cp:lastModifiedBy>
  <cp:revision>6</cp:revision>
  <dcterms:created xsi:type="dcterms:W3CDTF">2021-04-19T19:13:00Z</dcterms:created>
  <dcterms:modified xsi:type="dcterms:W3CDTF">2021-04-19T19:27:00Z</dcterms:modified>
</cp:coreProperties>
</file>