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ED74A" w14:textId="77777777" w:rsidR="005723F7" w:rsidRDefault="005723F7" w:rsidP="00C45912">
      <w:pPr>
        <w:spacing w:after="0" w:line="240" w:lineRule="auto"/>
        <w:ind w:left="3600" w:firstLine="720"/>
        <w:jc w:val="center"/>
        <w:rPr>
          <w:rFonts w:ascii="Times New Roman" w:hAnsi="Times New Roman" w:cs="Times New Roman"/>
          <w:sz w:val="24"/>
          <w:szCs w:val="24"/>
        </w:rPr>
      </w:pPr>
    </w:p>
    <w:p w14:paraId="021608F4" w14:textId="77777777" w:rsidR="005B3743" w:rsidRDefault="005B3743" w:rsidP="00C45912">
      <w:pPr>
        <w:spacing w:after="0" w:line="240" w:lineRule="auto"/>
        <w:ind w:left="3600" w:firstLine="720"/>
        <w:jc w:val="center"/>
        <w:rPr>
          <w:rFonts w:ascii="Times New Roman" w:hAnsi="Times New Roman" w:cs="Times New Roman"/>
          <w:sz w:val="24"/>
          <w:szCs w:val="24"/>
        </w:rPr>
      </w:pPr>
    </w:p>
    <w:p w14:paraId="22622EAB" w14:textId="7A1FABE3" w:rsidR="00C45912" w:rsidRDefault="00E444D4" w:rsidP="00A35FC1">
      <w:pPr>
        <w:spacing w:after="0" w:line="240" w:lineRule="auto"/>
        <w:ind w:left="4320" w:firstLine="720"/>
        <w:jc w:val="center"/>
        <w:rPr>
          <w:rFonts w:ascii="Times New Roman" w:hAnsi="Times New Roman" w:cs="Times New Roman"/>
          <w:sz w:val="24"/>
          <w:szCs w:val="24"/>
        </w:rPr>
      </w:pPr>
      <w:r>
        <w:rPr>
          <w:rFonts w:ascii="Times New Roman" w:hAnsi="Times New Roman" w:cs="Times New Roman"/>
          <w:sz w:val="24"/>
          <w:szCs w:val="24"/>
        </w:rPr>
        <w:t xml:space="preserve">September </w:t>
      </w:r>
      <w:r w:rsidR="009F315C">
        <w:rPr>
          <w:rFonts w:ascii="Times New Roman" w:hAnsi="Times New Roman" w:cs="Times New Roman"/>
          <w:sz w:val="24"/>
          <w:szCs w:val="24"/>
        </w:rPr>
        <w:t>5</w:t>
      </w:r>
      <w:r w:rsidR="00C45912">
        <w:rPr>
          <w:rFonts w:ascii="Times New Roman" w:hAnsi="Times New Roman" w:cs="Times New Roman"/>
          <w:sz w:val="24"/>
          <w:szCs w:val="24"/>
        </w:rPr>
        <w:t>, 2014</w:t>
      </w:r>
    </w:p>
    <w:p w14:paraId="2BA5082D" w14:textId="77777777" w:rsidR="00C45912" w:rsidRDefault="00C45912" w:rsidP="00A6689B">
      <w:pPr>
        <w:spacing w:after="0" w:line="240" w:lineRule="auto"/>
        <w:ind w:left="1440" w:hanging="1440"/>
        <w:rPr>
          <w:rFonts w:ascii="Times New Roman" w:hAnsi="Times New Roman" w:cs="Times New Roman"/>
          <w:sz w:val="24"/>
          <w:szCs w:val="24"/>
        </w:rPr>
      </w:pPr>
    </w:p>
    <w:p w14:paraId="75377DB6" w14:textId="77777777" w:rsidR="00C45912" w:rsidRDefault="00C45912" w:rsidP="00A6689B">
      <w:pPr>
        <w:spacing w:after="0" w:line="240" w:lineRule="auto"/>
        <w:ind w:left="1440" w:hanging="1440"/>
        <w:rPr>
          <w:rFonts w:ascii="Times New Roman" w:hAnsi="Times New Roman" w:cs="Times New Roman"/>
          <w:sz w:val="24"/>
          <w:szCs w:val="24"/>
        </w:rPr>
      </w:pPr>
    </w:p>
    <w:p w14:paraId="33772DC7" w14:textId="77777777" w:rsidR="00C90A77" w:rsidRDefault="00C90A77" w:rsidP="00C90A77">
      <w:pPr>
        <w:rPr>
          <w:color w:val="1F497D"/>
        </w:rPr>
      </w:pPr>
    </w:p>
    <w:p w14:paraId="53F01952" w14:textId="77777777" w:rsidR="00C90A77" w:rsidRDefault="00C90A77" w:rsidP="00A6689B">
      <w:pPr>
        <w:spacing w:after="0" w:line="240" w:lineRule="auto"/>
        <w:ind w:left="1440" w:hanging="1440"/>
        <w:rPr>
          <w:rFonts w:ascii="Times New Roman" w:hAnsi="Times New Roman" w:cs="Times New Roman"/>
          <w:sz w:val="24"/>
          <w:szCs w:val="24"/>
        </w:rPr>
      </w:pPr>
    </w:p>
    <w:p w14:paraId="6CDEA760" w14:textId="77777777" w:rsidR="006A26AD" w:rsidRDefault="006A26AD" w:rsidP="00A6689B">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Federal Housing Finance Agency</w:t>
      </w:r>
    </w:p>
    <w:p w14:paraId="34C7FC3F" w14:textId="77777777" w:rsidR="00A6689B" w:rsidRDefault="00A6689B" w:rsidP="00A6689B">
      <w:pPr>
        <w:spacing w:after="0" w:line="240" w:lineRule="auto"/>
        <w:ind w:left="1440" w:hanging="1440"/>
        <w:rPr>
          <w:rFonts w:ascii="Times New Roman" w:hAnsi="Times New Roman" w:cs="Times New Roman"/>
          <w:sz w:val="24"/>
          <w:szCs w:val="24"/>
        </w:rPr>
      </w:pPr>
      <w:r w:rsidRPr="00A6689B">
        <w:rPr>
          <w:rFonts w:ascii="Times New Roman" w:hAnsi="Times New Roman" w:cs="Times New Roman"/>
          <w:sz w:val="24"/>
          <w:szCs w:val="24"/>
        </w:rPr>
        <w:t>Office o</w:t>
      </w:r>
      <w:r>
        <w:rPr>
          <w:rFonts w:ascii="Times New Roman" w:hAnsi="Times New Roman" w:cs="Times New Roman"/>
          <w:sz w:val="24"/>
          <w:szCs w:val="24"/>
        </w:rPr>
        <w:t xml:space="preserve">f Policy Analysis and Research </w:t>
      </w:r>
    </w:p>
    <w:p w14:paraId="7724C5CA" w14:textId="77777777" w:rsidR="00A6689B" w:rsidRDefault="00A6689B" w:rsidP="00A6689B">
      <w:pPr>
        <w:spacing w:after="0" w:line="240" w:lineRule="auto"/>
        <w:ind w:left="1440" w:hanging="1440"/>
        <w:rPr>
          <w:rFonts w:ascii="Times New Roman" w:hAnsi="Times New Roman" w:cs="Times New Roman"/>
          <w:sz w:val="24"/>
          <w:szCs w:val="24"/>
        </w:rPr>
      </w:pPr>
      <w:r w:rsidRPr="00A6689B">
        <w:rPr>
          <w:rFonts w:ascii="Times New Roman" w:hAnsi="Times New Roman" w:cs="Times New Roman"/>
          <w:sz w:val="24"/>
          <w:szCs w:val="24"/>
        </w:rPr>
        <w:t xml:space="preserve">400 7th </w:t>
      </w:r>
      <w:r>
        <w:rPr>
          <w:rFonts w:ascii="Times New Roman" w:hAnsi="Times New Roman" w:cs="Times New Roman"/>
          <w:sz w:val="24"/>
          <w:szCs w:val="24"/>
        </w:rPr>
        <w:t>St., SW, Ninth Floor</w:t>
      </w:r>
    </w:p>
    <w:p w14:paraId="58C4CC78" w14:textId="77777777" w:rsidR="006A26AD" w:rsidRPr="006A26AD" w:rsidRDefault="00A6689B" w:rsidP="00A6689B">
      <w:pPr>
        <w:spacing w:after="0" w:line="240" w:lineRule="auto"/>
        <w:ind w:left="1440" w:hanging="1440"/>
        <w:rPr>
          <w:rFonts w:ascii="Times New Roman" w:hAnsi="Times New Roman" w:cs="Times New Roman"/>
          <w:sz w:val="24"/>
          <w:szCs w:val="24"/>
        </w:rPr>
      </w:pPr>
      <w:r w:rsidRPr="00A6689B">
        <w:rPr>
          <w:rFonts w:ascii="Times New Roman" w:hAnsi="Times New Roman" w:cs="Times New Roman"/>
          <w:sz w:val="24"/>
          <w:szCs w:val="24"/>
        </w:rPr>
        <w:t>Washington, DC 20024</w:t>
      </w:r>
    </w:p>
    <w:p w14:paraId="10E4FBA0" w14:textId="77777777" w:rsidR="00A35FC1" w:rsidRPr="007407B5" w:rsidRDefault="00A35FC1" w:rsidP="00273D8A">
      <w:pPr>
        <w:rPr>
          <w:rFonts w:ascii="Times New Roman" w:hAnsi="Times New Roman" w:cs="Times New Roman"/>
          <w:b/>
          <w:sz w:val="24"/>
          <w:szCs w:val="24"/>
          <w:u w:val="single"/>
        </w:rPr>
      </w:pPr>
    </w:p>
    <w:p w14:paraId="3B95EF69" w14:textId="77777777" w:rsidR="00A35FC1" w:rsidRPr="007407B5" w:rsidRDefault="00273D8A" w:rsidP="00273D8A">
      <w:pPr>
        <w:pStyle w:val="Default"/>
        <w:jc w:val="center"/>
        <w:rPr>
          <w:b/>
          <w:u w:val="single"/>
        </w:rPr>
      </w:pPr>
      <w:r w:rsidRPr="00987739">
        <w:rPr>
          <w:b/>
          <w:i/>
          <w:u w:val="single"/>
        </w:rPr>
        <w:t>Fannie Mae and Freddie Mac Guarantee Fees: Request for Input</w:t>
      </w:r>
    </w:p>
    <w:p w14:paraId="7A4C4657" w14:textId="77777777" w:rsidR="00B746DA" w:rsidRDefault="00B746DA" w:rsidP="00B73F9A">
      <w:pPr>
        <w:rPr>
          <w:rFonts w:ascii="Times New Roman" w:hAnsi="Times New Roman" w:cs="Times New Roman"/>
          <w:sz w:val="24"/>
          <w:szCs w:val="24"/>
        </w:rPr>
      </w:pPr>
    </w:p>
    <w:p w14:paraId="5B337D81" w14:textId="77777777" w:rsidR="00543345" w:rsidRPr="00AF283D" w:rsidRDefault="00543345" w:rsidP="00543345">
      <w:pPr>
        <w:ind w:left="1440" w:hanging="1440"/>
        <w:rPr>
          <w:rFonts w:ascii="Times New Roman" w:hAnsi="Times New Roman" w:cs="Times New Roman"/>
          <w:sz w:val="24"/>
          <w:szCs w:val="24"/>
        </w:rPr>
      </w:pPr>
      <w:r>
        <w:rPr>
          <w:rFonts w:ascii="Times New Roman" w:hAnsi="Times New Roman" w:cs="Times New Roman"/>
          <w:sz w:val="24"/>
          <w:szCs w:val="24"/>
        </w:rPr>
        <w:t>Dear Sir or Madam:</w:t>
      </w:r>
    </w:p>
    <w:p w14:paraId="61629F0B" w14:textId="5DA5407A" w:rsidR="00543345" w:rsidRDefault="00543345" w:rsidP="00543345">
      <w:pPr>
        <w:pStyle w:val="Default"/>
        <w:jc w:val="both"/>
        <w:rPr>
          <w:color w:val="auto"/>
        </w:rPr>
      </w:pPr>
      <w:r w:rsidRPr="00954F41">
        <w:rPr>
          <w:color w:val="auto"/>
        </w:rPr>
        <w:t>The Structured Finance Industry Group</w:t>
      </w:r>
      <w:r>
        <w:rPr>
          <w:rStyle w:val="FootnoteReference"/>
          <w:color w:val="auto"/>
        </w:rPr>
        <w:footnoteReference w:id="1"/>
      </w:r>
      <w:r w:rsidRPr="00954F41">
        <w:rPr>
          <w:color w:val="auto"/>
        </w:rPr>
        <w:t xml:space="preserve"> (</w:t>
      </w:r>
      <w:r>
        <w:rPr>
          <w:color w:val="auto"/>
        </w:rPr>
        <w:t>“</w:t>
      </w:r>
      <w:r w:rsidRPr="00954F41">
        <w:rPr>
          <w:color w:val="auto"/>
        </w:rPr>
        <w:t>SFIG</w:t>
      </w:r>
      <w:r>
        <w:rPr>
          <w:color w:val="auto"/>
        </w:rPr>
        <w:t>”</w:t>
      </w:r>
      <w:r w:rsidRPr="00954F41">
        <w:rPr>
          <w:color w:val="auto"/>
        </w:rPr>
        <w:t xml:space="preserve">) </w:t>
      </w:r>
      <w:r>
        <w:rPr>
          <w:color w:val="auto"/>
        </w:rPr>
        <w:t xml:space="preserve">appreciates the opportunity to respond to the </w:t>
      </w:r>
      <w:r w:rsidRPr="00954F41">
        <w:rPr>
          <w:color w:val="auto"/>
        </w:rPr>
        <w:t>Federal Housing Finance Agency</w:t>
      </w:r>
      <w:r>
        <w:rPr>
          <w:color w:val="auto"/>
        </w:rPr>
        <w:t>’s</w:t>
      </w:r>
      <w:r w:rsidRPr="00954F41">
        <w:rPr>
          <w:color w:val="auto"/>
        </w:rPr>
        <w:t xml:space="preserve"> (</w:t>
      </w:r>
      <w:r>
        <w:rPr>
          <w:color w:val="auto"/>
        </w:rPr>
        <w:t>“</w:t>
      </w:r>
      <w:r w:rsidRPr="00954F41">
        <w:rPr>
          <w:color w:val="auto"/>
        </w:rPr>
        <w:t>FHFA</w:t>
      </w:r>
      <w:r>
        <w:rPr>
          <w:color w:val="auto"/>
        </w:rPr>
        <w:t>”</w:t>
      </w:r>
      <w:r w:rsidRPr="00954F41">
        <w:rPr>
          <w:color w:val="auto"/>
        </w:rPr>
        <w:t xml:space="preserve">) </w:t>
      </w:r>
      <w:r>
        <w:rPr>
          <w:color w:val="auto"/>
        </w:rPr>
        <w:t xml:space="preserve">request for input on guarantee fees (“G-fees”).  </w:t>
      </w:r>
      <w:r w:rsidR="00C72533">
        <w:rPr>
          <w:color w:val="auto"/>
        </w:rPr>
        <w:t>SFIG’s</w:t>
      </w:r>
      <w:r>
        <w:rPr>
          <w:color w:val="auto"/>
        </w:rPr>
        <w:t xml:space="preserve"> views are based on opinions from </w:t>
      </w:r>
      <w:r w:rsidR="005964C5">
        <w:rPr>
          <w:color w:val="auto"/>
        </w:rPr>
        <w:t xml:space="preserve">the </w:t>
      </w:r>
      <w:r>
        <w:rPr>
          <w:color w:val="auto"/>
        </w:rPr>
        <w:t xml:space="preserve">members of </w:t>
      </w:r>
      <w:r w:rsidR="00C72533">
        <w:rPr>
          <w:color w:val="auto"/>
        </w:rPr>
        <w:t>its</w:t>
      </w:r>
      <w:r>
        <w:rPr>
          <w:color w:val="auto"/>
        </w:rPr>
        <w:t xml:space="preserve"> </w:t>
      </w:r>
      <w:r w:rsidR="00787167">
        <w:rPr>
          <w:color w:val="auto"/>
        </w:rPr>
        <w:t>Government Sponsored Enterprises (“GSE”)</w:t>
      </w:r>
      <w:r w:rsidR="005C614F">
        <w:rPr>
          <w:color w:val="auto"/>
        </w:rPr>
        <w:t xml:space="preserve"> Reform Task</w:t>
      </w:r>
      <w:r w:rsidR="006440B1">
        <w:rPr>
          <w:color w:val="auto"/>
        </w:rPr>
        <w:t xml:space="preserve"> F</w:t>
      </w:r>
      <w:r w:rsidR="005C614F">
        <w:rPr>
          <w:color w:val="auto"/>
        </w:rPr>
        <w:t>orce</w:t>
      </w:r>
      <w:r>
        <w:rPr>
          <w:color w:val="auto"/>
        </w:rPr>
        <w:t xml:space="preserve">, </w:t>
      </w:r>
      <w:r w:rsidR="00162938">
        <w:rPr>
          <w:color w:val="auto"/>
        </w:rPr>
        <w:t xml:space="preserve">which is comprised of constituencies </w:t>
      </w:r>
      <w:r>
        <w:rPr>
          <w:color w:val="auto"/>
        </w:rPr>
        <w:t xml:space="preserve"> from all areas of the </w:t>
      </w:r>
      <w:r w:rsidR="00162938">
        <w:rPr>
          <w:color w:val="auto"/>
        </w:rPr>
        <w:t xml:space="preserve">residential mortgage-backed securities </w:t>
      </w:r>
      <w:r w:rsidR="00C1015D">
        <w:rPr>
          <w:color w:val="auto"/>
        </w:rPr>
        <w:t>market</w:t>
      </w:r>
      <w:r>
        <w:rPr>
          <w:color w:val="auto"/>
        </w:rPr>
        <w:t xml:space="preserve">, including issuers, </w:t>
      </w:r>
      <w:r w:rsidR="006C2328">
        <w:rPr>
          <w:color w:val="auto"/>
        </w:rPr>
        <w:t xml:space="preserve">servicers, </w:t>
      </w:r>
      <w:r w:rsidR="005C614F">
        <w:rPr>
          <w:color w:val="auto"/>
        </w:rPr>
        <w:t xml:space="preserve">investors, </w:t>
      </w:r>
      <w:r>
        <w:rPr>
          <w:color w:val="auto"/>
        </w:rPr>
        <w:t xml:space="preserve">due diligence </w:t>
      </w:r>
      <w:r w:rsidR="00C1015D">
        <w:rPr>
          <w:color w:val="auto"/>
        </w:rPr>
        <w:t>firms</w:t>
      </w:r>
      <w:r>
        <w:rPr>
          <w:color w:val="auto"/>
        </w:rPr>
        <w:t xml:space="preserve">, law firms, trustees, accounting firms, </w:t>
      </w:r>
      <w:r w:rsidR="00A733E6">
        <w:rPr>
          <w:color w:val="auto"/>
        </w:rPr>
        <w:t>ratings agencies</w:t>
      </w:r>
      <w:r w:rsidR="001A2450">
        <w:rPr>
          <w:color w:val="auto"/>
        </w:rPr>
        <w:t xml:space="preserve"> </w:t>
      </w:r>
      <w:r>
        <w:rPr>
          <w:color w:val="auto"/>
        </w:rPr>
        <w:t>and other</w:t>
      </w:r>
      <w:r w:rsidR="006C2328">
        <w:rPr>
          <w:color w:val="auto"/>
        </w:rPr>
        <w:t xml:space="preserve"> market participants</w:t>
      </w:r>
      <w:r>
        <w:rPr>
          <w:color w:val="auto"/>
        </w:rPr>
        <w:t xml:space="preserve">.  </w:t>
      </w:r>
      <w:r w:rsidDel="000E43D2">
        <w:rPr>
          <w:color w:val="auto"/>
        </w:rPr>
        <w:t xml:space="preserve"> </w:t>
      </w:r>
    </w:p>
    <w:p w14:paraId="1F7C5964" w14:textId="77777777" w:rsidR="00E63A91" w:rsidRDefault="00E63A91" w:rsidP="00543345">
      <w:pPr>
        <w:pStyle w:val="Default"/>
        <w:jc w:val="both"/>
        <w:rPr>
          <w:color w:val="auto"/>
        </w:rPr>
      </w:pPr>
    </w:p>
    <w:p w14:paraId="007E167E" w14:textId="77777777" w:rsidR="004A7F64" w:rsidRDefault="007768EE" w:rsidP="00543345">
      <w:pPr>
        <w:pStyle w:val="Default"/>
        <w:jc w:val="both"/>
        <w:rPr>
          <w:color w:val="auto"/>
        </w:rPr>
      </w:pPr>
      <w:r>
        <w:rPr>
          <w:color w:val="auto"/>
        </w:rPr>
        <w:t xml:space="preserve">SFIG </w:t>
      </w:r>
      <w:r w:rsidR="008B4157">
        <w:rPr>
          <w:color w:val="auto"/>
        </w:rPr>
        <w:t xml:space="preserve">believes that </w:t>
      </w:r>
      <w:r>
        <w:rPr>
          <w:color w:val="auto"/>
        </w:rPr>
        <w:t xml:space="preserve">there are two primary reasons </w:t>
      </w:r>
      <w:r w:rsidR="00353B01">
        <w:rPr>
          <w:color w:val="auto"/>
        </w:rPr>
        <w:t>to</w:t>
      </w:r>
      <w:r>
        <w:rPr>
          <w:color w:val="auto"/>
        </w:rPr>
        <w:t xml:space="preserve"> </w:t>
      </w:r>
      <w:r w:rsidR="00EC58C3">
        <w:rPr>
          <w:color w:val="auto"/>
        </w:rPr>
        <w:t xml:space="preserve">adjust </w:t>
      </w:r>
      <w:r w:rsidR="00E63A91">
        <w:rPr>
          <w:color w:val="auto"/>
        </w:rPr>
        <w:t>G-fees</w:t>
      </w:r>
      <w:r>
        <w:rPr>
          <w:color w:val="auto"/>
        </w:rPr>
        <w:t>, notably:</w:t>
      </w:r>
      <w:r w:rsidR="00E63A91">
        <w:rPr>
          <w:color w:val="auto"/>
        </w:rPr>
        <w:t xml:space="preserve">  </w:t>
      </w:r>
    </w:p>
    <w:p w14:paraId="003185FE" w14:textId="7CB902F9" w:rsidR="004A7F64" w:rsidRDefault="00787167" w:rsidP="00543345">
      <w:pPr>
        <w:pStyle w:val="Default"/>
        <w:numPr>
          <w:ilvl w:val="0"/>
          <w:numId w:val="15"/>
        </w:numPr>
        <w:spacing w:before="240"/>
        <w:jc w:val="both"/>
        <w:rPr>
          <w:color w:val="auto"/>
        </w:rPr>
      </w:pPr>
      <w:proofErr w:type="gramStart"/>
      <w:r>
        <w:rPr>
          <w:color w:val="auto"/>
        </w:rPr>
        <w:t>t</w:t>
      </w:r>
      <w:r w:rsidR="003B430F">
        <w:rPr>
          <w:color w:val="auto"/>
        </w:rPr>
        <w:t>o</w:t>
      </w:r>
      <w:proofErr w:type="gramEnd"/>
      <w:r w:rsidR="003B430F">
        <w:rPr>
          <w:color w:val="auto"/>
        </w:rPr>
        <w:t xml:space="preserve"> </w:t>
      </w:r>
      <w:r w:rsidR="007768EE">
        <w:rPr>
          <w:color w:val="auto"/>
        </w:rPr>
        <w:t xml:space="preserve">effectively </w:t>
      </w:r>
      <w:r w:rsidR="003B430F">
        <w:rPr>
          <w:color w:val="auto"/>
        </w:rPr>
        <w:t xml:space="preserve">price </w:t>
      </w:r>
      <w:r w:rsidR="00D65CE4">
        <w:rPr>
          <w:color w:val="auto"/>
        </w:rPr>
        <w:t xml:space="preserve">the </w:t>
      </w:r>
      <w:r w:rsidR="003B430F">
        <w:rPr>
          <w:color w:val="auto"/>
        </w:rPr>
        <w:t xml:space="preserve">credit risk </w:t>
      </w:r>
      <w:r w:rsidR="00D65CE4">
        <w:rPr>
          <w:color w:val="auto"/>
        </w:rPr>
        <w:t xml:space="preserve">associated with </w:t>
      </w:r>
      <w:r w:rsidR="00353B01">
        <w:rPr>
          <w:color w:val="auto"/>
        </w:rPr>
        <w:t xml:space="preserve">a mortgage </w:t>
      </w:r>
      <w:r w:rsidR="007768EE">
        <w:rPr>
          <w:color w:val="auto"/>
        </w:rPr>
        <w:t>guarantee</w:t>
      </w:r>
      <w:r w:rsidR="00353B01">
        <w:rPr>
          <w:color w:val="auto"/>
        </w:rPr>
        <w:t>, including both the probability of borrower default and the associated</w:t>
      </w:r>
      <w:r w:rsidR="005C614F">
        <w:rPr>
          <w:color w:val="auto"/>
        </w:rPr>
        <w:t xml:space="preserve"> change in</w:t>
      </w:r>
      <w:r w:rsidR="00353B01">
        <w:rPr>
          <w:color w:val="auto"/>
        </w:rPr>
        <w:t xml:space="preserve"> payment to investors if such a default were to occur.</w:t>
      </w:r>
      <w:r w:rsidR="007768EE">
        <w:rPr>
          <w:color w:val="auto"/>
        </w:rPr>
        <w:t xml:space="preserve"> </w:t>
      </w:r>
    </w:p>
    <w:p w14:paraId="06EE06D1" w14:textId="77F830E5" w:rsidR="002A1C5C" w:rsidRDefault="00787167" w:rsidP="002A1C5C">
      <w:pPr>
        <w:pStyle w:val="Default"/>
        <w:numPr>
          <w:ilvl w:val="0"/>
          <w:numId w:val="15"/>
        </w:numPr>
        <w:spacing w:before="240"/>
        <w:jc w:val="both"/>
        <w:rPr>
          <w:color w:val="auto"/>
        </w:rPr>
      </w:pPr>
      <w:r>
        <w:rPr>
          <w:color w:val="auto"/>
        </w:rPr>
        <w:t>t</w:t>
      </w:r>
      <w:r w:rsidR="00D65CE4" w:rsidRPr="004A7F64">
        <w:rPr>
          <w:color w:val="auto"/>
        </w:rPr>
        <w:t xml:space="preserve">o </w:t>
      </w:r>
      <w:r w:rsidR="00F6255D">
        <w:rPr>
          <w:color w:val="auto"/>
        </w:rPr>
        <w:t>ince</w:t>
      </w:r>
      <w:r w:rsidR="004C064C">
        <w:rPr>
          <w:color w:val="auto"/>
        </w:rPr>
        <w:t>n</w:t>
      </w:r>
      <w:r w:rsidR="00F6255D">
        <w:rPr>
          <w:color w:val="auto"/>
        </w:rPr>
        <w:t>tivize</w:t>
      </w:r>
      <w:r w:rsidR="00D65CE4" w:rsidRPr="004A7F64">
        <w:rPr>
          <w:color w:val="auto"/>
        </w:rPr>
        <w:t xml:space="preserve"> the return of private capital to the mortgage market</w:t>
      </w:r>
      <w:r w:rsidR="002A1C5C">
        <w:rPr>
          <w:color w:val="auto"/>
        </w:rPr>
        <w:t xml:space="preserve"> by creating or moving towards pricing equilibrium between </w:t>
      </w:r>
      <w:r w:rsidR="00C1015D">
        <w:rPr>
          <w:color w:val="auto"/>
        </w:rPr>
        <w:t xml:space="preserve">the </w:t>
      </w:r>
      <w:r w:rsidR="004C064C">
        <w:rPr>
          <w:color w:val="auto"/>
        </w:rPr>
        <w:t>private label securities (“</w:t>
      </w:r>
      <w:r w:rsidR="009C5B82" w:rsidRPr="004A7F64">
        <w:rPr>
          <w:color w:val="auto"/>
        </w:rPr>
        <w:t>PLS</w:t>
      </w:r>
      <w:r w:rsidR="004C064C">
        <w:rPr>
          <w:color w:val="auto"/>
        </w:rPr>
        <w:t>”)</w:t>
      </w:r>
      <w:r w:rsidR="00D65CE4" w:rsidRPr="004A7F64">
        <w:rPr>
          <w:color w:val="auto"/>
        </w:rPr>
        <w:t xml:space="preserve"> market </w:t>
      </w:r>
      <w:r w:rsidR="00C1015D">
        <w:rPr>
          <w:color w:val="auto"/>
        </w:rPr>
        <w:t xml:space="preserve">funding level </w:t>
      </w:r>
      <w:r w:rsidR="002A1C5C">
        <w:rPr>
          <w:color w:val="auto"/>
        </w:rPr>
        <w:t xml:space="preserve">and </w:t>
      </w:r>
      <w:r w:rsidR="005964C5">
        <w:rPr>
          <w:color w:val="auto"/>
        </w:rPr>
        <w:t xml:space="preserve">the </w:t>
      </w:r>
      <w:r w:rsidR="00D65CE4" w:rsidRPr="004A7F64">
        <w:rPr>
          <w:color w:val="auto"/>
        </w:rPr>
        <w:t>GSE</w:t>
      </w:r>
      <w:r w:rsidR="002A1C5C">
        <w:rPr>
          <w:color w:val="auto"/>
        </w:rPr>
        <w:t xml:space="preserve"> funding levels</w:t>
      </w:r>
      <w:r w:rsidR="00D65CE4" w:rsidRPr="004A7F64">
        <w:rPr>
          <w:color w:val="auto"/>
        </w:rPr>
        <w:t xml:space="preserve">.  </w:t>
      </w:r>
    </w:p>
    <w:p w14:paraId="29E4CFFE" w14:textId="50EBD78D" w:rsidR="00B73F9A" w:rsidRDefault="004C064C" w:rsidP="00601051">
      <w:pPr>
        <w:pStyle w:val="Default"/>
        <w:spacing w:before="240"/>
        <w:jc w:val="both"/>
        <w:rPr>
          <w:color w:val="auto"/>
        </w:rPr>
      </w:pPr>
      <w:r>
        <w:rPr>
          <w:color w:val="auto"/>
        </w:rPr>
        <w:t>SFIG’s</w:t>
      </w:r>
      <w:r w:rsidR="00AC2820">
        <w:rPr>
          <w:color w:val="auto"/>
        </w:rPr>
        <w:t xml:space="preserve"> </w:t>
      </w:r>
      <w:r w:rsidR="002A1C5C">
        <w:rPr>
          <w:color w:val="auto"/>
        </w:rPr>
        <w:t xml:space="preserve">primary </w:t>
      </w:r>
      <w:r w:rsidR="007D69B8">
        <w:rPr>
          <w:color w:val="auto"/>
        </w:rPr>
        <w:t>goal</w:t>
      </w:r>
      <w:r w:rsidR="002A1C5C">
        <w:rPr>
          <w:color w:val="auto"/>
        </w:rPr>
        <w:t xml:space="preserve"> </w:t>
      </w:r>
      <w:r>
        <w:rPr>
          <w:color w:val="auto"/>
        </w:rPr>
        <w:t xml:space="preserve">is to </w:t>
      </w:r>
      <w:r w:rsidR="002A1C5C">
        <w:rPr>
          <w:color w:val="auto"/>
        </w:rPr>
        <w:t xml:space="preserve">support </w:t>
      </w:r>
      <w:r>
        <w:t>s</w:t>
      </w:r>
      <w:r w:rsidR="001D0C29">
        <w:t>ecuritization as an essential source of core funding for the real economy</w:t>
      </w:r>
      <w:r>
        <w:t>.</w:t>
      </w:r>
      <w:r w:rsidR="00C1015D">
        <w:rPr>
          <w:rStyle w:val="FootnoteReference"/>
        </w:rPr>
        <w:footnoteReference w:id="2"/>
      </w:r>
      <w:r w:rsidR="003F3A82">
        <w:t xml:space="preserve">  </w:t>
      </w:r>
      <w:r w:rsidR="00C1015D">
        <w:t>O</w:t>
      </w:r>
      <w:r w:rsidR="001D0C29">
        <w:t xml:space="preserve">ur response </w:t>
      </w:r>
      <w:r>
        <w:t xml:space="preserve">is </w:t>
      </w:r>
      <w:r w:rsidR="001D0C29">
        <w:t>generally</w:t>
      </w:r>
      <w:r w:rsidR="00AC2820">
        <w:t xml:space="preserve"> centered on</w:t>
      </w:r>
      <w:r w:rsidR="001D0C29">
        <w:t xml:space="preserve"> the impact of </w:t>
      </w:r>
      <w:r w:rsidR="00D65CE4" w:rsidRPr="002A1C5C">
        <w:rPr>
          <w:color w:val="auto"/>
        </w:rPr>
        <w:t xml:space="preserve">adjusting G-fees </w:t>
      </w:r>
      <w:r w:rsidR="00322BBC" w:rsidRPr="002A1C5C">
        <w:rPr>
          <w:color w:val="auto"/>
        </w:rPr>
        <w:t>to</w:t>
      </w:r>
      <w:r w:rsidR="00D65CE4" w:rsidRPr="002A1C5C">
        <w:rPr>
          <w:color w:val="auto"/>
        </w:rPr>
        <w:t xml:space="preserve"> the PLS market.  </w:t>
      </w:r>
    </w:p>
    <w:p w14:paraId="0ADCC0D4" w14:textId="77777777" w:rsidR="00601051" w:rsidRPr="00601051" w:rsidRDefault="00601051" w:rsidP="00601051">
      <w:pPr>
        <w:pStyle w:val="Default"/>
        <w:spacing w:before="240"/>
        <w:jc w:val="both"/>
        <w:rPr>
          <w:color w:val="auto"/>
        </w:rPr>
      </w:pPr>
    </w:p>
    <w:p w14:paraId="4B9DCC0A" w14:textId="77777777" w:rsidR="00E4346D" w:rsidRPr="00D0206E" w:rsidRDefault="00E4346D" w:rsidP="00E4346D">
      <w:pPr>
        <w:pStyle w:val="Default"/>
        <w:rPr>
          <w:b/>
          <w:color w:val="auto"/>
        </w:rPr>
      </w:pPr>
      <w:r w:rsidRPr="00D0206E">
        <w:rPr>
          <w:b/>
          <w:color w:val="auto"/>
        </w:rPr>
        <w:lastRenderedPageBreak/>
        <w:t xml:space="preserve">PLS Market is </w:t>
      </w:r>
      <w:r>
        <w:rPr>
          <w:b/>
          <w:color w:val="auto"/>
        </w:rPr>
        <w:t>an Essential Source of Funding for Mortgages</w:t>
      </w:r>
    </w:p>
    <w:p w14:paraId="7FA966A2" w14:textId="77777777" w:rsidR="00E4346D" w:rsidRDefault="00E4346D" w:rsidP="00CF7554">
      <w:pPr>
        <w:pStyle w:val="Default"/>
        <w:rPr>
          <w:color w:val="auto"/>
        </w:rPr>
      </w:pPr>
    </w:p>
    <w:p w14:paraId="656D3786" w14:textId="370B9C30" w:rsidR="00480E37" w:rsidRDefault="008E6D61" w:rsidP="00E4346D">
      <w:pPr>
        <w:pStyle w:val="Default"/>
        <w:jc w:val="both"/>
        <w:rPr>
          <w:color w:val="auto"/>
        </w:rPr>
      </w:pPr>
      <w:r>
        <w:rPr>
          <w:color w:val="auto"/>
        </w:rPr>
        <w:t>T</w:t>
      </w:r>
      <w:r w:rsidR="00602291">
        <w:rPr>
          <w:color w:val="auto"/>
        </w:rPr>
        <w:t xml:space="preserve">he </w:t>
      </w:r>
      <w:r w:rsidR="00620E57">
        <w:rPr>
          <w:color w:val="auto"/>
        </w:rPr>
        <w:t>PLS market provides three main benefits i</w:t>
      </w:r>
      <w:r w:rsidR="00E4346D">
        <w:rPr>
          <w:color w:val="auto"/>
        </w:rPr>
        <w:t xml:space="preserve">n an efficient </w:t>
      </w:r>
      <w:r w:rsidR="00EB385E">
        <w:rPr>
          <w:color w:val="auto"/>
        </w:rPr>
        <w:t xml:space="preserve">and </w:t>
      </w:r>
      <w:r w:rsidR="00E4346D">
        <w:rPr>
          <w:color w:val="auto"/>
        </w:rPr>
        <w:t xml:space="preserve">healthy secondary </w:t>
      </w:r>
      <w:r w:rsidR="00EB385E">
        <w:rPr>
          <w:color w:val="auto"/>
        </w:rPr>
        <w:t xml:space="preserve">mortgage </w:t>
      </w:r>
      <w:r w:rsidR="00E4346D">
        <w:rPr>
          <w:color w:val="auto"/>
        </w:rPr>
        <w:t>market</w:t>
      </w:r>
      <w:r w:rsidR="00480E37">
        <w:rPr>
          <w:color w:val="auto"/>
        </w:rPr>
        <w:t>:</w:t>
      </w:r>
    </w:p>
    <w:p w14:paraId="5373BB3F" w14:textId="77777777" w:rsidR="00C420DC" w:rsidRDefault="00C420DC" w:rsidP="00E4346D">
      <w:pPr>
        <w:pStyle w:val="Default"/>
        <w:jc w:val="both"/>
        <w:rPr>
          <w:color w:val="auto"/>
        </w:rPr>
      </w:pPr>
    </w:p>
    <w:p w14:paraId="293E9C9A" w14:textId="77777777" w:rsidR="00C420DC" w:rsidRDefault="00480E37" w:rsidP="00C420DC">
      <w:pPr>
        <w:pStyle w:val="Default"/>
        <w:numPr>
          <w:ilvl w:val="0"/>
          <w:numId w:val="19"/>
        </w:numPr>
        <w:ind w:left="720"/>
        <w:jc w:val="both"/>
        <w:rPr>
          <w:color w:val="auto"/>
        </w:rPr>
      </w:pPr>
      <w:r>
        <w:rPr>
          <w:color w:val="auto"/>
        </w:rPr>
        <w:t>P</w:t>
      </w:r>
      <w:r w:rsidR="00E4346D">
        <w:rPr>
          <w:color w:val="auto"/>
        </w:rPr>
        <w:t xml:space="preserve">articipants </w:t>
      </w:r>
      <w:r w:rsidR="00EB385E">
        <w:rPr>
          <w:color w:val="auto"/>
        </w:rPr>
        <w:t>would be able to select</w:t>
      </w:r>
      <w:r w:rsidR="009D7723">
        <w:rPr>
          <w:color w:val="auto"/>
        </w:rPr>
        <w:t xml:space="preserve"> </w:t>
      </w:r>
      <w:r w:rsidR="001E037B">
        <w:rPr>
          <w:color w:val="auto"/>
        </w:rPr>
        <w:t>from</w:t>
      </w:r>
      <w:r w:rsidR="00E4346D">
        <w:rPr>
          <w:color w:val="auto"/>
        </w:rPr>
        <w:t xml:space="preserve"> GSE, portfolio, or PLS </w:t>
      </w:r>
      <w:r w:rsidR="009D7723">
        <w:rPr>
          <w:color w:val="auto"/>
        </w:rPr>
        <w:t>m</w:t>
      </w:r>
      <w:r w:rsidR="00E4346D">
        <w:rPr>
          <w:color w:val="auto"/>
        </w:rPr>
        <w:t xml:space="preserve">arket </w:t>
      </w:r>
      <w:r w:rsidR="009D7723">
        <w:rPr>
          <w:color w:val="auto"/>
        </w:rPr>
        <w:t>funding</w:t>
      </w:r>
      <w:r w:rsidR="00E4346D">
        <w:rPr>
          <w:color w:val="auto"/>
        </w:rPr>
        <w:t xml:space="preserve">.  </w:t>
      </w:r>
      <w:r w:rsidR="00197714">
        <w:rPr>
          <w:color w:val="auto"/>
        </w:rPr>
        <w:t xml:space="preserve">SFIG believes that </w:t>
      </w:r>
      <w:r w:rsidR="00F5082C">
        <w:rPr>
          <w:color w:val="auto"/>
        </w:rPr>
        <w:t>the ability</w:t>
      </w:r>
      <w:r w:rsidR="00197714">
        <w:rPr>
          <w:color w:val="auto"/>
        </w:rPr>
        <w:t xml:space="preserve"> to sele</w:t>
      </w:r>
      <w:r w:rsidR="00F5082C">
        <w:rPr>
          <w:color w:val="auto"/>
        </w:rPr>
        <w:t xml:space="preserve">ct from </w:t>
      </w:r>
      <w:r w:rsidR="00F5082C" w:rsidRPr="00D83C4E">
        <w:rPr>
          <w:b/>
          <w:color w:val="auto"/>
        </w:rPr>
        <w:t>all three</w:t>
      </w:r>
      <w:r w:rsidR="00F5082C">
        <w:rPr>
          <w:color w:val="auto"/>
        </w:rPr>
        <w:t xml:space="preserve"> funding options would </w:t>
      </w:r>
      <w:r w:rsidR="000B0A5E">
        <w:rPr>
          <w:color w:val="auto"/>
        </w:rPr>
        <w:t xml:space="preserve">allow lenders to provide the consumer with the most </w:t>
      </w:r>
      <w:r w:rsidR="00F5082C">
        <w:rPr>
          <w:color w:val="auto"/>
        </w:rPr>
        <w:t>competitive mortgage rate</w:t>
      </w:r>
      <w:r w:rsidR="000B0A5E">
        <w:rPr>
          <w:color w:val="auto"/>
        </w:rPr>
        <w:t xml:space="preserve"> – a clear benefit to the real economy, both in terms of </w:t>
      </w:r>
      <w:r w:rsidR="008A00FA">
        <w:rPr>
          <w:color w:val="auto"/>
        </w:rPr>
        <w:t xml:space="preserve">providing a low cost of funding but also as a means to diversify housing market funding alternatives and reduce reliance on tax-payer-supported mechanisms, which </w:t>
      </w:r>
      <w:r w:rsidR="00EB385E">
        <w:rPr>
          <w:color w:val="auto"/>
        </w:rPr>
        <w:t xml:space="preserve">are </w:t>
      </w:r>
      <w:r w:rsidR="008A00FA">
        <w:rPr>
          <w:color w:val="auto"/>
        </w:rPr>
        <w:t>currently pervasive.</w:t>
      </w:r>
      <w:r w:rsidR="008A00FA" w:rsidDel="008A00FA">
        <w:rPr>
          <w:color w:val="auto"/>
        </w:rPr>
        <w:t xml:space="preserve"> </w:t>
      </w:r>
    </w:p>
    <w:p w14:paraId="488A2A6B" w14:textId="77777777" w:rsidR="00C420DC" w:rsidRDefault="00C420DC" w:rsidP="00C420DC">
      <w:pPr>
        <w:pStyle w:val="Default"/>
        <w:ind w:left="720"/>
        <w:jc w:val="both"/>
        <w:rPr>
          <w:color w:val="auto"/>
        </w:rPr>
      </w:pPr>
    </w:p>
    <w:p w14:paraId="4F492540" w14:textId="77777777" w:rsidR="00C420DC" w:rsidRDefault="00480E37" w:rsidP="00C420DC">
      <w:pPr>
        <w:pStyle w:val="Default"/>
        <w:numPr>
          <w:ilvl w:val="0"/>
          <w:numId w:val="19"/>
        </w:numPr>
        <w:ind w:left="720"/>
        <w:jc w:val="both"/>
        <w:rPr>
          <w:color w:val="auto"/>
        </w:rPr>
      </w:pPr>
      <w:r w:rsidRPr="00C420DC">
        <w:rPr>
          <w:color w:val="auto"/>
        </w:rPr>
        <w:t>T</w:t>
      </w:r>
      <w:r w:rsidR="00E4346D" w:rsidRPr="00C420DC">
        <w:rPr>
          <w:color w:val="auto"/>
        </w:rPr>
        <w:t xml:space="preserve">he PLS </w:t>
      </w:r>
      <w:r w:rsidR="00605EA3" w:rsidRPr="00C420DC">
        <w:rPr>
          <w:color w:val="auto"/>
        </w:rPr>
        <w:t>m</w:t>
      </w:r>
      <w:r w:rsidR="00E4346D" w:rsidRPr="00C420DC">
        <w:rPr>
          <w:color w:val="auto"/>
        </w:rPr>
        <w:t xml:space="preserve">arket provides an outlet for product that the </w:t>
      </w:r>
      <w:r w:rsidR="001E037B" w:rsidRPr="00C420DC">
        <w:rPr>
          <w:color w:val="auto"/>
        </w:rPr>
        <w:t xml:space="preserve">GSEs may not or cannot purchase, </w:t>
      </w:r>
      <w:r w:rsidR="00E4346D" w:rsidRPr="00C420DC">
        <w:rPr>
          <w:color w:val="auto"/>
        </w:rPr>
        <w:t xml:space="preserve">such as loans that exceed the conforming loan limit.  </w:t>
      </w:r>
    </w:p>
    <w:p w14:paraId="245A4B68" w14:textId="77777777" w:rsidR="00C420DC" w:rsidRDefault="00C420DC" w:rsidP="00C420DC">
      <w:pPr>
        <w:pStyle w:val="ListParagraph"/>
        <w:ind w:left="360"/>
      </w:pPr>
    </w:p>
    <w:p w14:paraId="2D77688F" w14:textId="4426ECE1" w:rsidR="00C24109" w:rsidRPr="00C420DC" w:rsidRDefault="00480E37" w:rsidP="00C420DC">
      <w:pPr>
        <w:pStyle w:val="Default"/>
        <w:numPr>
          <w:ilvl w:val="0"/>
          <w:numId w:val="19"/>
        </w:numPr>
        <w:ind w:left="720"/>
        <w:jc w:val="both"/>
        <w:rPr>
          <w:color w:val="auto"/>
        </w:rPr>
      </w:pPr>
      <w:r w:rsidRPr="00C420DC">
        <w:rPr>
          <w:color w:val="auto"/>
        </w:rPr>
        <w:t>T</w:t>
      </w:r>
      <w:r w:rsidR="00C24109" w:rsidRPr="00C420DC">
        <w:rPr>
          <w:color w:val="auto"/>
        </w:rPr>
        <w:t>he PLS market provides a validation mechanism for GSE pricing of mortgage credit risk</w:t>
      </w:r>
      <w:r w:rsidR="00620E57" w:rsidRPr="00C420DC">
        <w:rPr>
          <w:color w:val="auto"/>
        </w:rPr>
        <w:t xml:space="preserve"> by </w:t>
      </w:r>
      <w:r w:rsidR="00C24109" w:rsidRPr="00C420DC">
        <w:rPr>
          <w:color w:val="auto"/>
        </w:rPr>
        <w:t>making access to mortgage credit more efficient, reducing a potential r</w:t>
      </w:r>
      <w:r w:rsidR="00556914" w:rsidRPr="00C420DC">
        <w:rPr>
          <w:color w:val="auto"/>
        </w:rPr>
        <w:t>isk of mispricing credit risk</w:t>
      </w:r>
      <w:r w:rsidR="00C24109" w:rsidRPr="00C420DC">
        <w:rPr>
          <w:color w:val="auto"/>
        </w:rPr>
        <w:t xml:space="preserve"> in mortgage origination, and limiting potential</w:t>
      </w:r>
      <w:r w:rsidR="001E037B" w:rsidRPr="00C420DC">
        <w:rPr>
          <w:color w:val="auto"/>
        </w:rPr>
        <w:t>ly</w:t>
      </w:r>
      <w:r w:rsidR="00C24109" w:rsidRPr="00C420DC">
        <w:rPr>
          <w:color w:val="auto"/>
        </w:rPr>
        <w:t xml:space="preserve"> excessive risk</w:t>
      </w:r>
      <w:r w:rsidR="00620E57" w:rsidRPr="00C420DC">
        <w:rPr>
          <w:color w:val="auto"/>
        </w:rPr>
        <w:t>-</w:t>
      </w:r>
      <w:r w:rsidR="00C24109" w:rsidRPr="00C420DC">
        <w:rPr>
          <w:color w:val="auto"/>
        </w:rPr>
        <w:t>taking by mortgage originators and the GSEs.</w:t>
      </w:r>
    </w:p>
    <w:p w14:paraId="55A42520" w14:textId="77777777" w:rsidR="0035177B" w:rsidRDefault="0035177B" w:rsidP="00E4346D">
      <w:pPr>
        <w:pStyle w:val="Default"/>
        <w:jc w:val="both"/>
        <w:rPr>
          <w:color w:val="auto"/>
        </w:rPr>
      </w:pPr>
    </w:p>
    <w:p w14:paraId="7D8F62A0" w14:textId="77777777" w:rsidR="00FC0DB5" w:rsidRPr="008A56F2" w:rsidRDefault="00543345" w:rsidP="008A56F2">
      <w:pPr>
        <w:pStyle w:val="Default"/>
        <w:rPr>
          <w:b/>
          <w:color w:val="auto"/>
        </w:rPr>
      </w:pPr>
      <w:r>
        <w:rPr>
          <w:b/>
          <w:color w:val="auto"/>
        </w:rPr>
        <w:t xml:space="preserve">An </w:t>
      </w:r>
      <w:r w:rsidR="0094080F">
        <w:rPr>
          <w:b/>
          <w:color w:val="auto"/>
        </w:rPr>
        <w:t>A</w:t>
      </w:r>
      <w:r>
        <w:rPr>
          <w:b/>
          <w:color w:val="auto"/>
        </w:rPr>
        <w:t xml:space="preserve">djustment to </w:t>
      </w:r>
      <w:r w:rsidRPr="00E5031A">
        <w:rPr>
          <w:b/>
          <w:color w:val="auto"/>
        </w:rPr>
        <w:t>G-Fee Pricing</w:t>
      </w:r>
      <w:r w:rsidR="00F767D8">
        <w:rPr>
          <w:b/>
          <w:color w:val="auto"/>
        </w:rPr>
        <w:t xml:space="preserve"> </w:t>
      </w:r>
      <w:r w:rsidR="00061D50">
        <w:rPr>
          <w:b/>
          <w:color w:val="auto"/>
        </w:rPr>
        <w:t xml:space="preserve">in </w:t>
      </w:r>
      <w:r w:rsidR="003E5BFF">
        <w:rPr>
          <w:b/>
          <w:color w:val="auto"/>
        </w:rPr>
        <w:t>I</w:t>
      </w:r>
      <w:r w:rsidR="00061D50">
        <w:rPr>
          <w:b/>
          <w:color w:val="auto"/>
        </w:rPr>
        <w:t xml:space="preserve">tself </w:t>
      </w:r>
      <w:r w:rsidR="003E5BFF">
        <w:rPr>
          <w:b/>
          <w:color w:val="auto"/>
        </w:rPr>
        <w:t>M</w:t>
      </w:r>
      <w:r w:rsidR="00F767D8">
        <w:rPr>
          <w:b/>
          <w:color w:val="auto"/>
        </w:rPr>
        <w:t xml:space="preserve">ay </w:t>
      </w:r>
      <w:r w:rsidR="003E5BFF">
        <w:rPr>
          <w:b/>
          <w:color w:val="auto"/>
        </w:rPr>
        <w:t>N</w:t>
      </w:r>
      <w:r>
        <w:rPr>
          <w:b/>
          <w:color w:val="auto"/>
        </w:rPr>
        <w:t xml:space="preserve">ot </w:t>
      </w:r>
      <w:r w:rsidR="00F767D8">
        <w:rPr>
          <w:b/>
          <w:color w:val="auto"/>
        </w:rPr>
        <w:t xml:space="preserve">be </w:t>
      </w:r>
      <w:r>
        <w:rPr>
          <w:b/>
          <w:color w:val="auto"/>
        </w:rPr>
        <w:t xml:space="preserve">the </w:t>
      </w:r>
      <w:r w:rsidR="0094080F">
        <w:rPr>
          <w:b/>
          <w:color w:val="auto"/>
        </w:rPr>
        <w:t>M</w:t>
      </w:r>
      <w:r>
        <w:rPr>
          <w:b/>
          <w:color w:val="auto"/>
        </w:rPr>
        <w:t xml:space="preserve">ost </w:t>
      </w:r>
      <w:r w:rsidR="0094080F">
        <w:rPr>
          <w:b/>
          <w:color w:val="auto"/>
        </w:rPr>
        <w:t>E</w:t>
      </w:r>
      <w:r>
        <w:rPr>
          <w:b/>
          <w:color w:val="auto"/>
        </w:rPr>
        <w:t xml:space="preserve">ffective </w:t>
      </w:r>
      <w:r w:rsidR="0094080F">
        <w:rPr>
          <w:b/>
          <w:color w:val="auto"/>
        </w:rPr>
        <w:t>Method</w:t>
      </w:r>
      <w:r>
        <w:rPr>
          <w:b/>
          <w:color w:val="auto"/>
        </w:rPr>
        <w:t xml:space="preserve"> to </w:t>
      </w:r>
      <w:r w:rsidR="0094080F">
        <w:rPr>
          <w:b/>
          <w:color w:val="auto"/>
        </w:rPr>
        <w:t>S</w:t>
      </w:r>
      <w:r>
        <w:rPr>
          <w:b/>
          <w:color w:val="auto"/>
        </w:rPr>
        <w:t>ti</w:t>
      </w:r>
      <w:r w:rsidR="00F767D8">
        <w:rPr>
          <w:b/>
          <w:color w:val="auto"/>
        </w:rPr>
        <w:t xml:space="preserve">mulate </w:t>
      </w:r>
      <w:r w:rsidR="0094080F">
        <w:rPr>
          <w:b/>
          <w:color w:val="auto"/>
        </w:rPr>
        <w:t>the R</w:t>
      </w:r>
      <w:r w:rsidR="00F767D8">
        <w:rPr>
          <w:b/>
          <w:color w:val="auto"/>
        </w:rPr>
        <w:t xml:space="preserve">eturn of the PLS </w:t>
      </w:r>
      <w:r w:rsidR="0094080F">
        <w:rPr>
          <w:b/>
          <w:color w:val="auto"/>
        </w:rPr>
        <w:t>M</w:t>
      </w:r>
      <w:r w:rsidR="00F767D8">
        <w:rPr>
          <w:b/>
          <w:color w:val="auto"/>
        </w:rPr>
        <w:t>arket</w:t>
      </w:r>
    </w:p>
    <w:p w14:paraId="00C77D41" w14:textId="77777777" w:rsidR="00FC0DB5" w:rsidRDefault="00FC0DB5" w:rsidP="00F767D8">
      <w:pPr>
        <w:pStyle w:val="Default"/>
        <w:jc w:val="both"/>
        <w:rPr>
          <w:color w:val="auto"/>
        </w:rPr>
      </w:pPr>
    </w:p>
    <w:p w14:paraId="001CD419" w14:textId="77777777" w:rsidR="00F767D8" w:rsidRDefault="00F767D8" w:rsidP="00F767D8">
      <w:pPr>
        <w:pStyle w:val="Default"/>
        <w:jc w:val="both"/>
        <w:rPr>
          <w:color w:val="auto"/>
        </w:rPr>
      </w:pPr>
      <w:r>
        <w:rPr>
          <w:color w:val="auto"/>
        </w:rPr>
        <w:t xml:space="preserve">SFIG believes that an increase in G-fees </w:t>
      </w:r>
      <w:r w:rsidR="00634360">
        <w:rPr>
          <w:color w:val="auto"/>
        </w:rPr>
        <w:t>is</w:t>
      </w:r>
      <w:r>
        <w:rPr>
          <w:color w:val="auto"/>
        </w:rPr>
        <w:t xml:space="preserve"> an important step in returning private capital to the mortgage market</w:t>
      </w:r>
      <w:r w:rsidR="005964C5">
        <w:rPr>
          <w:color w:val="auto"/>
        </w:rPr>
        <w:t>, and</w:t>
      </w:r>
      <w:r w:rsidR="008A56F2">
        <w:rPr>
          <w:color w:val="auto"/>
        </w:rPr>
        <w:t xml:space="preserve"> could </w:t>
      </w:r>
      <w:r w:rsidR="005964C5">
        <w:rPr>
          <w:color w:val="auto"/>
        </w:rPr>
        <w:t xml:space="preserve">potentially </w:t>
      </w:r>
      <w:r w:rsidR="008A56F2">
        <w:rPr>
          <w:color w:val="auto"/>
        </w:rPr>
        <w:t xml:space="preserve">stimulate supply to </w:t>
      </w:r>
      <w:r w:rsidR="00634360">
        <w:rPr>
          <w:color w:val="auto"/>
        </w:rPr>
        <w:t xml:space="preserve">the PLS market.  </w:t>
      </w:r>
      <w:r w:rsidR="00480E37">
        <w:rPr>
          <w:color w:val="auto"/>
        </w:rPr>
        <w:t>Ide</w:t>
      </w:r>
      <w:r>
        <w:rPr>
          <w:color w:val="auto"/>
        </w:rPr>
        <w:t xml:space="preserve">ally, in a perfectly efficient market, an immediate increase in G-fees would reduce the cost differential between the PLS </w:t>
      </w:r>
      <w:r w:rsidR="00550164">
        <w:rPr>
          <w:color w:val="auto"/>
        </w:rPr>
        <w:t>m</w:t>
      </w:r>
      <w:r>
        <w:rPr>
          <w:color w:val="auto"/>
        </w:rPr>
        <w:t xml:space="preserve">arket and the present </w:t>
      </w:r>
      <w:r w:rsidR="00FC0DB5">
        <w:rPr>
          <w:color w:val="auto"/>
        </w:rPr>
        <w:t>GSE</w:t>
      </w:r>
      <w:r>
        <w:rPr>
          <w:color w:val="auto"/>
        </w:rPr>
        <w:t xml:space="preserve"> structure, thus providing an impetus for private capital returning to the mortgage market.  </w:t>
      </w:r>
    </w:p>
    <w:p w14:paraId="6D01805F" w14:textId="77777777" w:rsidR="00F767D8" w:rsidRDefault="00F767D8" w:rsidP="00F767D8">
      <w:pPr>
        <w:pStyle w:val="Default"/>
        <w:jc w:val="both"/>
        <w:rPr>
          <w:color w:val="auto"/>
        </w:rPr>
      </w:pPr>
    </w:p>
    <w:p w14:paraId="6DA6B82D" w14:textId="77777777" w:rsidR="00F767D8" w:rsidRDefault="00F767D8" w:rsidP="00F767D8">
      <w:pPr>
        <w:pStyle w:val="Default"/>
        <w:jc w:val="both"/>
        <w:rPr>
          <w:color w:val="auto"/>
        </w:rPr>
      </w:pPr>
      <w:r>
        <w:rPr>
          <w:color w:val="auto"/>
        </w:rPr>
        <w:t>While such an increase in G-fees</w:t>
      </w:r>
      <w:r w:rsidR="00D73DA0">
        <w:rPr>
          <w:color w:val="auto"/>
        </w:rPr>
        <w:t xml:space="preserve"> </w:t>
      </w:r>
      <w:r>
        <w:rPr>
          <w:color w:val="auto"/>
        </w:rPr>
        <w:t xml:space="preserve">may </w:t>
      </w:r>
      <w:r w:rsidRPr="00590BC5">
        <w:rPr>
          <w:i/>
          <w:color w:val="auto"/>
        </w:rPr>
        <w:t>theoretically</w:t>
      </w:r>
      <w:r>
        <w:rPr>
          <w:color w:val="auto"/>
        </w:rPr>
        <w:t xml:space="preserve"> </w:t>
      </w:r>
      <w:r w:rsidR="00D73DA0" w:rsidRPr="00590BC5">
        <w:rPr>
          <w:color w:val="auto"/>
        </w:rPr>
        <w:t>incentivize</w:t>
      </w:r>
      <w:r>
        <w:rPr>
          <w:color w:val="auto"/>
        </w:rPr>
        <w:t xml:space="preserve"> </w:t>
      </w:r>
      <w:r w:rsidR="00D73DA0">
        <w:rPr>
          <w:color w:val="auto"/>
        </w:rPr>
        <w:t>an</w:t>
      </w:r>
      <w:r>
        <w:rPr>
          <w:color w:val="auto"/>
        </w:rPr>
        <w:t xml:space="preserve"> increase</w:t>
      </w:r>
      <w:r w:rsidR="00F11DDD">
        <w:rPr>
          <w:color w:val="auto"/>
        </w:rPr>
        <w:t>d</w:t>
      </w:r>
      <w:r>
        <w:rPr>
          <w:color w:val="auto"/>
        </w:rPr>
        <w:t xml:space="preserve"> supply to the PLS </w:t>
      </w:r>
      <w:r w:rsidR="00D73DA0">
        <w:rPr>
          <w:color w:val="auto"/>
        </w:rPr>
        <w:t>m</w:t>
      </w:r>
      <w:r>
        <w:rPr>
          <w:color w:val="auto"/>
        </w:rPr>
        <w:t xml:space="preserve">arket, there </w:t>
      </w:r>
      <w:r w:rsidR="008A00FA">
        <w:rPr>
          <w:color w:val="auto"/>
        </w:rPr>
        <w:t>remai</w:t>
      </w:r>
      <w:r w:rsidR="00AC2820">
        <w:rPr>
          <w:color w:val="auto"/>
        </w:rPr>
        <w:t>n</w:t>
      </w:r>
      <w:r w:rsidR="008A00FA">
        <w:rPr>
          <w:color w:val="auto"/>
        </w:rPr>
        <w:t xml:space="preserve"> </w:t>
      </w:r>
      <w:r>
        <w:rPr>
          <w:color w:val="auto"/>
        </w:rPr>
        <w:t>two key areas of concern</w:t>
      </w:r>
      <w:r w:rsidR="008A00FA">
        <w:rPr>
          <w:color w:val="auto"/>
        </w:rPr>
        <w:t>:</w:t>
      </w:r>
    </w:p>
    <w:p w14:paraId="2FF48DDC" w14:textId="77777777" w:rsidR="00F767D8" w:rsidRDefault="00F767D8" w:rsidP="00F767D8">
      <w:pPr>
        <w:pStyle w:val="Default"/>
        <w:ind w:left="1080"/>
        <w:jc w:val="both"/>
        <w:rPr>
          <w:color w:val="auto"/>
        </w:rPr>
      </w:pPr>
    </w:p>
    <w:p w14:paraId="53F2FFF8" w14:textId="3F8BCAD3" w:rsidR="00F767D8" w:rsidRDefault="00F767D8" w:rsidP="00C420DC">
      <w:pPr>
        <w:pStyle w:val="Default"/>
        <w:numPr>
          <w:ilvl w:val="0"/>
          <w:numId w:val="12"/>
        </w:numPr>
        <w:jc w:val="both"/>
        <w:rPr>
          <w:color w:val="auto"/>
        </w:rPr>
      </w:pPr>
      <w:r>
        <w:rPr>
          <w:color w:val="auto"/>
        </w:rPr>
        <w:t>Is the use of these measures likely to be a significant driver of such a swing in supply?</w:t>
      </w:r>
    </w:p>
    <w:p w14:paraId="0A22A9BA" w14:textId="77777777" w:rsidR="00E36D58" w:rsidRDefault="00E36D58" w:rsidP="00E36D58">
      <w:pPr>
        <w:pStyle w:val="Default"/>
        <w:ind w:left="1080"/>
        <w:jc w:val="both"/>
        <w:rPr>
          <w:color w:val="auto"/>
        </w:rPr>
      </w:pPr>
    </w:p>
    <w:p w14:paraId="2C52BF23" w14:textId="77777777" w:rsidR="00F767D8" w:rsidRDefault="00F767D8" w:rsidP="00F767D8">
      <w:pPr>
        <w:pStyle w:val="Default"/>
        <w:numPr>
          <w:ilvl w:val="0"/>
          <w:numId w:val="12"/>
        </w:numPr>
        <w:jc w:val="both"/>
        <w:rPr>
          <w:color w:val="auto"/>
        </w:rPr>
      </w:pPr>
      <w:r>
        <w:rPr>
          <w:color w:val="auto"/>
        </w:rPr>
        <w:t xml:space="preserve">Can a “still recovering” PLS </w:t>
      </w:r>
      <w:r w:rsidR="00143ACA">
        <w:rPr>
          <w:color w:val="auto"/>
        </w:rPr>
        <w:t>m</w:t>
      </w:r>
      <w:r>
        <w:rPr>
          <w:color w:val="auto"/>
        </w:rPr>
        <w:t xml:space="preserve">arket digest any significant </w:t>
      </w:r>
      <w:r w:rsidR="00480E37">
        <w:rPr>
          <w:color w:val="auto"/>
        </w:rPr>
        <w:t>increase</w:t>
      </w:r>
      <w:r>
        <w:rPr>
          <w:color w:val="auto"/>
        </w:rPr>
        <w:t xml:space="preserve"> in supply?</w:t>
      </w:r>
    </w:p>
    <w:p w14:paraId="7D7B66B8" w14:textId="77777777" w:rsidR="00F767D8" w:rsidRDefault="00F767D8" w:rsidP="00F767D8">
      <w:pPr>
        <w:pStyle w:val="Default"/>
        <w:jc w:val="both"/>
        <w:rPr>
          <w:color w:val="auto"/>
        </w:rPr>
      </w:pPr>
    </w:p>
    <w:p w14:paraId="2B487D02" w14:textId="5EEB8858" w:rsidR="005F284F" w:rsidRDefault="00D73DA0" w:rsidP="00EF7D07">
      <w:pPr>
        <w:pStyle w:val="Default"/>
        <w:jc w:val="both"/>
        <w:rPr>
          <w:color w:val="auto"/>
        </w:rPr>
      </w:pPr>
      <w:r>
        <w:rPr>
          <w:color w:val="auto"/>
        </w:rPr>
        <w:t>M</w:t>
      </w:r>
      <w:r w:rsidR="00F767D8">
        <w:rPr>
          <w:color w:val="auto"/>
        </w:rPr>
        <w:t>any</w:t>
      </w:r>
      <w:r>
        <w:rPr>
          <w:color w:val="auto"/>
        </w:rPr>
        <w:t xml:space="preserve">, but not all, </w:t>
      </w:r>
      <w:r w:rsidR="006440B1">
        <w:rPr>
          <w:color w:val="auto"/>
        </w:rPr>
        <w:t>of our members</w:t>
      </w:r>
      <w:r w:rsidR="00F767D8">
        <w:rPr>
          <w:color w:val="auto"/>
        </w:rPr>
        <w:t xml:space="preserve"> believe that the </w:t>
      </w:r>
      <w:r>
        <w:rPr>
          <w:color w:val="auto"/>
        </w:rPr>
        <w:t>PLS market is</w:t>
      </w:r>
      <w:r w:rsidR="00A42B02">
        <w:rPr>
          <w:color w:val="auto"/>
        </w:rPr>
        <w:t xml:space="preserve"> </w:t>
      </w:r>
      <w:r w:rsidR="00F11DDD">
        <w:rPr>
          <w:color w:val="auto"/>
        </w:rPr>
        <w:t xml:space="preserve">not </w:t>
      </w:r>
      <w:r w:rsidR="00F767D8">
        <w:rPr>
          <w:color w:val="auto"/>
        </w:rPr>
        <w:t>sufficiently robust to absorb such a change</w:t>
      </w:r>
      <w:r>
        <w:rPr>
          <w:color w:val="auto"/>
        </w:rPr>
        <w:t xml:space="preserve"> due to</w:t>
      </w:r>
      <w:r w:rsidR="00F767D8">
        <w:rPr>
          <w:color w:val="auto"/>
        </w:rPr>
        <w:t xml:space="preserve"> </w:t>
      </w:r>
      <w:r w:rsidR="00480E37">
        <w:rPr>
          <w:color w:val="auto"/>
        </w:rPr>
        <w:t xml:space="preserve">the </w:t>
      </w:r>
      <w:r w:rsidR="00F767D8">
        <w:rPr>
          <w:color w:val="auto"/>
        </w:rPr>
        <w:t>known structural issues and regulatory overhang</w:t>
      </w:r>
      <w:r w:rsidR="00A42B02">
        <w:rPr>
          <w:color w:val="auto"/>
        </w:rPr>
        <w:t xml:space="preserve"> that exist</w:t>
      </w:r>
      <w:r w:rsidR="00F767D8">
        <w:rPr>
          <w:color w:val="auto"/>
        </w:rPr>
        <w:t xml:space="preserve"> (See Appendix A for a further description).  </w:t>
      </w:r>
      <w:r w:rsidR="001643CF">
        <w:rPr>
          <w:color w:val="auto"/>
        </w:rPr>
        <w:t xml:space="preserve">Additionally, beyond considerations related to the PLS market, </w:t>
      </w:r>
      <w:r w:rsidR="00E9465A">
        <w:rPr>
          <w:color w:val="auto"/>
        </w:rPr>
        <w:t>we should remain</w:t>
      </w:r>
      <w:r w:rsidR="00EF7D07">
        <w:rPr>
          <w:color w:val="auto"/>
        </w:rPr>
        <w:t xml:space="preserve"> </w:t>
      </w:r>
      <w:r w:rsidR="00E9465A">
        <w:rPr>
          <w:color w:val="auto"/>
        </w:rPr>
        <w:t>cognizant of</w:t>
      </w:r>
      <w:r w:rsidR="00C602E5">
        <w:rPr>
          <w:color w:val="auto"/>
        </w:rPr>
        <w:t xml:space="preserve"> </w:t>
      </w:r>
      <w:r w:rsidR="00640101">
        <w:rPr>
          <w:color w:val="auto"/>
        </w:rPr>
        <w:t>the</w:t>
      </w:r>
      <w:r w:rsidR="00E9465A">
        <w:rPr>
          <w:color w:val="auto"/>
        </w:rPr>
        <w:t xml:space="preserve"> current</w:t>
      </w:r>
      <w:r w:rsidR="00C602E5">
        <w:rPr>
          <w:color w:val="auto"/>
        </w:rPr>
        <w:t xml:space="preserve"> macro-economic </w:t>
      </w:r>
      <w:r w:rsidR="00E9465A">
        <w:rPr>
          <w:color w:val="auto"/>
        </w:rPr>
        <w:t>environment and take great care</w:t>
      </w:r>
      <w:r w:rsidR="00241E3D">
        <w:rPr>
          <w:color w:val="auto"/>
        </w:rPr>
        <w:t xml:space="preserve"> in considering </w:t>
      </w:r>
      <w:r w:rsidR="00E9465A">
        <w:rPr>
          <w:color w:val="auto"/>
        </w:rPr>
        <w:t xml:space="preserve">any action </w:t>
      </w:r>
      <w:r w:rsidR="00241E3D">
        <w:rPr>
          <w:color w:val="auto"/>
        </w:rPr>
        <w:t xml:space="preserve">that </w:t>
      </w:r>
      <w:r w:rsidR="00E9465A">
        <w:rPr>
          <w:color w:val="auto"/>
        </w:rPr>
        <w:t>may affect the cost to consumers and the overall recovery of the housing market</w:t>
      </w:r>
      <w:r w:rsidR="00C602E5">
        <w:rPr>
          <w:color w:val="auto"/>
        </w:rPr>
        <w:t xml:space="preserve">. </w:t>
      </w:r>
    </w:p>
    <w:p w14:paraId="7ABF94DE" w14:textId="77777777" w:rsidR="001643CF" w:rsidRDefault="001643CF" w:rsidP="005F284F">
      <w:pPr>
        <w:pStyle w:val="Default"/>
        <w:jc w:val="both"/>
        <w:rPr>
          <w:color w:val="auto"/>
        </w:rPr>
      </w:pPr>
    </w:p>
    <w:p w14:paraId="36B087AF" w14:textId="20354612" w:rsidR="00C602E5" w:rsidRDefault="009B6CF0" w:rsidP="00EF7D07">
      <w:pPr>
        <w:pStyle w:val="Default"/>
        <w:jc w:val="both"/>
        <w:rPr>
          <w:color w:val="auto"/>
        </w:rPr>
      </w:pPr>
      <w:r>
        <w:rPr>
          <w:color w:val="auto"/>
        </w:rPr>
        <w:t xml:space="preserve">Conversely, some </w:t>
      </w:r>
      <w:r w:rsidR="001643CF">
        <w:rPr>
          <w:color w:val="auto"/>
        </w:rPr>
        <w:t xml:space="preserve">of our membership, believe that stimulating supply to the PLS market </w:t>
      </w:r>
      <w:r w:rsidR="008E6D61">
        <w:rPr>
          <w:color w:val="auto"/>
        </w:rPr>
        <w:t xml:space="preserve">will </w:t>
      </w:r>
      <w:r w:rsidR="001643CF">
        <w:rPr>
          <w:color w:val="auto"/>
        </w:rPr>
        <w:t xml:space="preserve">incentivize market participants to resolve structural issues.  </w:t>
      </w:r>
      <w:r w:rsidR="00246835">
        <w:rPr>
          <w:color w:val="auto"/>
        </w:rPr>
        <w:t xml:space="preserve">Additionally, they </w:t>
      </w:r>
      <w:r w:rsidR="001E037B">
        <w:rPr>
          <w:color w:val="auto"/>
        </w:rPr>
        <w:t>highlight</w:t>
      </w:r>
      <w:r w:rsidR="00E36D58">
        <w:rPr>
          <w:color w:val="auto"/>
        </w:rPr>
        <w:t xml:space="preserve"> that given </w:t>
      </w:r>
      <w:r w:rsidR="00E36D58">
        <w:rPr>
          <w:color w:val="auto"/>
        </w:rPr>
        <w:lastRenderedPageBreak/>
        <w:t xml:space="preserve">the </w:t>
      </w:r>
      <w:r w:rsidR="00246835">
        <w:rPr>
          <w:color w:val="auto"/>
        </w:rPr>
        <w:t xml:space="preserve">current low-interest rate environment, which provides consumers with near-record low-cost funding, the impact of a G-fee increase may be negligible.  </w:t>
      </w:r>
      <w:r w:rsidR="00EF7D07">
        <w:rPr>
          <w:color w:val="auto"/>
        </w:rPr>
        <w:t xml:space="preserve"> </w:t>
      </w:r>
    </w:p>
    <w:p w14:paraId="5314D0A6" w14:textId="77777777" w:rsidR="00CF7554" w:rsidRDefault="00CF7554" w:rsidP="00EF7D07">
      <w:pPr>
        <w:pStyle w:val="Default"/>
        <w:jc w:val="both"/>
        <w:rPr>
          <w:color w:val="auto"/>
        </w:rPr>
      </w:pPr>
    </w:p>
    <w:p w14:paraId="2D520337" w14:textId="689CA189" w:rsidR="00EF7D07" w:rsidRDefault="001E037B" w:rsidP="00EF7D07">
      <w:pPr>
        <w:pStyle w:val="Default"/>
        <w:jc w:val="both"/>
        <w:rPr>
          <w:color w:val="auto"/>
        </w:rPr>
      </w:pPr>
      <w:r>
        <w:rPr>
          <w:color w:val="auto"/>
        </w:rPr>
        <w:t>To</w:t>
      </w:r>
      <w:r w:rsidR="00C602E5">
        <w:rPr>
          <w:color w:val="auto"/>
        </w:rPr>
        <w:t xml:space="preserve"> avoid over-stressing the </w:t>
      </w:r>
      <w:r w:rsidR="00485620">
        <w:rPr>
          <w:color w:val="auto"/>
        </w:rPr>
        <w:t xml:space="preserve">currently thin </w:t>
      </w:r>
      <w:r w:rsidR="00C602E5">
        <w:rPr>
          <w:color w:val="auto"/>
        </w:rPr>
        <w:t xml:space="preserve">PLS market and to protect against the risk of creating unintended macro-economic consequences, </w:t>
      </w:r>
      <w:r w:rsidR="00C61A19">
        <w:rPr>
          <w:color w:val="auto"/>
        </w:rPr>
        <w:t xml:space="preserve">while being mindful of credit availability, </w:t>
      </w:r>
      <w:r w:rsidR="00C602E5">
        <w:rPr>
          <w:color w:val="auto"/>
        </w:rPr>
        <w:t xml:space="preserve">a </w:t>
      </w:r>
      <w:r w:rsidR="00C61A19">
        <w:rPr>
          <w:color w:val="auto"/>
        </w:rPr>
        <w:t xml:space="preserve">different </w:t>
      </w:r>
      <w:r w:rsidR="00EF7D07">
        <w:rPr>
          <w:color w:val="auto"/>
        </w:rPr>
        <w:t xml:space="preserve">approach to </w:t>
      </w:r>
      <w:r w:rsidR="00246835">
        <w:rPr>
          <w:color w:val="auto"/>
        </w:rPr>
        <w:t xml:space="preserve">setting </w:t>
      </w:r>
      <w:r w:rsidR="00EF7D07">
        <w:rPr>
          <w:color w:val="auto"/>
        </w:rPr>
        <w:t>G-fee</w:t>
      </w:r>
      <w:r w:rsidR="00246835">
        <w:rPr>
          <w:color w:val="auto"/>
        </w:rPr>
        <w:t>s</w:t>
      </w:r>
      <w:r w:rsidR="00241E3D">
        <w:rPr>
          <w:color w:val="auto"/>
        </w:rPr>
        <w:t xml:space="preserve"> </w:t>
      </w:r>
      <w:r w:rsidR="00C61A19">
        <w:rPr>
          <w:color w:val="auto"/>
        </w:rPr>
        <w:t>(discussed below)</w:t>
      </w:r>
      <w:r w:rsidR="00EF7D07">
        <w:rPr>
          <w:color w:val="auto"/>
        </w:rPr>
        <w:t xml:space="preserve"> </w:t>
      </w:r>
      <w:r w:rsidR="00C602E5">
        <w:rPr>
          <w:color w:val="auto"/>
        </w:rPr>
        <w:t xml:space="preserve">might </w:t>
      </w:r>
      <w:r w:rsidR="00EF7D07">
        <w:rPr>
          <w:color w:val="auto"/>
        </w:rPr>
        <w:t xml:space="preserve">be </w:t>
      </w:r>
      <w:r w:rsidR="00C602E5">
        <w:rPr>
          <w:color w:val="auto"/>
        </w:rPr>
        <w:t xml:space="preserve">more </w:t>
      </w:r>
      <w:r w:rsidR="00EF7D07">
        <w:rPr>
          <w:color w:val="auto"/>
        </w:rPr>
        <w:t xml:space="preserve">appropriate.  </w:t>
      </w:r>
    </w:p>
    <w:p w14:paraId="3E522920" w14:textId="77777777" w:rsidR="00EF7D07" w:rsidRDefault="00EF7D07" w:rsidP="00F767D8">
      <w:pPr>
        <w:pStyle w:val="Default"/>
        <w:jc w:val="both"/>
        <w:rPr>
          <w:color w:val="auto"/>
        </w:rPr>
      </w:pPr>
    </w:p>
    <w:p w14:paraId="710089C9" w14:textId="77777777" w:rsidR="00EF7D07" w:rsidRPr="00EF7D07" w:rsidRDefault="00EF7D07" w:rsidP="00F767D8">
      <w:pPr>
        <w:pStyle w:val="Default"/>
        <w:jc w:val="both"/>
        <w:rPr>
          <w:b/>
          <w:color w:val="auto"/>
          <w:sz w:val="16"/>
          <w:szCs w:val="16"/>
        </w:rPr>
      </w:pPr>
      <w:r w:rsidRPr="00EF7D07">
        <w:rPr>
          <w:b/>
          <w:color w:val="auto"/>
        </w:rPr>
        <w:t>Decreasing Loan Limits May Be a More Efficient Stimulant to Restoring the PLS Market</w:t>
      </w:r>
    </w:p>
    <w:p w14:paraId="3CB2EA11" w14:textId="77777777" w:rsidR="00EF7D07" w:rsidRDefault="00EF7D07" w:rsidP="00F767D8">
      <w:pPr>
        <w:pStyle w:val="Default"/>
        <w:jc w:val="both"/>
        <w:rPr>
          <w:color w:val="auto"/>
        </w:rPr>
      </w:pPr>
    </w:p>
    <w:p w14:paraId="36CA665E" w14:textId="01986C04" w:rsidR="008A56F2" w:rsidRDefault="00B616BA" w:rsidP="00F767D8">
      <w:pPr>
        <w:pStyle w:val="Default"/>
        <w:jc w:val="both"/>
        <w:rPr>
          <w:color w:val="auto"/>
        </w:rPr>
      </w:pPr>
      <w:r>
        <w:rPr>
          <w:color w:val="auto"/>
        </w:rPr>
        <w:t>A</w:t>
      </w:r>
      <w:r w:rsidR="00F767D8">
        <w:rPr>
          <w:color w:val="auto"/>
        </w:rPr>
        <w:t xml:space="preserve"> reduction in loan limits has a more direct impact on driving supply to the PLS </w:t>
      </w:r>
      <w:r w:rsidR="00D01558">
        <w:rPr>
          <w:color w:val="auto"/>
        </w:rPr>
        <w:t>m</w:t>
      </w:r>
      <w:r w:rsidR="00F767D8">
        <w:rPr>
          <w:color w:val="auto"/>
        </w:rPr>
        <w:t>arket</w:t>
      </w:r>
      <w:r w:rsidR="00901DA1">
        <w:rPr>
          <w:color w:val="auto"/>
        </w:rPr>
        <w:t xml:space="preserve"> than an increase in G-fees</w:t>
      </w:r>
      <w:r w:rsidR="00F767D8">
        <w:rPr>
          <w:color w:val="auto"/>
        </w:rPr>
        <w:t xml:space="preserve">, </w:t>
      </w:r>
      <w:r w:rsidR="002C5139">
        <w:rPr>
          <w:color w:val="auto"/>
        </w:rPr>
        <w:t xml:space="preserve">as it actually </w:t>
      </w:r>
      <w:r w:rsidR="002C5139" w:rsidRPr="00707E63">
        <w:rPr>
          <w:i/>
          <w:color w:val="auto"/>
        </w:rPr>
        <w:t xml:space="preserve">prevents </w:t>
      </w:r>
      <w:r w:rsidR="002C5139">
        <w:rPr>
          <w:color w:val="auto"/>
        </w:rPr>
        <w:t>the affected loans from being GSE-financed. W</w:t>
      </w:r>
      <w:r w:rsidR="00F767D8">
        <w:rPr>
          <w:color w:val="auto"/>
        </w:rPr>
        <w:t>hen the time is right to incentivize that supply, the more efficient stimulant</w:t>
      </w:r>
      <w:r w:rsidR="002C5139">
        <w:rPr>
          <w:color w:val="auto"/>
        </w:rPr>
        <w:t xml:space="preserve"> may therefore be </w:t>
      </w:r>
      <w:r w:rsidR="005C5AA1">
        <w:rPr>
          <w:color w:val="auto"/>
        </w:rPr>
        <w:t xml:space="preserve">the </w:t>
      </w:r>
      <w:r w:rsidR="002C5139">
        <w:rPr>
          <w:color w:val="auto"/>
        </w:rPr>
        <w:t>use of loan limits</w:t>
      </w:r>
      <w:r w:rsidR="00F767D8">
        <w:rPr>
          <w:color w:val="auto"/>
        </w:rPr>
        <w:t>.</w:t>
      </w:r>
      <w:r w:rsidR="00FC0DB5">
        <w:rPr>
          <w:rStyle w:val="FootnoteReference"/>
          <w:color w:val="auto"/>
        </w:rPr>
        <w:footnoteReference w:id="3"/>
      </w:r>
      <w:r w:rsidR="00F767D8">
        <w:rPr>
          <w:color w:val="auto"/>
        </w:rPr>
        <w:t xml:space="preserve">  </w:t>
      </w:r>
      <w:r w:rsidR="002C5139">
        <w:rPr>
          <w:color w:val="auto"/>
        </w:rPr>
        <w:t xml:space="preserve">A decrease in conforming loan limits would not only serve as </w:t>
      </w:r>
      <w:r w:rsidR="00901DA1">
        <w:rPr>
          <w:color w:val="auto"/>
        </w:rPr>
        <w:t>a</w:t>
      </w:r>
      <w:r w:rsidR="002C5139">
        <w:rPr>
          <w:color w:val="auto"/>
        </w:rPr>
        <w:t xml:space="preserve"> more powerful tool for incentivizing a return of private capital but would also allow the GSEs to </w:t>
      </w:r>
      <w:r w:rsidR="008B4157">
        <w:rPr>
          <w:color w:val="auto"/>
        </w:rPr>
        <w:t xml:space="preserve">focus on </w:t>
      </w:r>
      <w:r w:rsidR="002C5139">
        <w:rPr>
          <w:color w:val="auto"/>
        </w:rPr>
        <w:t>borrowers at the lower loan limits who are in most need of lower cost financing</w:t>
      </w:r>
      <w:r w:rsidR="00F767D8">
        <w:rPr>
          <w:color w:val="auto"/>
        </w:rPr>
        <w:t>.</w:t>
      </w:r>
      <w:r w:rsidR="001D2A91">
        <w:rPr>
          <w:rStyle w:val="FootnoteReference"/>
          <w:color w:val="auto"/>
        </w:rPr>
        <w:footnoteReference w:id="4"/>
      </w:r>
      <w:r w:rsidR="00181132">
        <w:rPr>
          <w:color w:val="auto"/>
        </w:rPr>
        <w:t xml:space="preserve"> </w:t>
      </w:r>
      <w:r w:rsidR="00B73F9A">
        <w:rPr>
          <w:color w:val="auto"/>
        </w:rPr>
        <w:t xml:space="preserve"> </w:t>
      </w:r>
      <w:r w:rsidR="008B4157">
        <w:rPr>
          <w:color w:val="auto"/>
        </w:rPr>
        <w:t xml:space="preserve">However, it should be noted that due to the structural issues currently present in the PLS market, there is a possibility that </w:t>
      </w:r>
      <w:r w:rsidR="002F2F97">
        <w:rPr>
          <w:color w:val="auto"/>
        </w:rPr>
        <w:t xml:space="preserve">ultimately </w:t>
      </w:r>
      <w:r w:rsidR="008B4157">
        <w:rPr>
          <w:color w:val="auto"/>
        </w:rPr>
        <w:t>certain loans will not be originated</w:t>
      </w:r>
      <w:r w:rsidR="002F2F97">
        <w:rPr>
          <w:color w:val="auto"/>
        </w:rPr>
        <w:t xml:space="preserve"> by some lenders</w:t>
      </w:r>
      <w:r w:rsidR="00E97E07">
        <w:rPr>
          <w:color w:val="auto"/>
        </w:rPr>
        <w:t xml:space="preserve"> (</w:t>
      </w:r>
      <w:r w:rsidR="00A555EA">
        <w:rPr>
          <w:color w:val="auto"/>
        </w:rPr>
        <w:t>or</w:t>
      </w:r>
      <w:r w:rsidR="00F27BF8">
        <w:rPr>
          <w:color w:val="auto"/>
        </w:rPr>
        <w:t>,</w:t>
      </w:r>
      <w:r w:rsidR="00A555EA">
        <w:rPr>
          <w:color w:val="auto"/>
        </w:rPr>
        <w:t xml:space="preserve"> if originated </w:t>
      </w:r>
      <w:r w:rsidR="00F27BF8">
        <w:rPr>
          <w:color w:val="auto"/>
        </w:rPr>
        <w:t xml:space="preserve">at all, </w:t>
      </w:r>
      <w:r w:rsidR="0039754B">
        <w:rPr>
          <w:color w:val="auto"/>
        </w:rPr>
        <w:t xml:space="preserve">being done so </w:t>
      </w:r>
      <w:r w:rsidR="00A555EA">
        <w:rPr>
          <w:color w:val="auto"/>
        </w:rPr>
        <w:t>at a higher interest rate</w:t>
      </w:r>
      <w:r w:rsidR="00E97E07">
        <w:rPr>
          <w:color w:val="auto"/>
        </w:rPr>
        <w:t>)</w:t>
      </w:r>
      <w:r w:rsidR="008B4157">
        <w:rPr>
          <w:color w:val="auto"/>
        </w:rPr>
        <w:t xml:space="preserve"> if there is no longer a GSE outlet and</w:t>
      </w:r>
      <w:r w:rsidR="002F2F97">
        <w:rPr>
          <w:color w:val="auto"/>
        </w:rPr>
        <w:t xml:space="preserve"> </w:t>
      </w:r>
      <w:r w:rsidR="008E6D61">
        <w:rPr>
          <w:color w:val="auto"/>
        </w:rPr>
        <w:t xml:space="preserve">assuming </w:t>
      </w:r>
      <w:r w:rsidR="002F2F97">
        <w:rPr>
          <w:color w:val="auto"/>
        </w:rPr>
        <w:t>portfolio</w:t>
      </w:r>
      <w:r w:rsidR="008E6D61">
        <w:rPr>
          <w:color w:val="auto"/>
        </w:rPr>
        <w:t>s are balance sheet</w:t>
      </w:r>
      <w:r w:rsidR="002F2F97">
        <w:rPr>
          <w:color w:val="auto"/>
        </w:rPr>
        <w:t xml:space="preserve"> constrained</w:t>
      </w:r>
      <w:r w:rsidR="008B4157">
        <w:rPr>
          <w:color w:val="auto"/>
        </w:rPr>
        <w:t>.</w:t>
      </w:r>
      <w:r w:rsidR="00181132">
        <w:rPr>
          <w:color w:val="auto"/>
        </w:rPr>
        <w:t xml:space="preserve"> </w:t>
      </w:r>
    </w:p>
    <w:p w14:paraId="0DC5F5F9" w14:textId="77777777" w:rsidR="005C5AA1" w:rsidRDefault="005C5AA1" w:rsidP="00F767D8">
      <w:pPr>
        <w:pStyle w:val="Default"/>
        <w:jc w:val="both"/>
        <w:rPr>
          <w:color w:val="auto"/>
        </w:rPr>
      </w:pPr>
    </w:p>
    <w:p w14:paraId="7E7A126B" w14:textId="77777777" w:rsidR="00F767D8" w:rsidRPr="00181132" w:rsidRDefault="00516EBF" w:rsidP="00F767D8">
      <w:pPr>
        <w:pStyle w:val="Default"/>
        <w:jc w:val="both"/>
        <w:rPr>
          <w:b/>
          <w:color w:val="auto"/>
        </w:rPr>
      </w:pPr>
      <w:r w:rsidRPr="00181132">
        <w:rPr>
          <w:b/>
          <w:color w:val="auto"/>
        </w:rPr>
        <w:t xml:space="preserve">Suggested Approach to </w:t>
      </w:r>
      <w:r w:rsidR="00E36E47" w:rsidRPr="00181132">
        <w:rPr>
          <w:b/>
          <w:color w:val="auto"/>
        </w:rPr>
        <w:t xml:space="preserve">Potential </w:t>
      </w:r>
      <w:r w:rsidRPr="00181132">
        <w:rPr>
          <w:b/>
          <w:color w:val="auto"/>
        </w:rPr>
        <w:t>G-fee Increases</w:t>
      </w:r>
    </w:p>
    <w:p w14:paraId="2C217F38" w14:textId="77777777" w:rsidR="00516EBF" w:rsidRDefault="00516EBF" w:rsidP="00F767D8">
      <w:pPr>
        <w:pStyle w:val="Default"/>
        <w:jc w:val="both"/>
        <w:rPr>
          <w:color w:val="auto"/>
        </w:rPr>
      </w:pPr>
    </w:p>
    <w:p w14:paraId="1C1A53FF" w14:textId="734C2AB4" w:rsidR="00500B26" w:rsidRDefault="00E933A9" w:rsidP="00500B26">
      <w:pPr>
        <w:pStyle w:val="Default"/>
        <w:jc w:val="both"/>
        <w:rPr>
          <w:color w:val="auto"/>
        </w:rPr>
      </w:pPr>
      <w:r>
        <w:rPr>
          <w:color w:val="auto"/>
        </w:rPr>
        <w:t>SFIG</w:t>
      </w:r>
      <w:r w:rsidR="002C5139">
        <w:rPr>
          <w:color w:val="auto"/>
        </w:rPr>
        <w:t xml:space="preserve"> would advocate</w:t>
      </w:r>
      <w:r w:rsidR="00D47C78">
        <w:rPr>
          <w:color w:val="auto"/>
        </w:rPr>
        <w:t xml:space="preserve"> </w:t>
      </w:r>
      <w:r w:rsidR="00246835">
        <w:rPr>
          <w:color w:val="auto"/>
        </w:rPr>
        <w:t xml:space="preserve">that the FHFA should consider increasing </w:t>
      </w:r>
      <w:r w:rsidR="002C5139">
        <w:rPr>
          <w:color w:val="auto"/>
        </w:rPr>
        <w:t>G-fee</w:t>
      </w:r>
      <w:r w:rsidR="005C5AA1">
        <w:rPr>
          <w:color w:val="auto"/>
        </w:rPr>
        <w:t xml:space="preserve"> </w:t>
      </w:r>
      <w:r w:rsidR="00F767D8">
        <w:rPr>
          <w:color w:val="auto"/>
        </w:rPr>
        <w:t xml:space="preserve">pricing on a graduated basis based on loan </w:t>
      </w:r>
      <w:r w:rsidR="0002649A">
        <w:rPr>
          <w:color w:val="auto"/>
        </w:rPr>
        <w:t xml:space="preserve">balance </w:t>
      </w:r>
      <w:r w:rsidR="00F767D8">
        <w:rPr>
          <w:color w:val="auto"/>
        </w:rPr>
        <w:t>limit</w:t>
      </w:r>
      <w:r w:rsidR="0002649A">
        <w:rPr>
          <w:color w:val="auto"/>
        </w:rPr>
        <w:t>ation</w:t>
      </w:r>
      <w:r w:rsidR="00F767D8">
        <w:rPr>
          <w:color w:val="auto"/>
        </w:rPr>
        <w:t xml:space="preserve">s.  The timing of these G-fee increases </w:t>
      </w:r>
      <w:r w:rsidR="001473F2">
        <w:rPr>
          <w:color w:val="auto"/>
        </w:rPr>
        <w:t xml:space="preserve">applied specifically to </w:t>
      </w:r>
      <w:r w:rsidR="00F767D8">
        <w:rPr>
          <w:color w:val="auto"/>
        </w:rPr>
        <w:t xml:space="preserve">higher loan </w:t>
      </w:r>
      <w:r w:rsidR="0002649A">
        <w:rPr>
          <w:color w:val="auto"/>
        </w:rPr>
        <w:t xml:space="preserve">balances </w:t>
      </w:r>
      <w:r w:rsidR="00204D3F">
        <w:rPr>
          <w:color w:val="auto"/>
        </w:rPr>
        <w:t>sh</w:t>
      </w:r>
      <w:r w:rsidR="00F767D8">
        <w:rPr>
          <w:color w:val="auto"/>
        </w:rPr>
        <w:t xml:space="preserve">ould be phased in so as to allow the PLS </w:t>
      </w:r>
      <w:r w:rsidR="001473F2">
        <w:rPr>
          <w:color w:val="auto"/>
        </w:rPr>
        <w:t>m</w:t>
      </w:r>
      <w:r w:rsidR="00F767D8">
        <w:rPr>
          <w:color w:val="auto"/>
        </w:rPr>
        <w:t>arket</w:t>
      </w:r>
      <w:r w:rsidR="001A2450">
        <w:rPr>
          <w:color w:val="auto"/>
        </w:rPr>
        <w:t>s</w:t>
      </w:r>
      <w:r w:rsidR="00F767D8">
        <w:rPr>
          <w:color w:val="auto"/>
        </w:rPr>
        <w:t xml:space="preserve"> to digest the increased supply.  </w:t>
      </w:r>
    </w:p>
    <w:p w14:paraId="39153082" w14:textId="77777777" w:rsidR="00500B26" w:rsidRDefault="00500B26" w:rsidP="00500B26">
      <w:pPr>
        <w:pStyle w:val="Default"/>
        <w:jc w:val="both"/>
        <w:rPr>
          <w:color w:val="auto"/>
        </w:rPr>
      </w:pPr>
    </w:p>
    <w:p w14:paraId="7CF2C104" w14:textId="74E51617" w:rsidR="00F767D8" w:rsidRDefault="001E037B" w:rsidP="00F767D8">
      <w:pPr>
        <w:pStyle w:val="Default"/>
        <w:jc w:val="both"/>
        <w:rPr>
          <w:color w:val="auto"/>
        </w:rPr>
      </w:pPr>
      <w:r>
        <w:rPr>
          <w:color w:val="auto"/>
        </w:rPr>
        <w:t xml:space="preserve">We recommend this approach be taken on a gradual and deliberate basis to </w:t>
      </w:r>
      <w:r w:rsidR="00333A11">
        <w:rPr>
          <w:color w:val="auto"/>
        </w:rPr>
        <w:t xml:space="preserve">strike a balance between </w:t>
      </w:r>
      <w:r w:rsidR="00500B26">
        <w:rPr>
          <w:color w:val="auto"/>
        </w:rPr>
        <w:t xml:space="preserve">stimulating </w:t>
      </w:r>
      <w:r w:rsidR="00333A11">
        <w:rPr>
          <w:color w:val="auto"/>
        </w:rPr>
        <w:t xml:space="preserve">the </w:t>
      </w:r>
      <w:r w:rsidR="00500B26">
        <w:rPr>
          <w:color w:val="auto"/>
        </w:rPr>
        <w:t xml:space="preserve">return of the PLS </w:t>
      </w:r>
      <w:r w:rsidR="00550164">
        <w:rPr>
          <w:color w:val="auto"/>
        </w:rPr>
        <w:t>m</w:t>
      </w:r>
      <w:r w:rsidR="00500B26">
        <w:rPr>
          <w:color w:val="auto"/>
        </w:rPr>
        <w:t>arket</w:t>
      </w:r>
      <w:r w:rsidR="00333A11">
        <w:rPr>
          <w:color w:val="auto"/>
        </w:rPr>
        <w:t xml:space="preserve"> and the </w:t>
      </w:r>
      <w:r w:rsidR="00500B26">
        <w:rPr>
          <w:color w:val="auto"/>
        </w:rPr>
        <w:t>risk of overloading both a fragile capital and real estate market</w:t>
      </w:r>
      <w:r w:rsidR="00480E37">
        <w:rPr>
          <w:color w:val="auto"/>
        </w:rPr>
        <w:t>.</w:t>
      </w:r>
      <w:r w:rsidR="0002649A">
        <w:rPr>
          <w:color w:val="auto"/>
        </w:rPr>
        <w:t xml:space="preserve"> </w:t>
      </w:r>
      <w:r w:rsidR="00500B26">
        <w:rPr>
          <w:color w:val="auto"/>
        </w:rPr>
        <w:t xml:space="preserve"> </w:t>
      </w:r>
      <w:r w:rsidR="00F767D8">
        <w:rPr>
          <w:color w:val="auto"/>
        </w:rPr>
        <w:t>A multi-step approach whereby one set of G-fees exists for loans with a balance up to $417,000 and a second</w:t>
      </w:r>
      <w:r w:rsidR="00333A11">
        <w:rPr>
          <w:color w:val="auto"/>
        </w:rPr>
        <w:t>, higher</w:t>
      </w:r>
      <w:r w:rsidR="00F767D8">
        <w:rPr>
          <w:color w:val="auto"/>
        </w:rPr>
        <w:t xml:space="preserve"> set of fees exists for balances that exceed this more traditional loan limit </w:t>
      </w:r>
      <w:r w:rsidR="001473F2">
        <w:rPr>
          <w:color w:val="auto"/>
        </w:rPr>
        <w:t>may</w:t>
      </w:r>
      <w:r w:rsidR="00F767D8">
        <w:rPr>
          <w:color w:val="auto"/>
        </w:rPr>
        <w:t xml:space="preserve"> be workable as an interim step </w:t>
      </w:r>
      <w:r w:rsidR="001473F2">
        <w:rPr>
          <w:color w:val="auto"/>
        </w:rPr>
        <w:t>provided</w:t>
      </w:r>
      <w:r w:rsidR="00F767D8">
        <w:rPr>
          <w:color w:val="auto"/>
        </w:rPr>
        <w:t xml:space="preserve"> this step is </w:t>
      </w:r>
      <w:r w:rsidR="001473F2">
        <w:rPr>
          <w:color w:val="auto"/>
        </w:rPr>
        <w:t>“</w:t>
      </w:r>
      <w:r w:rsidR="00F767D8">
        <w:rPr>
          <w:color w:val="auto"/>
        </w:rPr>
        <w:t>well telegraphed</w:t>
      </w:r>
      <w:r w:rsidR="001473F2">
        <w:rPr>
          <w:color w:val="auto"/>
        </w:rPr>
        <w:t>”</w:t>
      </w:r>
      <w:r w:rsidR="00F767D8">
        <w:rPr>
          <w:color w:val="auto"/>
        </w:rPr>
        <w:t xml:space="preserve"> to market participants and </w:t>
      </w:r>
      <w:r w:rsidR="001473F2">
        <w:rPr>
          <w:color w:val="auto"/>
        </w:rPr>
        <w:t>executed</w:t>
      </w:r>
      <w:r w:rsidR="00F767D8">
        <w:rPr>
          <w:color w:val="auto"/>
        </w:rPr>
        <w:t xml:space="preserve"> in a gradual fashion.  </w:t>
      </w:r>
      <w:r>
        <w:rPr>
          <w:color w:val="auto"/>
        </w:rPr>
        <w:t>This</w:t>
      </w:r>
      <w:r w:rsidR="00F767D8">
        <w:rPr>
          <w:color w:val="auto"/>
        </w:rPr>
        <w:t xml:space="preserve"> </w:t>
      </w:r>
      <w:r w:rsidR="001473F2">
        <w:rPr>
          <w:color w:val="auto"/>
        </w:rPr>
        <w:t>may</w:t>
      </w:r>
      <w:r w:rsidR="00F767D8">
        <w:rPr>
          <w:color w:val="auto"/>
        </w:rPr>
        <w:t xml:space="preserve"> also prevent G-fee increases from adversely affecting borrowers purchasing less expensive houses.  </w:t>
      </w:r>
    </w:p>
    <w:p w14:paraId="07E3B5D6" w14:textId="77777777" w:rsidR="00181132" w:rsidRDefault="00181132" w:rsidP="00181132">
      <w:pPr>
        <w:pStyle w:val="Default"/>
        <w:jc w:val="both"/>
        <w:rPr>
          <w:color w:val="auto"/>
        </w:rPr>
      </w:pPr>
    </w:p>
    <w:p w14:paraId="45C37E20" w14:textId="6671DC75" w:rsidR="00181132" w:rsidRDefault="00181132" w:rsidP="00181132">
      <w:pPr>
        <w:pStyle w:val="Default"/>
        <w:jc w:val="both"/>
        <w:rPr>
          <w:color w:val="auto"/>
          <w:sz w:val="16"/>
          <w:szCs w:val="16"/>
        </w:rPr>
      </w:pPr>
      <w:r w:rsidRPr="00424A42">
        <w:rPr>
          <w:color w:val="auto"/>
        </w:rPr>
        <w:t xml:space="preserve">Simultaneously, as </w:t>
      </w:r>
      <w:r>
        <w:rPr>
          <w:color w:val="auto"/>
        </w:rPr>
        <w:t>any potential</w:t>
      </w:r>
      <w:r w:rsidRPr="00424A42">
        <w:rPr>
          <w:color w:val="auto"/>
        </w:rPr>
        <w:t xml:space="preserve"> increases take shape, we</w:t>
      </w:r>
      <w:r w:rsidR="004004CE">
        <w:rPr>
          <w:color w:val="auto"/>
        </w:rPr>
        <w:t xml:space="preserve"> ask FHFA to urge regulators to reach </w:t>
      </w:r>
      <w:r w:rsidRPr="00424A42">
        <w:rPr>
          <w:color w:val="auto"/>
        </w:rPr>
        <w:t xml:space="preserve">resolution on many of the regulatory issues (see Appendix A) that </w:t>
      </w:r>
      <w:r>
        <w:rPr>
          <w:color w:val="auto"/>
        </w:rPr>
        <w:t>continue to create</w:t>
      </w:r>
      <w:r w:rsidRPr="00424A42">
        <w:rPr>
          <w:color w:val="auto"/>
        </w:rPr>
        <w:t xml:space="preserve"> an overhang in the PLS </w:t>
      </w:r>
      <w:r>
        <w:rPr>
          <w:color w:val="auto"/>
        </w:rPr>
        <w:t>m</w:t>
      </w:r>
      <w:r w:rsidRPr="00424A42">
        <w:rPr>
          <w:color w:val="auto"/>
        </w:rPr>
        <w:t xml:space="preserve">arket </w:t>
      </w:r>
      <w:r>
        <w:rPr>
          <w:color w:val="auto"/>
        </w:rPr>
        <w:t xml:space="preserve">and to support industry initiatives, such as </w:t>
      </w:r>
      <w:r w:rsidR="00156240">
        <w:rPr>
          <w:color w:val="auto"/>
        </w:rPr>
        <w:t xml:space="preserve">SFIG’s </w:t>
      </w:r>
      <w:r>
        <w:rPr>
          <w:color w:val="auto"/>
        </w:rPr>
        <w:t>Project RMBS 3.0, to remedy any</w:t>
      </w:r>
      <w:r w:rsidRPr="00424A42">
        <w:rPr>
          <w:color w:val="auto"/>
        </w:rPr>
        <w:t xml:space="preserve"> structural issues in the PLS </w:t>
      </w:r>
      <w:r>
        <w:rPr>
          <w:color w:val="auto"/>
        </w:rPr>
        <w:t>market.  It will be difficult</w:t>
      </w:r>
      <w:r w:rsidRPr="00424A42">
        <w:rPr>
          <w:color w:val="auto"/>
        </w:rPr>
        <w:t xml:space="preserve"> for the PLS </w:t>
      </w:r>
      <w:r>
        <w:rPr>
          <w:color w:val="auto"/>
        </w:rPr>
        <w:t>m</w:t>
      </w:r>
      <w:r w:rsidRPr="00424A42">
        <w:rPr>
          <w:color w:val="auto"/>
        </w:rPr>
        <w:t xml:space="preserve">arket to take on </w:t>
      </w:r>
      <w:r>
        <w:rPr>
          <w:color w:val="auto"/>
        </w:rPr>
        <w:t>additional supply</w:t>
      </w:r>
      <w:r w:rsidRPr="00424A42">
        <w:rPr>
          <w:color w:val="auto"/>
        </w:rPr>
        <w:t xml:space="preserve"> </w:t>
      </w:r>
      <w:r w:rsidR="004004CE">
        <w:rPr>
          <w:color w:val="auto"/>
        </w:rPr>
        <w:t xml:space="preserve">simply </w:t>
      </w:r>
      <w:r w:rsidRPr="00424A42">
        <w:rPr>
          <w:color w:val="auto"/>
        </w:rPr>
        <w:t>resulting from an increase in G-fees</w:t>
      </w:r>
      <w:r w:rsidR="002F2F97">
        <w:rPr>
          <w:color w:val="auto"/>
        </w:rPr>
        <w:t>,</w:t>
      </w:r>
      <w:r w:rsidR="00333A11">
        <w:rPr>
          <w:color w:val="auto"/>
        </w:rPr>
        <w:t xml:space="preserve"> without concurrently addressing these issues</w:t>
      </w:r>
      <w:r w:rsidRPr="00424A42">
        <w:rPr>
          <w:color w:val="auto"/>
        </w:rPr>
        <w:t>.</w:t>
      </w:r>
      <w:r w:rsidRPr="008F5996">
        <w:rPr>
          <w:color w:val="auto"/>
          <w:sz w:val="16"/>
          <w:szCs w:val="16"/>
        </w:rPr>
        <w:t xml:space="preserve">  </w:t>
      </w:r>
    </w:p>
    <w:p w14:paraId="2C839AA7" w14:textId="77777777" w:rsidR="00181132" w:rsidRDefault="00181132" w:rsidP="001E6DF9">
      <w:pPr>
        <w:pStyle w:val="Default"/>
        <w:jc w:val="both"/>
        <w:rPr>
          <w:color w:val="auto"/>
        </w:rPr>
      </w:pPr>
    </w:p>
    <w:p w14:paraId="4FD0C4DF" w14:textId="77777777" w:rsidR="00631DCC" w:rsidRPr="007407B5" w:rsidRDefault="000426E1" w:rsidP="00C71106">
      <w:pPr>
        <w:ind w:left="1440" w:hanging="1440"/>
        <w:jc w:val="center"/>
        <w:rPr>
          <w:rFonts w:ascii="Times New Roman" w:hAnsi="Times New Roman" w:cs="Times New Roman"/>
          <w:b/>
          <w:sz w:val="24"/>
          <w:szCs w:val="24"/>
          <w:u w:val="single"/>
        </w:rPr>
      </w:pPr>
      <w:r w:rsidRPr="007407B5">
        <w:rPr>
          <w:rFonts w:ascii="Times New Roman" w:hAnsi="Times New Roman" w:cs="Times New Roman"/>
          <w:b/>
          <w:sz w:val="24"/>
          <w:szCs w:val="24"/>
          <w:u w:val="single"/>
        </w:rPr>
        <w:lastRenderedPageBreak/>
        <w:t>SFIG Responses to FHFA’s</w:t>
      </w:r>
      <w:r w:rsidR="00631DCC" w:rsidRPr="007407B5">
        <w:rPr>
          <w:rFonts w:ascii="Times New Roman" w:hAnsi="Times New Roman" w:cs="Times New Roman"/>
          <w:b/>
          <w:sz w:val="24"/>
          <w:szCs w:val="24"/>
          <w:u w:val="single"/>
        </w:rPr>
        <w:t xml:space="preserve"> Questions</w:t>
      </w:r>
    </w:p>
    <w:p w14:paraId="171D6E70" w14:textId="77777777" w:rsidR="00631DCC" w:rsidRDefault="008D776F" w:rsidP="005723F7">
      <w:pPr>
        <w:pStyle w:val="Default"/>
        <w:jc w:val="both"/>
        <w:rPr>
          <w:color w:val="auto"/>
        </w:rPr>
      </w:pPr>
      <w:r>
        <w:rPr>
          <w:color w:val="auto"/>
        </w:rPr>
        <w:t>We have answered selected questions below</w:t>
      </w:r>
      <w:r w:rsidR="00177B41">
        <w:rPr>
          <w:color w:val="auto"/>
        </w:rPr>
        <w:t xml:space="preserve">, </w:t>
      </w:r>
      <w:r>
        <w:rPr>
          <w:color w:val="auto"/>
        </w:rPr>
        <w:t>relate</w:t>
      </w:r>
      <w:r w:rsidR="00177B41">
        <w:rPr>
          <w:color w:val="auto"/>
        </w:rPr>
        <w:t xml:space="preserve">d primarily </w:t>
      </w:r>
      <w:r>
        <w:rPr>
          <w:color w:val="auto"/>
        </w:rPr>
        <w:t>to our expertise with</w:t>
      </w:r>
      <w:r w:rsidR="00177B41">
        <w:rPr>
          <w:color w:val="auto"/>
        </w:rPr>
        <w:t>in</w:t>
      </w:r>
      <w:r>
        <w:rPr>
          <w:color w:val="auto"/>
        </w:rPr>
        <w:t xml:space="preserve"> the PLS </w:t>
      </w:r>
      <w:r w:rsidR="00550164">
        <w:rPr>
          <w:color w:val="auto"/>
        </w:rPr>
        <w:t>m</w:t>
      </w:r>
      <w:r>
        <w:rPr>
          <w:color w:val="auto"/>
        </w:rPr>
        <w:t xml:space="preserve">arket.  </w:t>
      </w:r>
    </w:p>
    <w:p w14:paraId="4A9BE33C" w14:textId="77777777" w:rsidR="00175A3F" w:rsidRDefault="00175A3F" w:rsidP="005723F7">
      <w:pPr>
        <w:pStyle w:val="Default"/>
        <w:jc w:val="both"/>
        <w:rPr>
          <w:color w:val="auto"/>
        </w:rPr>
      </w:pPr>
    </w:p>
    <w:p w14:paraId="20493B8D" w14:textId="77777777" w:rsidR="00954B11" w:rsidRPr="000426E1" w:rsidRDefault="00954B11" w:rsidP="005723F7">
      <w:pPr>
        <w:pStyle w:val="Default"/>
        <w:jc w:val="both"/>
        <w:rPr>
          <w:color w:val="auto"/>
        </w:rPr>
      </w:pPr>
    </w:p>
    <w:p w14:paraId="59695BAC" w14:textId="77777777" w:rsidR="00631DCC" w:rsidRDefault="003B07C4" w:rsidP="003B07C4">
      <w:pPr>
        <w:pStyle w:val="Default"/>
        <w:jc w:val="both"/>
        <w:rPr>
          <w:b/>
          <w:i/>
          <w:color w:val="auto"/>
        </w:rPr>
      </w:pPr>
      <w:r w:rsidRPr="003B07C4">
        <w:rPr>
          <w:b/>
          <w:i/>
          <w:color w:val="auto"/>
        </w:rPr>
        <w:t>1.</w:t>
      </w:r>
      <w:r>
        <w:rPr>
          <w:b/>
          <w:i/>
          <w:color w:val="auto"/>
        </w:rPr>
        <w:t xml:space="preserve"> </w:t>
      </w:r>
      <w:r w:rsidR="00631DCC" w:rsidRPr="001C4659">
        <w:rPr>
          <w:b/>
          <w:i/>
          <w:color w:val="auto"/>
        </w:rPr>
        <w:t xml:space="preserve">Are there factors other than those described in section III – expected losses, unexpected losses, and general and administrative expenses that FHFA and the Enterprises should consider in setting g-fees? What goals should FHFA further in setting g-fees? </w:t>
      </w:r>
    </w:p>
    <w:p w14:paraId="39EEBE62" w14:textId="77777777" w:rsidR="00020BC7" w:rsidRDefault="00020BC7" w:rsidP="0068709B">
      <w:pPr>
        <w:pStyle w:val="Default"/>
        <w:jc w:val="both"/>
        <w:rPr>
          <w:color w:val="auto"/>
        </w:rPr>
      </w:pPr>
    </w:p>
    <w:p w14:paraId="170A9AD5" w14:textId="7578DBEC" w:rsidR="00E557E5" w:rsidRDefault="0068709B" w:rsidP="0068709B">
      <w:pPr>
        <w:pStyle w:val="Default"/>
        <w:jc w:val="both"/>
      </w:pPr>
      <w:r>
        <w:rPr>
          <w:color w:val="auto"/>
        </w:rPr>
        <w:t xml:space="preserve">SFIG believes </w:t>
      </w:r>
      <w:r>
        <w:t>that c</w:t>
      </w:r>
      <w:r w:rsidR="00281E90">
        <w:t>onsideration should</w:t>
      </w:r>
      <w:r w:rsidRPr="000A475C">
        <w:t xml:space="preserve"> be given to the </w:t>
      </w:r>
      <w:r>
        <w:t>operational</w:t>
      </w:r>
      <w:r w:rsidRPr="000A475C">
        <w:t xml:space="preserve"> advantages</w:t>
      </w:r>
      <w:r>
        <w:t xml:space="preserve"> embedded within</w:t>
      </w:r>
      <w:r w:rsidRPr="000A475C">
        <w:t xml:space="preserve"> the GSE</w:t>
      </w:r>
      <w:r>
        <w:t xml:space="preserve"> funding </w:t>
      </w:r>
      <w:r w:rsidR="005A4EC1">
        <w:t>model</w:t>
      </w:r>
      <w:r w:rsidRPr="000A475C">
        <w:t xml:space="preserve"> over </w:t>
      </w:r>
      <w:r w:rsidR="005A4EC1">
        <w:t>the PLS market</w:t>
      </w:r>
      <w:r w:rsidRPr="000A475C">
        <w:t>.</w:t>
      </w:r>
      <w:r>
        <w:t xml:space="preserve">  </w:t>
      </w:r>
      <w:r w:rsidR="008E6D61">
        <w:rPr>
          <w:color w:val="auto"/>
        </w:rPr>
        <w:t>Unless</w:t>
      </w:r>
      <w:r w:rsidR="005039BE">
        <w:rPr>
          <w:color w:val="auto"/>
        </w:rPr>
        <w:t xml:space="preserve"> that value is </w:t>
      </w:r>
      <w:r w:rsidR="008E6D61">
        <w:rPr>
          <w:color w:val="auto"/>
        </w:rPr>
        <w:t>fairly priced into the G-fee</w:t>
      </w:r>
      <w:r w:rsidR="005039BE">
        <w:rPr>
          <w:color w:val="auto"/>
        </w:rPr>
        <w:t xml:space="preserve">, GSE execution will always have an inherent advantage </w:t>
      </w:r>
      <w:r w:rsidR="008E6D61">
        <w:rPr>
          <w:color w:val="auto"/>
        </w:rPr>
        <w:t>over</w:t>
      </w:r>
      <w:r w:rsidR="005039BE">
        <w:rPr>
          <w:color w:val="auto"/>
        </w:rPr>
        <w:t xml:space="preserve"> PLS execution.  </w:t>
      </w:r>
      <w:r>
        <w:t xml:space="preserve">Specifically, the FHFA should take into account the </w:t>
      </w:r>
      <w:r w:rsidR="005A4EC1">
        <w:t xml:space="preserve">pricing </w:t>
      </w:r>
      <w:r>
        <w:t xml:space="preserve">advantages that </w:t>
      </w:r>
      <w:r w:rsidR="005A4EC1">
        <w:t xml:space="preserve">government </w:t>
      </w:r>
      <w:r>
        <w:t xml:space="preserve">guaranteed securities have </w:t>
      </w:r>
      <w:r w:rsidR="005A4EC1">
        <w:t>over private markets</w:t>
      </w:r>
      <w:r>
        <w:t xml:space="preserve"> </w:t>
      </w:r>
      <w:r w:rsidR="005A4EC1">
        <w:t xml:space="preserve">(e.g. </w:t>
      </w:r>
      <w:r>
        <w:t>senior highly-rated PLS</w:t>
      </w:r>
      <w:r w:rsidR="005A4EC1">
        <w:t>)</w:t>
      </w:r>
      <w:r w:rsidR="00746823">
        <w:t>, derived from</w:t>
      </w:r>
      <w:r w:rsidR="00E557E5">
        <w:t>:</w:t>
      </w:r>
    </w:p>
    <w:p w14:paraId="0CE2A012" w14:textId="77777777" w:rsidR="00E557E5" w:rsidRDefault="00E557E5" w:rsidP="0068709B">
      <w:pPr>
        <w:pStyle w:val="Default"/>
        <w:jc w:val="both"/>
      </w:pPr>
    </w:p>
    <w:p w14:paraId="6D2378FA" w14:textId="74AA028C" w:rsidR="00746823" w:rsidRDefault="006440B1" w:rsidP="00536AB4">
      <w:pPr>
        <w:pStyle w:val="Default"/>
        <w:numPr>
          <w:ilvl w:val="0"/>
          <w:numId w:val="17"/>
        </w:numPr>
        <w:jc w:val="both"/>
      </w:pPr>
      <w:r>
        <w:t>a</w:t>
      </w:r>
      <w:r w:rsidR="00746823">
        <w:t xml:space="preserve"> higher degree of standardization (e.g. servicing agreements, contractual arrangements, </w:t>
      </w:r>
      <w:r>
        <w:t>representations and warranties);</w:t>
      </w:r>
    </w:p>
    <w:p w14:paraId="04E4EFA2" w14:textId="188007F3" w:rsidR="00746823" w:rsidRDefault="006440B1" w:rsidP="00536AB4">
      <w:pPr>
        <w:pStyle w:val="Default"/>
        <w:numPr>
          <w:ilvl w:val="0"/>
          <w:numId w:val="17"/>
        </w:numPr>
        <w:jc w:val="both"/>
      </w:pPr>
      <w:r>
        <w:t>s</w:t>
      </w:r>
      <w:r w:rsidR="00746823">
        <w:t>cale efficiencies due to the higher volume of</w:t>
      </w:r>
      <w:r>
        <w:t xml:space="preserve"> loans flowing through the GSEs;</w:t>
      </w:r>
    </w:p>
    <w:p w14:paraId="5DC9C10A" w14:textId="435E4A7F" w:rsidR="005A4EC1" w:rsidRDefault="006440B1" w:rsidP="00536AB4">
      <w:pPr>
        <w:pStyle w:val="Default"/>
        <w:numPr>
          <w:ilvl w:val="0"/>
          <w:numId w:val="17"/>
        </w:numPr>
        <w:jc w:val="both"/>
      </w:pPr>
      <w:r>
        <w:t>c</w:t>
      </w:r>
      <w:r w:rsidR="00746823">
        <w:t xml:space="preserve">redit spread advantages </w:t>
      </w:r>
      <w:r>
        <w:t>due to the government guarantee; and</w:t>
      </w:r>
    </w:p>
    <w:p w14:paraId="1FFF7666" w14:textId="6AB18127" w:rsidR="00E253B0" w:rsidRDefault="006440B1" w:rsidP="00536AB4">
      <w:pPr>
        <w:pStyle w:val="Default"/>
        <w:numPr>
          <w:ilvl w:val="0"/>
          <w:numId w:val="17"/>
        </w:numPr>
        <w:jc w:val="both"/>
      </w:pPr>
      <w:proofErr w:type="gramStart"/>
      <w:r>
        <w:t>l</w:t>
      </w:r>
      <w:r w:rsidR="00746823">
        <w:t>ower</w:t>
      </w:r>
      <w:proofErr w:type="gramEnd"/>
      <w:r w:rsidR="00746823">
        <w:t xml:space="preserve"> embedded costs due to less onerous regulations.</w:t>
      </w:r>
    </w:p>
    <w:p w14:paraId="22FAC01A" w14:textId="77777777" w:rsidR="00C63DDC" w:rsidRDefault="00C63DDC" w:rsidP="0068709B">
      <w:pPr>
        <w:pStyle w:val="Default"/>
        <w:jc w:val="both"/>
      </w:pPr>
    </w:p>
    <w:p w14:paraId="62E07CFC" w14:textId="7D37A283" w:rsidR="0068709B" w:rsidRPr="000A475C" w:rsidRDefault="0068709B" w:rsidP="0068709B">
      <w:pPr>
        <w:pStyle w:val="Default"/>
        <w:jc w:val="both"/>
      </w:pPr>
      <w:r>
        <w:t xml:space="preserve">While these advantages could be transparently priced to further level the playing field, any incremental fees should flow </w:t>
      </w:r>
      <w:r w:rsidR="005A4EC1">
        <w:t xml:space="preserve">back </w:t>
      </w:r>
      <w:r w:rsidR="00B23437">
        <w:t xml:space="preserve">directly </w:t>
      </w:r>
      <w:r>
        <w:t xml:space="preserve">to the </w:t>
      </w:r>
      <w:r w:rsidR="005A4EC1">
        <w:t>taxpayer</w:t>
      </w:r>
      <w:r w:rsidR="00AA503F">
        <w:t xml:space="preserve"> </w:t>
      </w:r>
      <w:r w:rsidR="006A7403">
        <w:t>who ultimately provides such</w:t>
      </w:r>
      <w:r w:rsidR="00AA503F">
        <w:t xml:space="preserve"> benefits</w:t>
      </w:r>
      <w:r>
        <w:t xml:space="preserve">, </w:t>
      </w:r>
      <w:r w:rsidR="007E0CB5">
        <w:t>in lieu of either the industry or</w:t>
      </w:r>
      <w:r w:rsidR="00B23437">
        <w:t xml:space="preserve"> via</w:t>
      </w:r>
      <w:r w:rsidR="007E0CB5">
        <w:t xml:space="preserve"> the government</w:t>
      </w:r>
      <w:r>
        <w:t>.</w:t>
      </w:r>
    </w:p>
    <w:p w14:paraId="5927C3C2" w14:textId="77777777" w:rsidR="0068709B" w:rsidRDefault="0068709B" w:rsidP="0068709B">
      <w:pPr>
        <w:pStyle w:val="Default"/>
        <w:jc w:val="both"/>
        <w:rPr>
          <w:color w:val="auto"/>
        </w:rPr>
      </w:pPr>
    </w:p>
    <w:p w14:paraId="0EB53C1F" w14:textId="63F1CDEA" w:rsidR="0068709B" w:rsidRDefault="0068709B" w:rsidP="0068709B">
      <w:pPr>
        <w:pStyle w:val="Default"/>
        <w:jc w:val="both"/>
        <w:rPr>
          <w:color w:val="auto"/>
        </w:rPr>
      </w:pPr>
      <w:r>
        <w:rPr>
          <w:color w:val="auto"/>
        </w:rPr>
        <w:t xml:space="preserve">Notwithstanding the above, </w:t>
      </w:r>
      <w:r w:rsidR="00827A40">
        <w:rPr>
          <w:color w:val="auto"/>
        </w:rPr>
        <w:t xml:space="preserve">and understanding </w:t>
      </w:r>
      <w:r w:rsidR="00746823">
        <w:rPr>
          <w:color w:val="auto"/>
        </w:rPr>
        <w:t>there are additional</w:t>
      </w:r>
      <w:r w:rsidR="00712562">
        <w:rPr>
          <w:color w:val="auto"/>
        </w:rPr>
        <w:t xml:space="preserve"> issues that inhibit growth of</w:t>
      </w:r>
      <w:r w:rsidR="00827A40">
        <w:rPr>
          <w:color w:val="auto"/>
        </w:rPr>
        <w:t xml:space="preserve"> the PLS market, </w:t>
      </w:r>
      <w:r>
        <w:rPr>
          <w:color w:val="auto"/>
        </w:rPr>
        <w:t>it must be recognized</w:t>
      </w:r>
      <w:r w:rsidR="00827A40">
        <w:rPr>
          <w:color w:val="auto"/>
        </w:rPr>
        <w:t xml:space="preserve"> that in order to stimulate PLS</w:t>
      </w:r>
      <w:r>
        <w:rPr>
          <w:color w:val="auto"/>
        </w:rPr>
        <w:t xml:space="preserve">, provide more diverse funding options and create long-term benefits to </w:t>
      </w:r>
      <w:r w:rsidR="00827A40">
        <w:rPr>
          <w:color w:val="auto"/>
        </w:rPr>
        <w:t xml:space="preserve">consumers and the real economy, </w:t>
      </w:r>
      <w:r>
        <w:rPr>
          <w:color w:val="auto"/>
        </w:rPr>
        <w:t>some short-term stimulus may be required, which surpasses the principles of price transparency.</w:t>
      </w:r>
    </w:p>
    <w:p w14:paraId="59D029E8" w14:textId="77777777" w:rsidR="00827A40" w:rsidRPr="00091102" w:rsidRDefault="00827A40" w:rsidP="003B07C4">
      <w:pPr>
        <w:pStyle w:val="Default"/>
        <w:jc w:val="both"/>
        <w:rPr>
          <w:color w:val="auto"/>
        </w:rPr>
      </w:pPr>
    </w:p>
    <w:p w14:paraId="21E48F69" w14:textId="77777777" w:rsidR="00AC7F71" w:rsidRDefault="003B07C4" w:rsidP="0066679E">
      <w:pPr>
        <w:pStyle w:val="Default"/>
        <w:jc w:val="both"/>
        <w:rPr>
          <w:b/>
          <w:i/>
          <w:color w:val="auto"/>
        </w:rPr>
      </w:pPr>
      <w:r w:rsidRPr="001C4659">
        <w:rPr>
          <w:b/>
          <w:i/>
          <w:color w:val="auto"/>
        </w:rPr>
        <w:t xml:space="preserve">2. Risk to the Enterprises increases if the proportion of higher-risk loans increases relative to the proportion of lower-risk loans. This change in mix can occur if lower-risk loans are retained on bank balance sheets instead of being sold to the Enterprises, if more higher-risk loans are sold to the Enterprises, or if the overall mix of originated loans changes. What alternatives, other than risk-based pricing, should be considered? What are the pros and cons of each alternative? </w:t>
      </w:r>
    </w:p>
    <w:p w14:paraId="585E78B9" w14:textId="77777777" w:rsidR="00827A40" w:rsidRDefault="00827A40" w:rsidP="0066679E">
      <w:pPr>
        <w:pStyle w:val="Default"/>
        <w:jc w:val="both"/>
        <w:rPr>
          <w:b/>
          <w:i/>
          <w:color w:val="auto"/>
        </w:rPr>
      </w:pPr>
    </w:p>
    <w:p w14:paraId="3B4A3948" w14:textId="1F9F7788" w:rsidR="00827A40" w:rsidRDefault="00827A40" w:rsidP="0066679E">
      <w:pPr>
        <w:pStyle w:val="Default"/>
        <w:jc w:val="both"/>
        <w:rPr>
          <w:color w:val="auto"/>
        </w:rPr>
      </w:pPr>
      <w:r>
        <w:rPr>
          <w:color w:val="auto"/>
        </w:rPr>
        <w:t xml:space="preserve">The goal of returning private capital through the PLS market should be </w:t>
      </w:r>
      <w:r w:rsidR="00BF504D">
        <w:rPr>
          <w:color w:val="auto"/>
        </w:rPr>
        <w:t>an important FHFA consideration.  A</w:t>
      </w:r>
      <w:r>
        <w:rPr>
          <w:color w:val="auto"/>
        </w:rPr>
        <w:t xml:space="preserve">n increase in G-fees may facilitate the return of the PLS market, particularly if </w:t>
      </w:r>
      <w:r w:rsidR="00BF504D">
        <w:rPr>
          <w:color w:val="auto"/>
        </w:rPr>
        <w:t>increases target</w:t>
      </w:r>
      <w:r>
        <w:rPr>
          <w:color w:val="auto"/>
        </w:rPr>
        <w:t xml:space="preserve"> higher </w:t>
      </w:r>
      <w:r w:rsidR="0002649A">
        <w:rPr>
          <w:color w:val="auto"/>
        </w:rPr>
        <w:t xml:space="preserve">balanced </w:t>
      </w:r>
      <w:r>
        <w:rPr>
          <w:color w:val="auto"/>
        </w:rPr>
        <w:t>loan</w:t>
      </w:r>
      <w:r w:rsidR="0002649A">
        <w:rPr>
          <w:color w:val="auto"/>
        </w:rPr>
        <w:t>s</w:t>
      </w:r>
      <w:r>
        <w:rPr>
          <w:color w:val="auto"/>
        </w:rPr>
        <w:t xml:space="preserve"> first.  This approach would </w:t>
      </w:r>
      <w:r w:rsidR="0002649A">
        <w:rPr>
          <w:color w:val="auto"/>
        </w:rPr>
        <w:t xml:space="preserve">also </w:t>
      </w:r>
      <w:r>
        <w:rPr>
          <w:color w:val="auto"/>
        </w:rPr>
        <w:t xml:space="preserve">be protective of consumers </w:t>
      </w:r>
      <w:r w:rsidR="0002649A">
        <w:rPr>
          <w:color w:val="auto"/>
        </w:rPr>
        <w:t>at</w:t>
      </w:r>
      <w:r>
        <w:rPr>
          <w:color w:val="auto"/>
        </w:rPr>
        <w:t xml:space="preserve"> the lower end of the housing market.  However, given the issues that exist in the PLS market </w:t>
      </w:r>
      <w:r w:rsidR="0002649A">
        <w:rPr>
          <w:color w:val="auto"/>
        </w:rPr>
        <w:t xml:space="preserve">today, </w:t>
      </w:r>
      <w:r>
        <w:rPr>
          <w:color w:val="auto"/>
        </w:rPr>
        <w:t xml:space="preserve">any G-fee increase, even on higher balance loans, should be done on a gradual basis, after careful consideration of the impact </w:t>
      </w:r>
      <w:r w:rsidR="0002649A">
        <w:rPr>
          <w:color w:val="auto"/>
        </w:rPr>
        <w:t>such</w:t>
      </w:r>
      <w:r>
        <w:rPr>
          <w:color w:val="auto"/>
        </w:rPr>
        <w:t xml:space="preserve"> increases on credit availability and pricing.</w:t>
      </w:r>
    </w:p>
    <w:p w14:paraId="29846476" w14:textId="77777777" w:rsidR="00827A40" w:rsidRDefault="00827A40" w:rsidP="0066679E">
      <w:pPr>
        <w:pStyle w:val="Default"/>
        <w:jc w:val="both"/>
        <w:rPr>
          <w:color w:val="auto"/>
        </w:rPr>
      </w:pPr>
    </w:p>
    <w:p w14:paraId="570ECC85" w14:textId="36B4B66C" w:rsidR="00200312" w:rsidRDefault="004C565F" w:rsidP="0066679E">
      <w:pPr>
        <w:pStyle w:val="Default"/>
        <w:jc w:val="both"/>
      </w:pPr>
      <w:r w:rsidRPr="000A475C">
        <w:rPr>
          <w:color w:val="auto"/>
        </w:rPr>
        <w:lastRenderedPageBreak/>
        <w:t>SFIG strongly believes in market transparency and</w:t>
      </w:r>
      <w:r w:rsidR="00590BC5">
        <w:rPr>
          <w:color w:val="auto"/>
        </w:rPr>
        <w:t xml:space="preserve"> recommends </w:t>
      </w:r>
      <w:r w:rsidR="00576B46">
        <w:rPr>
          <w:color w:val="auto"/>
        </w:rPr>
        <w:t>that any setting of new prices or pricing</w:t>
      </w:r>
      <w:r w:rsidR="00590BC5">
        <w:rPr>
          <w:color w:val="auto"/>
        </w:rPr>
        <w:t xml:space="preserve"> structures should be done in a</w:t>
      </w:r>
      <w:r w:rsidR="00576B46">
        <w:rPr>
          <w:color w:val="auto"/>
        </w:rPr>
        <w:t xml:space="preserve"> transparent manner, to include important considerations such as the risk basis being priced (</w:t>
      </w:r>
      <w:r w:rsidR="00590BC5">
        <w:rPr>
          <w:color w:val="auto"/>
        </w:rPr>
        <w:t>e.g.</w:t>
      </w:r>
      <w:r w:rsidR="006440B1">
        <w:rPr>
          <w:color w:val="auto"/>
        </w:rPr>
        <w:t>,</w:t>
      </w:r>
      <w:r w:rsidR="00590BC5">
        <w:rPr>
          <w:color w:val="auto"/>
        </w:rPr>
        <w:t xml:space="preserve"> </w:t>
      </w:r>
      <w:r w:rsidR="00576B46">
        <w:rPr>
          <w:color w:val="auto"/>
        </w:rPr>
        <w:t>loan, security, vi</w:t>
      </w:r>
      <w:r w:rsidR="00590BC5">
        <w:rPr>
          <w:color w:val="auto"/>
        </w:rPr>
        <w:t>ntage or entity)</w:t>
      </w:r>
      <w:r w:rsidRPr="000A475C">
        <w:rPr>
          <w:color w:val="auto"/>
        </w:rPr>
        <w:t xml:space="preserve">. </w:t>
      </w:r>
      <w:r w:rsidR="000A475C" w:rsidRPr="000A475C">
        <w:rPr>
          <w:color w:val="auto"/>
        </w:rPr>
        <w:t xml:space="preserve"> </w:t>
      </w:r>
      <w:r w:rsidR="00B563A8">
        <w:rPr>
          <w:color w:val="auto"/>
        </w:rPr>
        <w:t>Moreover</w:t>
      </w:r>
      <w:r w:rsidR="000A475C" w:rsidRPr="000A475C">
        <w:rPr>
          <w:color w:val="auto"/>
        </w:rPr>
        <w:t>,</w:t>
      </w:r>
      <w:r w:rsidRPr="000A475C">
        <w:rPr>
          <w:color w:val="auto"/>
        </w:rPr>
        <w:t xml:space="preserve"> we would expect other considerations</w:t>
      </w:r>
      <w:r w:rsidR="00480E37">
        <w:rPr>
          <w:color w:val="auto"/>
        </w:rPr>
        <w:t>, such as affordable housing goals</w:t>
      </w:r>
      <w:r w:rsidR="00E864A5">
        <w:rPr>
          <w:color w:val="auto"/>
        </w:rPr>
        <w:t xml:space="preserve"> and GSE funding advantages</w:t>
      </w:r>
      <w:r w:rsidR="00480E37">
        <w:rPr>
          <w:color w:val="auto"/>
        </w:rPr>
        <w:t>,</w:t>
      </w:r>
      <w:r w:rsidRPr="000A475C">
        <w:rPr>
          <w:color w:val="auto"/>
        </w:rPr>
        <w:t xml:space="preserve"> to be transparently priced outside of the G</w:t>
      </w:r>
      <w:r w:rsidR="00101A03" w:rsidRPr="000A475C">
        <w:rPr>
          <w:color w:val="auto"/>
        </w:rPr>
        <w:t>-</w:t>
      </w:r>
      <w:r w:rsidR="00333A11">
        <w:rPr>
          <w:color w:val="auto"/>
        </w:rPr>
        <w:t>f</w:t>
      </w:r>
      <w:r w:rsidRPr="000A475C">
        <w:rPr>
          <w:color w:val="auto"/>
        </w:rPr>
        <w:t>ee mechanism</w:t>
      </w:r>
      <w:r w:rsidR="00101A03" w:rsidRPr="000A475C">
        <w:rPr>
          <w:color w:val="auto"/>
        </w:rPr>
        <w:t>.</w:t>
      </w:r>
      <w:r w:rsidR="00101A03" w:rsidRPr="000A475C">
        <w:rPr>
          <w:rStyle w:val="FootnoteReference"/>
        </w:rPr>
        <w:footnoteReference w:id="5"/>
      </w:r>
      <w:r w:rsidR="00101A03" w:rsidRPr="000A475C">
        <w:t xml:space="preserve"> </w:t>
      </w:r>
    </w:p>
    <w:p w14:paraId="52131F9A" w14:textId="77777777" w:rsidR="00020BC7" w:rsidRDefault="00020BC7" w:rsidP="0066679E">
      <w:pPr>
        <w:pStyle w:val="Default"/>
        <w:jc w:val="both"/>
      </w:pPr>
    </w:p>
    <w:p w14:paraId="42B0476A" w14:textId="77777777" w:rsidR="0066679E" w:rsidRPr="00200312" w:rsidRDefault="0066679E" w:rsidP="0066679E">
      <w:pPr>
        <w:pStyle w:val="Default"/>
        <w:jc w:val="both"/>
      </w:pPr>
      <w:r w:rsidRPr="00BD1BF1">
        <w:rPr>
          <w:b/>
          <w:i/>
          <w:color w:val="auto"/>
        </w:rPr>
        <w:t xml:space="preserve">3. Currently, target return on capital and the amount of capital largely determine required g-fees. What factors should FHFA and the Enterprises consider in setting target return on capital and amount of capital required? How should the Enterprises allocate capital across risk buckets?     </w:t>
      </w:r>
    </w:p>
    <w:p w14:paraId="7FB079A2" w14:textId="77777777" w:rsidR="00020BC7" w:rsidRDefault="00020BC7" w:rsidP="0066679E">
      <w:pPr>
        <w:pStyle w:val="Default"/>
        <w:jc w:val="both"/>
        <w:rPr>
          <w:i/>
          <w:color w:val="auto"/>
        </w:rPr>
      </w:pPr>
    </w:p>
    <w:p w14:paraId="30372AAC" w14:textId="24F5EA98" w:rsidR="0061549D" w:rsidRPr="0061549D" w:rsidRDefault="0061549D" w:rsidP="0061549D">
      <w:pPr>
        <w:autoSpaceDE w:val="0"/>
        <w:autoSpaceDN w:val="0"/>
        <w:spacing w:after="0" w:line="240" w:lineRule="auto"/>
        <w:jc w:val="both"/>
        <w:rPr>
          <w:rFonts w:ascii="Times New Roman" w:eastAsia="Calibri" w:hAnsi="Times New Roman" w:cs="Times New Roman"/>
          <w:sz w:val="24"/>
          <w:szCs w:val="24"/>
        </w:rPr>
      </w:pPr>
      <w:r w:rsidRPr="0061549D">
        <w:rPr>
          <w:rFonts w:ascii="Times New Roman" w:eastAsia="Calibri" w:hAnsi="Times New Roman" w:cs="Times New Roman"/>
          <w:sz w:val="24"/>
          <w:szCs w:val="24"/>
        </w:rPr>
        <w:t xml:space="preserve">SFIG believes that reform of the GSEs and the housing finance system is an important goal that </w:t>
      </w:r>
      <w:r w:rsidR="007D2B40">
        <w:rPr>
          <w:rFonts w:ascii="Times New Roman" w:eastAsia="Calibri" w:hAnsi="Times New Roman" w:cs="Times New Roman"/>
          <w:sz w:val="24"/>
          <w:szCs w:val="24"/>
        </w:rPr>
        <w:t>requires</w:t>
      </w:r>
      <w:r w:rsidRPr="0061549D">
        <w:rPr>
          <w:rFonts w:ascii="Times New Roman" w:eastAsia="Calibri" w:hAnsi="Times New Roman" w:cs="Times New Roman"/>
          <w:sz w:val="24"/>
          <w:szCs w:val="24"/>
        </w:rPr>
        <w:t xml:space="preserve"> a legislative solution.  We do not believe that decisions made regarding appropriate target returns on capital and amounts of capital required to be held by the GSEs while in conservatorship should be interpreted as long-term recommendations </w:t>
      </w:r>
      <w:r w:rsidR="0002649A">
        <w:rPr>
          <w:rFonts w:ascii="Times New Roman" w:eastAsia="Calibri" w:hAnsi="Times New Roman" w:cs="Times New Roman"/>
          <w:sz w:val="24"/>
          <w:szCs w:val="24"/>
        </w:rPr>
        <w:t xml:space="preserve">for </w:t>
      </w:r>
      <w:r w:rsidRPr="0061549D">
        <w:rPr>
          <w:rFonts w:ascii="Times New Roman" w:eastAsia="Calibri" w:hAnsi="Times New Roman" w:cs="Times New Roman"/>
          <w:sz w:val="24"/>
          <w:szCs w:val="24"/>
        </w:rPr>
        <w:t xml:space="preserve">appropriate levels for guarantors operating in a restructured housing finance system.  </w:t>
      </w:r>
    </w:p>
    <w:p w14:paraId="4F6CD4D6" w14:textId="77777777" w:rsidR="0061549D" w:rsidRDefault="0061549D" w:rsidP="00F93988">
      <w:pPr>
        <w:pStyle w:val="Default"/>
        <w:jc w:val="both"/>
        <w:rPr>
          <w:color w:val="auto"/>
        </w:rPr>
      </w:pPr>
    </w:p>
    <w:p w14:paraId="1D2DF31B" w14:textId="77777777" w:rsidR="009B2E47" w:rsidRPr="00AC3A63" w:rsidRDefault="009B2E47" w:rsidP="009B2E47">
      <w:pPr>
        <w:pStyle w:val="Default"/>
        <w:jc w:val="both"/>
        <w:rPr>
          <w:color w:val="auto"/>
        </w:rPr>
      </w:pPr>
      <w:r>
        <w:rPr>
          <w:color w:val="auto"/>
        </w:rPr>
        <w:t>The purpose of capital is to create a cushion against unexpected losses. C</w:t>
      </w:r>
      <w:r w:rsidRPr="00AC3A63">
        <w:rPr>
          <w:color w:val="auto"/>
        </w:rPr>
        <w:t>apital create</w:t>
      </w:r>
      <w:r>
        <w:rPr>
          <w:color w:val="auto"/>
        </w:rPr>
        <w:t>s</w:t>
      </w:r>
      <w:r w:rsidRPr="00AC3A63">
        <w:rPr>
          <w:color w:val="auto"/>
        </w:rPr>
        <w:t xml:space="preserve"> a buffer</w:t>
      </w:r>
      <w:r>
        <w:rPr>
          <w:color w:val="auto"/>
        </w:rPr>
        <w:t xml:space="preserve"> after </w:t>
      </w:r>
      <w:r w:rsidR="00680520">
        <w:rPr>
          <w:color w:val="auto"/>
        </w:rPr>
        <w:t xml:space="preserve">loan-loss </w:t>
      </w:r>
      <w:r>
        <w:rPr>
          <w:color w:val="auto"/>
        </w:rPr>
        <w:t>reserves, and</w:t>
      </w:r>
      <w:r w:rsidRPr="00AC3A63">
        <w:rPr>
          <w:color w:val="auto"/>
        </w:rPr>
        <w:t xml:space="preserve"> prior to </w:t>
      </w:r>
      <w:r>
        <w:rPr>
          <w:color w:val="auto"/>
        </w:rPr>
        <w:t>any government guarantee being drawn up</w:t>
      </w:r>
      <w:r w:rsidRPr="00AC3A63">
        <w:rPr>
          <w:color w:val="auto"/>
        </w:rPr>
        <w:t xml:space="preserve">on. </w:t>
      </w:r>
      <w:r>
        <w:rPr>
          <w:color w:val="auto"/>
        </w:rPr>
        <w:t xml:space="preserve"> SFIG favors a housing finance system where </w:t>
      </w:r>
      <w:r w:rsidRPr="00AC3A63">
        <w:rPr>
          <w:color w:val="auto"/>
        </w:rPr>
        <w:t xml:space="preserve">normal </w:t>
      </w:r>
      <w:r>
        <w:rPr>
          <w:color w:val="auto"/>
        </w:rPr>
        <w:t xml:space="preserve">and unexpected </w:t>
      </w:r>
      <w:r w:rsidRPr="00AC3A63">
        <w:rPr>
          <w:color w:val="auto"/>
        </w:rPr>
        <w:t>losses are abso</w:t>
      </w:r>
      <w:r>
        <w:rPr>
          <w:color w:val="auto"/>
        </w:rPr>
        <w:t xml:space="preserve">rbed by </w:t>
      </w:r>
      <w:r w:rsidRPr="00AC3A63">
        <w:rPr>
          <w:color w:val="auto"/>
        </w:rPr>
        <w:t xml:space="preserve">a private for-profit enterprise, while extraordinary </w:t>
      </w:r>
      <w:r>
        <w:rPr>
          <w:color w:val="auto"/>
        </w:rPr>
        <w:t xml:space="preserve">losses would </w:t>
      </w:r>
      <w:r w:rsidRPr="00AC3A63">
        <w:rPr>
          <w:color w:val="auto"/>
        </w:rPr>
        <w:t xml:space="preserve">cause a draw on a government guarantee </w:t>
      </w:r>
      <w:r>
        <w:rPr>
          <w:color w:val="auto"/>
        </w:rPr>
        <w:t>that</w:t>
      </w:r>
      <w:r w:rsidRPr="00AC3A63">
        <w:rPr>
          <w:color w:val="auto"/>
        </w:rPr>
        <w:t xml:space="preserve"> would be fina</w:t>
      </w:r>
      <w:r>
        <w:rPr>
          <w:color w:val="auto"/>
        </w:rPr>
        <w:t xml:space="preserve">nced through the collection of </w:t>
      </w:r>
      <w:r w:rsidRPr="00AC3A63">
        <w:rPr>
          <w:color w:val="auto"/>
        </w:rPr>
        <w:t>guarantee fees.</w:t>
      </w:r>
      <w:r>
        <w:rPr>
          <w:color w:val="auto"/>
        </w:rPr>
        <w:t xml:space="preserve"> </w:t>
      </w:r>
    </w:p>
    <w:p w14:paraId="06D412BA" w14:textId="77777777" w:rsidR="009B2E47" w:rsidRDefault="009B2E47" w:rsidP="0061549D">
      <w:pPr>
        <w:pStyle w:val="Default"/>
        <w:jc w:val="both"/>
        <w:rPr>
          <w:color w:val="auto"/>
        </w:rPr>
      </w:pPr>
    </w:p>
    <w:p w14:paraId="10DF1ABA" w14:textId="16C5865C" w:rsidR="009B2E47" w:rsidRDefault="009B2E47" w:rsidP="009B2E47">
      <w:pPr>
        <w:pStyle w:val="Default"/>
        <w:jc w:val="both"/>
        <w:rPr>
          <w:color w:val="auto"/>
        </w:rPr>
      </w:pPr>
      <w:r w:rsidRPr="00AC3A63">
        <w:rPr>
          <w:color w:val="auto"/>
        </w:rPr>
        <w:t xml:space="preserve">SFIG views the </w:t>
      </w:r>
      <w:r>
        <w:rPr>
          <w:color w:val="auto"/>
        </w:rPr>
        <w:t>GSEs’</w:t>
      </w:r>
      <w:r w:rsidRPr="00AC3A63">
        <w:rPr>
          <w:color w:val="auto"/>
        </w:rPr>
        <w:t xml:space="preserve"> traditional capital thresholds </w:t>
      </w:r>
      <w:r w:rsidR="00A16C4A">
        <w:rPr>
          <w:color w:val="auto"/>
        </w:rPr>
        <w:t>(approximately ½ percent historically)</w:t>
      </w:r>
      <w:r w:rsidR="00A16C4A">
        <w:rPr>
          <w:color w:val="auto"/>
        </w:rPr>
        <w:t xml:space="preserve"> </w:t>
      </w:r>
      <w:r w:rsidRPr="00AC3A63">
        <w:rPr>
          <w:color w:val="auto"/>
        </w:rPr>
        <w:t>as too l</w:t>
      </w:r>
      <w:r>
        <w:rPr>
          <w:color w:val="auto"/>
        </w:rPr>
        <w:t xml:space="preserve">ow. </w:t>
      </w:r>
      <w:r w:rsidR="00A16C4A">
        <w:rPr>
          <w:color w:val="auto"/>
        </w:rPr>
        <w:t xml:space="preserve"> </w:t>
      </w:r>
      <w:r>
        <w:rPr>
          <w:color w:val="auto"/>
        </w:rPr>
        <w:t xml:space="preserve">However, </w:t>
      </w:r>
      <w:r w:rsidRPr="00AC3A63">
        <w:rPr>
          <w:color w:val="auto"/>
        </w:rPr>
        <w:t xml:space="preserve">we </w:t>
      </w:r>
      <w:r>
        <w:rPr>
          <w:color w:val="auto"/>
        </w:rPr>
        <w:t xml:space="preserve">do not </w:t>
      </w:r>
      <w:r w:rsidRPr="00AC3A63">
        <w:rPr>
          <w:color w:val="auto"/>
        </w:rPr>
        <w:t xml:space="preserve">believe that there is </w:t>
      </w:r>
      <w:r>
        <w:rPr>
          <w:color w:val="auto"/>
        </w:rPr>
        <w:t xml:space="preserve">any justification </w:t>
      </w:r>
      <w:r w:rsidRPr="00AC3A63">
        <w:rPr>
          <w:color w:val="auto"/>
        </w:rPr>
        <w:t xml:space="preserve">to </w:t>
      </w:r>
      <w:r>
        <w:rPr>
          <w:color w:val="auto"/>
        </w:rPr>
        <w:t>increase</w:t>
      </w:r>
      <w:r w:rsidRPr="00AC3A63">
        <w:rPr>
          <w:color w:val="auto"/>
        </w:rPr>
        <w:t xml:space="preserve"> that amount </w:t>
      </w:r>
      <w:r w:rsidR="00DA4005">
        <w:rPr>
          <w:color w:val="auto"/>
        </w:rPr>
        <w:t xml:space="preserve">beyond </w:t>
      </w:r>
      <w:r w:rsidR="00236138">
        <w:rPr>
          <w:color w:val="auto"/>
        </w:rPr>
        <w:t>a</w:t>
      </w:r>
      <w:r>
        <w:rPr>
          <w:color w:val="auto"/>
        </w:rPr>
        <w:t xml:space="preserve"> 4-5</w:t>
      </w:r>
      <w:r w:rsidR="00156240">
        <w:rPr>
          <w:color w:val="auto"/>
        </w:rPr>
        <w:t xml:space="preserve"> percent</w:t>
      </w:r>
      <w:r>
        <w:rPr>
          <w:color w:val="auto"/>
        </w:rPr>
        <w:t xml:space="preserve"> capital </w:t>
      </w:r>
      <w:r w:rsidR="00DA4005">
        <w:rPr>
          <w:color w:val="auto"/>
        </w:rPr>
        <w:t xml:space="preserve">level, which </w:t>
      </w:r>
      <w:r>
        <w:rPr>
          <w:color w:val="auto"/>
        </w:rPr>
        <w:t>would have been more than sufficient to cover the GSE’s portfolios in the aggregate during the credit crisis.</w:t>
      </w:r>
      <w:r>
        <w:rPr>
          <w:rStyle w:val="FootnoteReference"/>
          <w:color w:val="auto"/>
        </w:rPr>
        <w:footnoteReference w:id="6"/>
      </w:r>
    </w:p>
    <w:p w14:paraId="5A110B0A" w14:textId="77777777" w:rsidR="009B2E47" w:rsidRDefault="009B2E47" w:rsidP="009B2E47">
      <w:pPr>
        <w:pStyle w:val="Default"/>
        <w:jc w:val="both"/>
        <w:rPr>
          <w:color w:val="auto"/>
        </w:rPr>
      </w:pPr>
    </w:p>
    <w:p w14:paraId="5AE164AF" w14:textId="6858E1EE" w:rsidR="009B2E47" w:rsidRDefault="009B2E47" w:rsidP="009B2E47">
      <w:pPr>
        <w:pStyle w:val="Default"/>
        <w:jc w:val="both"/>
        <w:rPr>
          <w:color w:val="auto"/>
        </w:rPr>
      </w:pPr>
      <w:r>
        <w:rPr>
          <w:color w:val="auto"/>
        </w:rPr>
        <w:t>Additionally, s</w:t>
      </w:r>
      <w:r w:rsidRPr="00AC3A63">
        <w:rPr>
          <w:color w:val="auto"/>
        </w:rPr>
        <w:t xml:space="preserve">ince the </w:t>
      </w:r>
      <w:r>
        <w:rPr>
          <w:color w:val="auto"/>
        </w:rPr>
        <w:t>credit crisis</w:t>
      </w:r>
      <w:r w:rsidRPr="00AC3A63">
        <w:rPr>
          <w:color w:val="auto"/>
        </w:rPr>
        <w:t xml:space="preserve">, not only have </w:t>
      </w:r>
      <w:r>
        <w:rPr>
          <w:color w:val="auto"/>
        </w:rPr>
        <w:t xml:space="preserve">industry </w:t>
      </w:r>
      <w:r w:rsidRPr="00AC3A63">
        <w:rPr>
          <w:color w:val="auto"/>
        </w:rPr>
        <w:t>losses dimi</w:t>
      </w:r>
      <w:r>
        <w:rPr>
          <w:color w:val="auto"/>
        </w:rPr>
        <w:t>nished but underwriting standards have become</w:t>
      </w:r>
      <w:r w:rsidRPr="00AC3A63">
        <w:rPr>
          <w:color w:val="auto"/>
        </w:rPr>
        <w:t xml:space="preserve"> more conservative</w:t>
      </w:r>
      <w:r>
        <w:rPr>
          <w:color w:val="auto"/>
        </w:rPr>
        <w:t>, both in terms of risk appetite and risk assessment</w:t>
      </w:r>
      <w:r w:rsidRPr="00AC3A63">
        <w:rPr>
          <w:color w:val="auto"/>
        </w:rPr>
        <w:t xml:space="preserve">. The </w:t>
      </w:r>
      <w:r>
        <w:rPr>
          <w:color w:val="auto"/>
        </w:rPr>
        <w:t xml:space="preserve">ability to create large markets consisting of </w:t>
      </w:r>
      <w:r w:rsidRPr="00AC3A63">
        <w:rPr>
          <w:color w:val="auto"/>
        </w:rPr>
        <w:t>subprime loans and l</w:t>
      </w:r>
      <w:r>
        <w:rPr>
          <w:color w:val="auto"/>
        </w:rPr>
        <w:t>oans with no documentation has been severely diminished through the implementation of the “</w:t>
      </w:r>
      <w:r w:rsidR="007D2B40">
        <w:rPr>
          <w:color w:val="auto"/>
        </w:rPr>
        <w:t>A</w:t>
      </w:r>
      <w:r>
        <w:rPr>
          <w:color w:val="auto"/>
        </w:rPr>
        <w:t>bility</w:t>
      </w:r>
      <w:r w:rsidR="007D2B40">
        <w:rPr>
          <w:color w:val="auto"/>
        </w:rPr>
        <w:t>-</w:t>
      </w:r>
      <w:r>
        <w:rPr>
          <w:color w:val="auto"/>
        </w:rPr>
        <w:t>to</w:t>
      </w:r>
      <w:r w:rsidR="007D2B40">
        <w:rPr>
          <w:color w:val="auto"/>
        </w:rPr>
        <w:t>-R</w:t>
      </w:r>
      <w:r>
        <w:rPr>
          <w:color w:val="auto"/>
        </w:rPr>
        <w:t>epay” rule</w:t>
      </w:r>
      <w:r w:rsidR="006440B1">
        <w:rPr>
          <w:color w:val="auto"/>
        </w:rPr>
        <w:t>.</w:t>
      </w:r>
      <w:r w:rsidR="00333A11">
        <w:rPr>
          <w:rStyle w:val="FootnoteReference"/>
          <w:color w:val="auto"/>
        </w:rPr>
        <w:footnoteReference w:id="7"/>
      </w:r>
    </w:p>
    <w:p w14:paraId="13E0768D" w14:textId="77777777" w:rsidR="009B2E47" w:rsidRDefault="009B2E47" w:rsidP="009B2E47">
      <w:pPr>
        <w:pStyle w:val="Default"/>
        <w:jc w:val="both"/>
        <w:rPr>
          <w:color w:val="auto"/>
        </w:rPr>
      </w:pPr>
    </w:p>
    <w:p w14:paraId="2530C50F" w14:textId="77777777" w:rsidR="0066679E" w:rsidRPr="0061549D" w:rsidRDefault="0066679E" w:rsidP="0061549D">
      <w:pPr>
        <w:pStyle w:val="Default"/>
        <w:jc w:val="both"/>
        <w:rPr>
          <w:color w:val="auto"/>
        </w:rPr>
      </w:pPr>
      <w:r>
        <w:rPr>
          <w:color w:val="auto"/>
        </w:rPr>
        <w:t xml:space="preserve">In our briefing book on the </w:t>
      </w:r>
      <w:r w:rsidRPr="00AC3A63">
        <w:rPr>
          <w:color w:val="auto"/>
        </w:rPr>
        <w:t>Housing Finance Reform and Taxpayer Protection Act of 2014</w:t>
      </w:r>
      <w:r w:rsidR="000C0355">
        <w:rPr>
          <w:color w:val="auto"/>
        </w:rPr>
        <w:t xml:space="preserve"> (the “Act”)</w:t>
      </w:r>
      <w:r>
        <w:rPr>
          <w:color w:val="auto"/>
        </w:rPr>
        <w:t xml:space="preserve"> that passed the Senate Committee on Banking, Housing, and Urban Affairs, we highlighted several considerations in assessing the proper amount of capital for guarantors as contemplated in a future state.  </w:t>
      </w:r>
      <w:r w:rsidR="000C0355">
        <w:rPr>
          <w:color w:val="auto"/>
        </w:rPr>
        <w:t>The Act would have required a guarantor to have 10 percent capital.</w:t>
      </w:r>
    </w:p>
    <w:p w14:paraId="5B048F03" w14:textId="77777777" w:rsidR="0066679E" w:rsidRDefault="0066679E" w:rsidP="0066679E">
      <w:pPr>
        <w:pStyle w:val="Default"/>
        <w:jc w:val="center"/>
        <w:rPr>
          <w:color w:val="auto"/>
        </w:rPr>
      </w:pPr>
    </w:p>
    <w:p w14:paraId="58EF59A1" w14:textId="124E7ED0" w:rsidR="002C5EA3" w:rsidRDefault="006541AA" w:rsidP="0061549D">
      <w:pPr>
        <w:pStyle w:val="Default"/>
        <w:jc w:val="both"/>
        <w:rPr>
          <w:color w:val="auto"/>
        </w:rPr>
      </w:pPr>
      <w:r>
        <w:rPr>
          <w:color w:val="auto"/>
        </w:rPr>
        <w:lastRenderedPageBreak/>
        <w:t>SFIG believes that c</w:t>
      </w:r>
      <w:r w:rsidRPr="00AC3A63">
        <w:rPr>
          <w:color w:val="auto"/>
        </w:rPr>
        <w:t xml:space="preserve">apitalizing </w:t>
      </w:r>
      <w:r>
        <w:rPr>
          <w:color w:val="auto"/>
        </w:rPr>
        <w:t xml:space="preserve">a future </w:t>
      </w:r>
      <w:r w:rsidRPr="00AC3A63">
        <w:rPr>
          <w:color w:val="auto"/>
        </w:rPr>
        <w:t>housing finance system to withsta</w:t>
      </w:r>
      <w:r>
        <w:rPr>
          <w:color w:val="auto"/>
        </w:rPr>
        <w:t>nd a 10</w:t>
      </w:r>
      <w:r w:rsidR="00156240">
        <w:rPr>
          <w:color w:val="auto"/>
        </w:rPr>
        <w:t xml:space="preserve"> percent</w:t>
      </w:r>
      <w:r>
        <w:rPr>
          <w:color w:val="auto"/>
        </w:rPr>
        <w:t xml:space="preserve"> unexpected loss is not necessary </w:t>
      </w:r>
      <w:r w:rsidRPr="00AC3A63">
        <w:rPr>
          <w:color w:val="auto"/>
        </w:rPr>
        <w:t xml:space="preserve">and is substantially more of a buffer than is </w:t>
      </w:r>
      <w:r>
        <w:rPr>
          <w:color w:val="auto"/>
        </w:rPr>
        <w:t>required</w:t>
      </w:r>
      <w:r w:rsidRPr="00AC3A63">
        <w:rPr>
          <w:color w:val="auto"/>
        </w:rPr>
        <w:t xml:space="preserve"> given lo</w:t>
      </w:r>
      <w:r>
        <w:rPr>
          <w:color w:val="auto"/>
        </w:rPr>
        <w:t xml:space="preserve">ss expectations and historical </w:t>
      </w:r>
      <w:r w:rsidRPr="00AC3A63">
        <w:rPr>
          <w:color w:val="auto"/>
        </w:rPr>
        <w:t>loss</w:t>
      </w:r>
      <w:r w:rsidR="00A16C4A">
        <w:rPr>
          <w:color w:val="auto"/>
        </w:rPr>
        <w:t xml:space="preserve"> deviations.  </w:t>
      </w:r>
      <w:r w:rsidR="0066679E" w:rsidRPr="004D3877">
        <w:rPr>
          <w:color w:val="auto"/>
        </w:rPr>
        <w:t>High</w:t>
      </w:r>
      <w:r w:rsidR="0066679E">
        <w:rPr>
          <w:color w:val="auto"/>
        </w:rPr>
        <w:t xml:space="preserve">er </w:t>
      </w:r>
      <w:r w:rsidR="0066679E" w:rsidRPr="004D3877">
        <w:rPr>
          <w:color w:val="auto"/>
        </w:rPr>
        <w:t>capital requirements could impact homeownership</w:t>
      </w:r>
      <w:r w:rsidR="0066679E">
        <w:rPr>
          <w:color w:val="auto"/>
        </w:rPr>
        <w:t xml:space="preserve"> rates in the United States. </w:t>
      </w:r>
      <w:r w:rsidR="002C5EA3">
        <w:rPr>
          <w:color w:val="auto"/>
        </w:rPr>
        <w:t>We would expect the cost of a</w:t>
      </w:r>
      <w:r w:rsidR="00AA0FEF">
        <w:rPr>
          <w:color w:val="auto"/>
        </w:rPr>
        <w:t xml:space="preserve"> </w:t>
      </w:r>
      <w:r w:rsidR="0066679E" w:rsidRPr="004D3877">
        <w:rPr>
          <w:color w:val="auto"/>
        </w:rPr>
        <w:t xml:space="preserve">10 percent capital </w:t>
      </w:r>
      <w:r w:rsidR="002C5EA3">
        <w:rPr>
          <w:color w:val="auto"/>
        </w:rPr>
        <w:t xml:space="preserve">requirement to </w:t>
      </w:r>
      <w:r w:rsidR="0066679E" w:rsidRPr="004D3877">
        <w:rPr>
          <w:color w:val="auto"/>
        </w:rPr>
        <w:t>be passed on to b</w:t>
      </w:r>
      <w:r w:rsidR="0066679E">
        <w:rPr>
          <w:color w:val="auto"/>
        </w:rPr>
        <w:t>orrowers</w:t>
      </w:r>
      <w:r w:rsidR="002C5EA3">
        <w:rPr>
          <w:color w:val="auto"/>
        </w:rPr>
        <w:t>, which could create mortgage rate increases of</w:t>
      </w:r>
      <w:r w:rsidR="007D2B40">
        <w:rPr>
          <w:color w:val="auto"/>
        </w:rPr>
        <w:t xml:space="preserve"> </w:t>
      </w:r>
      <w:r w:rsidR="0066679E" w:rsidRPr="004D3877">
        <w:rPr>
          <w:color w:val="auto"/>
        </w:rPr>
        <w:t xml:space="preserve">½ percent </w:t>
      </w:r>
      <w:r w:rsidR="00370E42">
        <w:rPr>
          <w:color w:val="auto"/>
        </w:rPr>
        <w:t>or more</w:t>
      </w:r>
      <w:r w:rsidR="0066679E">
        <w:rPr>
          <w:color w:val="auto"/>
        </w:rPr>
        <w:t>. An</w:t>
      </w:r>
      <w:r w:rsidR="002C5EA3">
        <w:rPr>
          <w:color w:val="auto"/>
        </w:rPr>
        <w:t>y such</w:t>
      </w:r>
      <w:r w:rsidR="0066679E">
        <w:rPr>
          <w:color w:val="auto"/>
        </w:rPr>
        <w:t xml:space="preserve"> increase</w:t>
      </w:r>
      <w:r w:rsidR="0066679E" w:rsidRPr="004D3877">
        <w:rPr>
          <w:color w:val="auto"/>
        </w:rPr>
        <w:t xml:space="preserve"> </w:t>
      </w:r>
      <w:r w:rsidR="00680520">
        <w:rPr>
          <w:color w:val="auto"/>
        </w:rPr>
        <w:t>w</w:t>
      </w:r>
      <w:r w:rsidR="0066679E" w:rsidRPr="004D3877">
        <w:rPr>
          <w:color w:val="auto"/>
        </w:rPr>
        <w:t>ould</w:t>
      </w:r>
      <w:r w:rsidR="00680520">
        <w:rPr>
          <w:color w:val="auto"/>
        </w:rPr>
        <w:t xml:space="preserve"> likely</w:t>
      </w:r>
      <w:r w:rsidR="0066679E" w:rsidRPr="004D3877">
        <w:rPr>
          <w:color w:val="auto"/>
        </w:rPr>
        <w:t xml:space="preserve"> adversely impact the </w:t>
      </w:r>
      <w:r w:rsidR="002C5EA3">
        <w:rPr>
          <w:color w:val="auto"/>
        </w:rPr>
        <w:t xml:space="preserve">U.S. </w:t>
      </w:r>
      <w:r w:rsidR="0066679E" w:rsidRPr="004D3877">
        <w:rPr>
          <w:color w:val="auto"/>
        </w:rPr>
        <w:t>housing market a</w:t>
      </w:r>
      <w:r w:rsidR="002C5EA3">
        <w:rPr>
          <w:color w:val="auto"/>
        </w:rPr>
        <w:t xml:space="preserve">nd </w:t>
      </w:r>
      <w:r w:rsidR="0066679E">
        <w:rPr>
          <w:color w:val="auto"/>
        </w:rPr>
        <w:t>economy</w:t>
      </w:r>
      <w:r w:rsidR="002C5EA3">
        <w:rPr>
          <w:color w:val="auto"/>
        </w:rPr>
        <w:t xml:space="preserve">, by </w:t>
      </w:r>
      <w:r w:rsidR="0066679E">
        <w:rPr>
          <w:color w:val="auto"/>
        </w:rPr>
        <w:t>dampe</w:t>
      </w:r>
      <w:r w:rsidR="002C5EA3">
        <w:rPr>
          <w:color w:val="auto"/>
        </w:rPr>
        <w:t>ning</w:t>
      </w:r>
      <w:r w:rsidR="0066679E">
        <w:rPr>
          <w:color w:val="auto"/>
        </w:rPr>
        <w:t xml:space="preserve"> home</w:t>
      </w:r>
      <w:r w:rsidR="0066679E" w:rsidRPr="004D3877">
        <w:rPr>
          <w:color w:val="auto"/>
        </w:rPr>
        <w:t xml:space="preserve">ownership demand. </w:t>
      </w:r>
    </w:p>
    <w:p w14:paraId="714E52C5" w14:textId="77777777" w:rsidR="002C5EA3" w:rsidRDefault="002C5EA3" w:rsidP="0061549D">
      <w:pPr>
        <w:pStyle w:val="Default"/>
        <w:jc w:val="both"/>
        <w:rPr>
          <w:color w:val="auto"/>
        </w:rPr>
      </w:pPr>
    </w:p>
    <w:p w14:paraId="64CA553D" w14:textId="676A6777" w:rsidR="0066679E" w:rsidRDefault="0066679E" w:rsidP="0061549D">
      <w:pPr>
        <w:pStyle w:val="Default"/>
        <w:jc w:val="both"/>
        <w:rPr>
          <w:color w:val="auto"/>
        </w:rPr>
      </w:pPr>
      <w:r>
        <w:rPr>
          <w:color w:val="auto"/>
        </w:rPr>
        <w:t xml:space="preserve">SFIG </w:t>
      </w:r>
      <w:r w:rsidR="00F93988">
        <w:rPr>
          <w:color w:val="auto"/>
        </w:rPr>
        <w:t>believes</w:t>
      </w:r>
      <w:r>
        <w:rPr>
          <w:color w:val="auto"/>
        </w:rPr>
        <w:t xml:space="preserve"> a more appropriate capital requirement would be </w:t>
      </w:r>
      <w:r w:rsidR="006A66C7">
        <w:rPr>
          <w:color w:val="auto"/>
        </w:rPr>
        <w:t>4-</w:t>
      </w:r>
      <w:r>
        <w:rPr>
          <w:color w:val="auto"/>
        </w:rPr>
        <w:t>5</w:t>
      </w:r>
      <w:r w:rsidR="00156240">
        <w:rPr>
          <w:color w:val="auto"/>
        </w:rPr>
        <w:t xml:space="preserve"> percent</w:t>
      </w:r>
      <w:r>
        <w:rPr>
          <w:color w:val="auto"/>
        </w:rPr>
        <w:t xml:space="preserve">.  </w:t>
      </w:r>
      <w:r w:rsidR="007D2B40">
        <w:rPr>
          <w:color w:val="auto"/>
        </w:rPr>
        <w:t>SFIG would also note that the FHFA has proposed capital requirements for mortgage insurance companies that will be based upon stress test</w:t>
      </w:r>
      <w:r w:rsidR="00C673B2">
        <w:rPr>
          <w:color w:val="auto"/>
        </w:rPr>
        <w:t>s.   T</w:t>
      </w:r>
      <w:r w:rsidR="007D2B40">
        <w:rPr>
          <w:color w:val="auto"/>
        </w:rPr>
        <w:t xml:space="preserve">he FHFA should consider setting appropriate </w:t>
      </w:r>
      <w:r w:rsidR="00E82946">
        <w:rPr>
          <w:color w:val="auto"/>
        </w:rPr>
        <w:t xml:space="preserve">required capital </w:t>
      </w:r>
      <w:r w:rsidR="007D2B40">
        <w:rPr>
          <w:color w:val="auto"/>
        </w:rPr>
        <w:t>for G-</w:t>
      </w:r>
      <w:r w:rsidR="00333A11">
        <w:rPr>
          <w:color w:val="auto"/>
        </w:rPr>
        <w:t>f</w:t>
      </w:r>
      <w:r w:rsidR="00C673B2">
        <w:rPr>
          <w:color w:val="auto"/>
        </w:rPr>
        <w:t>ees in a consistent manner</w:t>
      </w:r>
      <w:r w:rsidR="007D2B40">
        <w:rPr>
          <w:color w:val="auto"/>
        </w:rPr>
        <w:t>.</w:t>
      </w:r>
      <w:r w:rsidR="00453DA3">
        <w:rPr>
          <w:rStyle w:val="FootnoteReference"/>
          <w:color w:val="auto"/>
        </w:rPr>
        <w:footnoteReference w:id="8"/>
      </w:r>
    </w:p>
    <w:p w14:paraId="33FF542B" w14:textId="77777777" w:rsidR="00722BE5" w:rsidRDefault="00722BE5" w:rsidP="0061549D">
      <w:pPr>
        <w:pStyle w:val="Default"/>
        <w:jc w:val="both"/>
        <w:rPr>
          <w:color w:val="auto"/>
        </w:rPr>
      </w:pPr>
    </w:p>
    <w:p w14:paraId="48949140" w14:textId="05D01BA3" w:rsidR="0066679E" w:rsidRDefault="00722BE5" w:rsidP="0066679E">
      <w:pPr>
        <w:pStyle w:val="Default"/>
        <w:jc w:val="both"/>
        <w:rPr>
          <w:i/>
          <w:color w:val="auto"/>
        </w:rPr>
      </w:pPr>
      <w:r>
        <w:rPr>
          <w:color w:val="auto"/>
        </w:rPr>
        <w:t xml:space="preserve">FHFA also inquired about what factors should be considered in setting target return of capital.  SFIG believes that </w:t>
      </w:r>
      <w:r w:rsidR="005039BE">
        <w:rPr>
          <w:color w:val="auto"/>
        </w:rPr>
        <w:t xml:space="preserve">achieving a </w:t>
      </w:r>
      <w:r>
        <w:rPr>
          <w:color w:val="auto"/>
        </w:rPr>
        <w:t xml:space="preserve">market return </w:t>
      </w:r>
      <w:r w:rsidR="00894C97">
        <w:t xml:space="preserve">consistent with those of private entities bearing similar risks (including banks, mortgage insurers and capital markets risk transactions) </w:t>
      </w:r>
      <w:r>
        <w:rPr>
          <w:color w:val="auto"/>
        </w:rPr>
        <w:t>should be the primary driver in setting the target return of capital.</w:t>
      </w:r>
      <w:r w:rsidR="006A66C7">
        <w:rPr>
          <w:color w:val="auto"/>
        </w:rPr>
        <w:t xml:space="preserve"> </w:t>
      </w:r>
    </w:p>
    <w:p w14:paraId="06951B78" w14:textId="77777777" w:rsidR="00175A3F" w:rsidRDefault="00175A3F" w:rsidP="0066679E">
      <w:pPr>
        <w:pStyle w:val="Default"/>
        <w:jc w:val="both"/>
        <w:rPr>
          <w:i/>
          <w:color w:val="auto"/>
        </w:rPr>
      </w:pPr>
    </w:p>
    <w:p w14:paraId="214B8E8E" w14:textId="77777777" w:rsidR="004B0713" w:rsidRDefault="004B0713" w:rsidP="004B0713">
      <w:pPr>
        <w:pStyle w:val="Default"/>
        <w:jc w:val="both"/>
        <w:rPr>
          <w:b/>
          <w:i/>
          <w:color w:val="auto"/>
        </w:rPr>
      </w:pPr>
      <w:r w:rsidRPr="001C4659">
        <w:rPr>
          <w:b/>
          <w:i/>
          <w:color w:val="auto"/>
        </w:rPr>
        <w:t xml:space="preserve">4. At what g-fee level would private-label securities (PLS) investors find it profitable to enter the market or would depository institutions be willing to use their own balance sheets to hold loans? Are these levels the same? Is it desirable to set g-fees at PLS or depository price levels to shrink the Enterprises’ footprints, even if this causes g-fees to be set higher than required to compensate taxpayers for bearing mortgage credit risk and results in higher costs to borrowers? </w:t>
      </w:r>
    </w:p>
    <w:p w14:paraId="6AA8ADC2" w14:textId="77777777" w:rsidR="00020BC7" w:rsidRDefault="00020BC7" w:rsidP="004B0713">
      <w:pPr>
        <w:pStyle w:val="Default"/>
        <w:jc w:val="both"/>
        <w:rPr>
          <w:color w:val="auto"/>
        </w:rPr>
      </w:pPr>
    </w:p>
    <w:p w14:paraId="641ED2F3" w14:textId="646D5E10" w:rsidR="00C44E26" w:rsidRDefault="00DA4005" w:rsidP="004B0713">
      <w:pPr>
        <w:pStyle w:val="Default"/>
        <w:jc w:val="both"/>
        <w:rPr>
          <w:color w:val="auto"/>
        </w:rPr>
      </w:pPr>
      <w:r>
        <w:rPr>
          <w:color w:val="auto"/>
        </w:rPr>
        <w:t>There</w:t>
      </w:r>
      <w:r w:rsidR="00814D5A">
        <w:rPr>
          <w:color w:val="auto"/>
        </w:rPr>
        <w:t xml:space="preserve"> are o</w:t>
      </w:r>
      <w:r w:rsidR="00525204">
        <w:rPr>
          <w:color w:val="auto"/>
        </w:rPr>
        <w:t>ther factors</w:t>
      </w:r>
      <w:r w:rsidR="00814D5A">
        <w:rPr>
          <w:color w:val="auto"/>
        </w:rPr>
        <w:t xml:space="preserve"> beyond increasing G-fees that will affect both issuer and </w:t>
      </w:r>
      <w:r w:rsidR="00525204">
        <w:rPr>
          <w:color w:val="auto"/>
        </w:rPr>
        <w:t>investor decision</w:t>
      </w:r>
      <w:r w:rsidR="00814D5A">
        <w:rPr>
          <w:color w:val="auto"/>
        </w:rPr>
        <w:t>s</w:t>
      </w:r>
      <w:r w:rsidR="00525204">
        <w:rPr>
          <w:color w:val="auto"/>
        </w:rPr>
        <w:t xml:space="preserve"> to </w:t>
      </w:r>
      <w:r w:rsidR="00814D5A">
        <w:rPr>
          <w:color w:val="auto"/>
        </w:rPr>
        <w:t>return to the</w:t>
      </w:r>
      <w:r w:rsidR="00525204">
        <w:rPr>
          <w:color w:val="auto"/>
        </w:rPr>
        <w:t xml:space="preserve"> PLS</w:t>
      </w:r>
      <w:r w:rsidR="00814D5A">
        <w:rPr>
          <w:color w:val="auto"/>
        </w:rPr>
        <w:t xml:space="preserve"> market</w:t>
      </w:r>
      <w:r w:rsidR="0096369E">
        <w:rPr>
          <w:color w:val="auto"/>
        </w:rPr>
        <w:t xml:space="preserve"> (see Appendix A). </w:t>
      </w:r>
      <w:r w:rsidR="00680520">
        <w:rPr>
          <w:color w:val="auto"/>
        </w:rPr>
        <w:t>T</w:t>
      </w:r>
      <w:r w:rsidR="008E3913">
        <w:rPr>
          <w:color w:val="auto"/>
        </w:rPr>
        <w:t xml:space="preserve">he inherent </w:t>
      </w:r>
      <w:r w:rsidR="00680520">
        <w:rPr>
          <w:color w:val="auto"/>
        </w:rPr>
        <w:t xml:space="preserve">operational </w:t>
      </w:r>
      <w:r w:rsidR="008E3913">
        <w:rPr>
          <w:color w:val="auto"/>
        </w:rPr>
        <w:t>funding advantages that the GSEs maintain over private capital have grown larger since conservatorship.</w:t>
      </w:r>
      <w:r w:rsidR="00AA0FEF">
        <w:rPr>
          <w:color w:val="auto"/>
        </w:rPr>
        <w:t xml:space="preserve">  </w:t>
      </w:r>
      <w:r w:rsidR="00680520">
        <w:rPr>
          <w:color w:val="auto"/>
        </w:rPr>
        <w:t>R</w:t>
      </w:r>
      <w:r w:rsidR="00525204">
        <w:rPr>
          <w:color w:val="auto"/>
        </w:rPr>
        <w:t>aising G-fees</w:t>
      </w:r>
      <w:r w:rsidR="00786C6F">
        <w:rPr>
          <w:color w:val="auto"/>
        </w:rPr>
        <w:t xml:space="preserve"> to re</w:t>
      </w:r>
      <w:r w:rsidR="00680520">
        <w:rPr>
          <w:color w:val="auto"/>
        </w:rPr>
        <w:t>flect a fully transparent risk-based pricing level will still leave overall GSE funding cos</w:t>
      </w:r>
      <w:r w:rsidR="00D83C4E">
        <w:rPr>
          <w:color w:val="auto"/>
        </w:rPr>
        <w:t xml:space="preserve">ts at a lower level </w:t>
      </w:r>
      <w:r w:rsidR="00680520">
        <w:rPr>
          <w:color w:val="auto"/>
        </w:rPr>
        <w:t>to that</w:t>
      </w:r>
      <w:r w:rsidR="00543CA2">
        <w:rPr>
          <w:color w:val="auto"/>
        </w:rPr>
        <w:t xml:space="preserve"> of private capital</w:t>
      </w:r>
      <w:r w:rsidR="00525204">
        <w:rPr>
          <w:color w:val="auto"/>
        </w:rPr>
        <w:t>.</w:t>
      </w:r>
    </w:p>
    <w:p w14:paraId="0D8FAE90" w14:textId="77777777" w:rsidR="004004CE" w:rsidRDefault="004004CE" w:rsidP="004B0713">
      <w:pPr>
        <w:pStyle w:val="Default"/>
        <w:jc w:val="both"/>
        <w:rPr>
          <w:color w:val="auto"/>
        </w:rPr>
      </w:pPr>
    </w:p>
    <w:p w14:paraId="5C288E92" w14:textId="77777777" w:rsidR="00680520" w:rsidRPr="000516A6" w:rsidRDefault="00680520" w:rsidP="00D83C4E">
      <w:pPr>
        <w:pStyle w:val="FootnoteText"/>
        <w:jc w:val="both"/>
        <w:rPr>
          <w:rFonts w:ascii="Times New Roman" w:hAnsi="Times New Roman" w:cs="Times New Roman"/>
          <w:sz w:val="24"/>
          <w:szCs w:val="24"/>
        </w:rPr>
      </w:pPr>
      <w:r w:rsidRPr="00D83C4E">
        <w:rPr>
          <w:rFonts w:ascii="Times New Roman" w:hAnsi="Times New Roman" w:cs="Times New Roman"/>
          <w:sz w:val="24"/>
          <w:szCs w:val="24"/>
        </w:rPr>
        <w:t>We have refrained from commenting on whether there should be a long-term G-fee pricing adjustment or incentive to stimulate the PLS market, as we believe legislative refor</w:t>
      </w:r>
      <w:r w:rsidRPr="004F2E71">
        <w:rPr>
          <w:rFonts w:ascii="Times New Roman" w:hAnsi="Times New Roman" w:cs="Times New Roman"/>
          <w:sz w:val="24"/>
          <w:szCs w:val="24"/>
        </w:rPr>
        <w:t>m is required in order to ensure</w:t>
      </w:r>
      <w:r w:rsidRPr="00D83C4E">
        <w:rPr>
          <w:rFonts w:ascii="Times New Roman" w:hAnsi="Times New Roman" w:cs="Times New Roman"/>
          <w:sz w:val="24"/>
          <w:szCs w:val="24"/>
        </w:rPr>
        <w:t xml:space="preserve"> a viable and liquid housing finance marketplace.</w:t>
      </w:r>
      <w:r>
        <w:rPr>
          <w:rFonts w:ascii="Times New Roman" w:hAnsi="Times New Roman" w:cs="Times New Roman"/>
          <w:sz w:val="24"/>
          <w:szCs w:val="24"/>
        </w:rPr>
        <w:t xml:space="preserve">  </w:t>
      </w:r>
      <w:r w:rsidR="004F2E71">
        <w:rPr>
          <w:rFonts w:ascii="Times New Roman" w:hAnsi="Times New Roman" w:cs="Times New Roman"/>
          <w:sz w:val="24"/>
          <w:szCs w:val="24"/>
        </w:rPr>
        <w:t xml:space="preserve">However, as we stated in </w:t>
      </w:r>
      <w:r w:rsidR="00333A11">
        <w:rPr>
          <w:rFonts w:ascii="Times New Roman" w:hAnsi="Times New Roman" w:cs="Times New Roman"/>
          <w:sz w:val="24"/>
          <w:szCs w:val="24"/>
        </w:rPr>
        <w:t xml:space="preserve">our responses to </w:t>
      </w:r>
      <w:r w:rsidR="004F2E71" w:rsidRPr="002A7E06">
        <w:rPr>
          <w:rFonts w:ascii="Times New Roman" w:hAnsi="Times New Roman" w:cs="Times New Roman"/>
          <w:sz w:val="24"/>
          <w:szCs w:val="24"/>
        </w:rPr>
        <w:t xml:space="preserve">questions one and two, short-term stimulus may be warranted, and we would expect that any increase to G-fee pricing would be </w:t>
      </w:r>
      <w:r w:rsidR="004F2E71" w:rsidRPr="000516A6">
        <w:rPr>
          <w:rFonts w:ascii="Times New Roman" w:hAnsi="Times New Roman" w:cs="Times New Roman"/>
          <w:sz w:val="24"/>
          <w:szCs w:val="24"/>
        </w:rPr>
        <w:t>transparent.</w:t>
      </w:r>
    </w:p>
    <w:p w14:paraId="1AF26317" w14:textId="77777777" w:rsidR="002A7E06" w:rsidRPr="000516A6" w:rsidRDefault="002A7E06" w:rsidP="00D83C4E">
      <w:pPr>
        <w:pStyle w:val="FootnoteText"/>
        <w:jc w:val="both"/>
        <w:rPr>
          <w:rFonts w:ascii="Times New Roman" w:hAnsi="Times New Roman" w:cs="Times New Roman"/>
          <w:sz w:val="24"/>
          <w:szCs w:val="24"/>
        </w:rPr>
      </w:pPr>
    </w:p>
    <w:p w14:paraId="5FD019FB" w14:textId="77777777" w:rsidR="002A7E06" w:rsidRPr="002A7E06" w:rsidRDefault="003D5D89" w:rsidP="00D83C4E">
      <w:pPr>
        <w:pStyle w:val="FootnoteText"/>
        <w:jc w:val="both"/>
        <w:rPr>
          <w:rFonts w:ascii="Times New Roman" w:hAnsi="Times New Roman" w:cs="Times New Roman"/>
          <w:sz w:val="24"/>
          <w:szCs w:val="24"/>
        </w:rPr>
      </w:pPr>
      <w:r w:rsidRPr="00590BC5">
        <w:rPr>
          <w:rFonts w:ascii="Times New Roman" w:hAnsi="Times New Roman" w:cs="Times New Roman"/>
          <w:sz w:val="24"/>
          <w:szCs w:val="24"/>
        </w:rPr>
        <w:t xml:space="preserve">SFIG </w:t>
      </w:r>
      <w:r w:rsidR="000516A6">
        <w:rPr>
          <w:rFonts w:ascii="Times New Roman" w:hAnsi="Times New Roman" w:cs="Times New Roman"/>
          <w:sz w:val="24"/>
          <w:szCs w:val="24"/>
        </w:rPr>
        <w:t xml:space="preserve">also </w:t>
      </w:r>
      <w:r w:rsidRPr="00590BC5">
        <w:rPr>
          <w:rFonts w:ascii="Times New Roman" w:hAnsi="Times New Roman" w:cs="Times New Roman"/>
          <w:sz w:val="24"/>
          <w:szCs w:val="24"/>
        </w:rPr>
        <w:t xml:space="preserve">believes that an increase in G-fees is </w:t>
      </w:r>
      <w:r w:rsidR="00B563A8">
        <w:rPr>
          <w:rFonts w:ascii="Times New Roman" w:hAnsi="Times New Roman" w:cs="Times New Roman"/>
          <w:sz w:val="24"/>
          <w:szCs w:val="24"/>
        </w:rPr>
        <w:t xml:space="preserve">theoretically </w:t>
      </w:r>
      <w:r w:rsidRPr="00590BC5">
        <w:rPr>
          <w:rFonts w:ascii="Times New Roman" w:hAnsi="Times New Roman" w:cs="Times New Roman"/>
          <w:sz w:val="24"/>
          <w:szCs w:val="24"/>
        </w:rPr>
        <w:t>an important step in returning private capital to the mortgage market</w:t>
      </w:r>
      <w:r w:rsidR="002A7E06">
        <w:rPr>
          <w:rFonts w:ascii="Times New Roman" w:hAnsi="Times New Roman" w:cs="Times New Roman"/>
          <w:sz w:val="24"/>
          <w:szCs w:val="24"/>
        </w:rPr>
        <w:t>, and could potentially stimulate supply to the PLS market</w:t>
      </w:r>
      <w:r w:rsidR="00E82946">
        <w:rPr>
          <w:rFonts w:ascii="Times New Roman" w:hAnsi="Times New Roman" w:cs="Times New Roman"/>
          <w:sz w:val="24"/>
          <w:szCs w:val="24"/>
        </w:rPr>
        <w:t xml:space="preserve"> over the long term</w:t>
      </w:r>
      <w:r w:rsidR="002A7E06">
        <w:rPr>
          <w:rFonts w:ascii="Times New Roman" w:hAnsi="Times New Roman" w:cs="Times New Roman"/>
          <w:sz w:val="24"/>
          <w:szCs w:val="24"/>
        </w:rPr>
        <w:t>.</w:t>
      </w:r>
      <w:r w:rsidR="000516A6">
        <w:rPr>
          <w:rFonts w:ascii="Times New Roman" w:hAnsi="Times New Roman" w:cs="Times New Roman"/>
          <w:sz w:val="24"/>
          <w:szCs w:val="24"/>
        </w:rPr>
        <w:t xml:space="preserve">  In a </w:t>
      </w:r>
      <w:r w:rsidR="00576B46">
        <w:rPr>
          <w:rFonts w:ascii="Times New Roman" w:hAnsi="Times New Roman" w:cs="Times New Roman"/>
          <w:sz w:val="24"/>
          <w:szCs w:val="24"/>
        </w:rPr>
        <w:t>normally functioning</w:t>
      </w:r>
      <w:r w:rsidR="000516A6">
        <w:rPr>
          <w:rFonts w:ascii="Times New Roman" w:hAnsi="Times New Roman" w:cs="Times New Roman"/>
          <w:sz w:val="24"/>
          <w:szCs w:val="24"/>
        </w:rPr>
        <w:t xml:space="preserve"> mortgage market, participants are able to select among GSE, portfolio, and PLS funding options that allow lenders to provide consumers with the most competitive mortgage rate.</w:t>
      </w:r>
    </w:p>
    <w:p w14:paraId="4D81ADF7" w14:textId="77777777" w:rsidR="00680520" w:rsidRPr="000516A6" w:rsidRDefault="00680520" w:rsidP="004B0713">
      <w:pPr>
        <w:pStyle w:val="Default"/>
        <w:jc w:val="both"/>
        <w:rPr>
          <w:color w:val="auto"/>
        </w:rPr>
      </w:pPr>
    </w:p>
    <w:p w14:paraId="02FBB945" w14:textId="77777777" w:rsidR="00183B39" w:rsidRDefault="004F2E71" w:rsidP="004B0713">
      <w:pPr>
        <w:pStyle w:val="Default"/>
        <w:jc w:val="both"/>
        <w:rPr>
          <w:color w:val="auto"/>
        </w:rPr>
      </w:pPr>
      <w:r w:rsidRPr="000516A6">
        <w:rPr>
          <w:color w:val="auto"/>
        </w:rPr>
        <w:lastRenderedPageBreak/>
        <w:t>Furthermore</w:t>
      </w:r>
      <w:r w:rsidR="00C44E26">
        <w:rPr>
          <w:color w:val="auto"/>
        </w:rPr>
        <w:t>, a</w:t>
      </w:r>
      <w:r w:rsidR="00E929FC">
        <w:rPr>
          <w:color w:val="auto"/>
        </w:rPr>
        <w:t>n</w:t>
      </w:r>
      <w:r w:rsidR="00525204">
        <w:rPr>
          <w:color w:val="auto"/>
        </w:rPr>
        <w:t>y</w:t>
      </w:r>
      <w:r w:rsidR="00E929FC">
        <w:rPr>
          <w:color w:val="auto"/>
        </w:rPr>
        <w:t xml:space="preserve"> increase in G-fees should be </w:t>
      </w:r>
      <w:r w:rsidR="002A7E06">
        <w:rPr>
          <w:color w:val="auto"/>
        </w:rPr>
        <w:t>initiated with</w:t>
      </w:r>
      <w:r w:rsidR="00E82946">
        <w:rPr>
          <w:color w:val="auto"/>
        </w:rPr>
        <w:t>in</w:t>
      </w:r>
      <w:r w:rsidR="00E929FC">
        <w:rPr>
          <w:color w:val="auto"/>
        </w:rPr>
        <w:t xml:space="preserve"> higher loan limits first and followed on by a decrease in conforming loan limits to historical pre-crisis levels.  </w:t>
      </w:r>
      <w:r w:rsidR="00525204">
        <w:rPr>
          <w:color w:val="auto"/>
        </w:rPr>
        <w:t xml:space="preserve">Due to </w:t>
      </w:r>
      <w:r w:rsidR="00786C6F">
        <w:rPr>
          <w:color w:val="auto"/>
        </w:rPr>
        <w:t xml:space="preserve">the </w:t>
      </w:r>
      <w:r w:rsidR="00525204">
        <w:rPr>
          <w:color w:val="auto"/>
        </w:rPr>
        <w:t xml:space="preserve">structural issues in the PLS </w:t>
      </w:r>
      <w:r w:rsidR="00550164">
        <w:rPr>
          <w:color w:val="auto"/>
        </w:rPr>
        <w:t>m</w:t>
      </w:r>
      <w:r w:rsidR="00525204">
        <w:rPr>
          <w:color w:val="auto"/>
        </w:rPr>
        <w:t>arket, w</w:t>
      </w:r>
      <w:r w:rsidR="0030302F">
        <w:rPr>
          <w:color w:val="auto"/>
        </w:rPr>
        <w:t>e believe any increase should be deliberate and telegraphed to the market</w:t>
      </w:r>
      <w:r w:rsidR="008D776F">
        <w:rPr>
          <w:color w:val="auto"/>
        </w:rPr>
        <w:t>, after careful consideration of the impact of increases on credit availability and pricing</w:t>
      </w:r>
      <w:r w:rsidR="0030302F">
        <w:rPr>
          <w:color w:val="auto"/>
        </w:rPr>
        <w:t xml:space="preserve">.  </w:t>
      </w:r>
      <w:r w:rsidR="008D776F">
        <w:rPr>
          <w:color w:val="auto"/>
        </w:rPr>
        <w:t>A gradu</w:t>
      </w:r>
      <w:r w:rsidR="00543CA2">
        <w:rPr>
          <w:color w:val="auto"/>
        </w:rPr>
        <w:t xml:space="preserve">al </w:t>
      </w:r>
      <w:r w:rsidR="008D776F">
        <w:rPr>
          <w:color w:val="auto"/>
        </w:rPr>
        <w:t xml:space="preserve">approach to phase in increases to the G-fees over an extended period of time as the PLS </w:t>
      </w:r>
      <w:r w:rsidR="00550164">
        <w:rPr>
          <w:color w:val="auto"/>
        </w:rPr>
        <w:t>m</w:t>
      </w:r>
      <w:r w:rsidR="008D776F">
        <w:rPr>
          <w:color w:val="auto"/>
        </w:rPr>
        <w:t xml:space="preserve">arket returns would be the appropriate approach given the recovering housing and mortgage markets.  </w:t>
      </w:r>
    </w:p>
    <w:p w14:paraId="16159393" w14:textId="77777777" w:rsidR="00020BC7" w:rsidRDefault="00020BC7" w:rsidP="004B0713">
      <w:pPr>
        <w:pStyle w:val="Default"/>
        <w:jc w:val="both"/>
        <w:rPr>
          <w:b/>
          <w:i/>
          <w:color w:val="auto"/>
        </w:rPr>
      </w:pPr>
    </w:p>
    <w:p w14:paraId="54CB3AC1" w14:textId="77777777" w:rsidR="00AA0FEF" w:rsidRDefault="004B0713" w:rsidP="0066679E">
      <w:pPr>
        <w:pStyle w:val="Default"/>
        <w:jc w:val="both"/>
        <w:rPr>
          <w:b/>
          <w:i/>
          <w:color w:val="auto"/>
        </w:rPr>
      </w:pPr>
      <w:r w:rsidRPr="001C4659">
        <w:rPr>
          <w:b/>
          <w:i/>
          <w:color w:val="auto"/>
        </w:rPr>
        <w:t>5. If the Enterprises continue to raise g-fees, will overall loan originations decrease? That is, will Enterprise loans decline without a commensurate increase in private capital?</w:t>
      </w:r>
    </w:p>
    <w:p w14:paraId="1399DB7A" w14:textId="77777777" w:rsidR="00020BC7" w:rsidRDefault="00020BC7" w:rsidP="0066679E">
      <w:pPr>
        <w:pStyle w:val="Default"/>
        <w:jc w:val="both"/>
        <w:rPr>
          <w:b/>
          <w:i/>
          <w:color w:val="auto"/>
        </w:rPr>
      </w:pPr>
    </w:p>
    <w:p w14:paraId="1085973D" w14:textId="2F48772D" w:rsidR="006A27CD" w:rsidRDefault="00042D43" w:rsidP="0066679E">
      <w:pPr>
        <w:pStyle w:val="Default"/>
        <w:jc w:val="both"/>
        <w:rPr>
          <w:color w:val="auto"/>
        </w:rPr>
      </w:pPr>
      <w:r>
        <w:rPr>
          <w:color w:val="auto"/>
        </w:rPr>
        <w:t>Any increase to the G-</w:t>
      </w:r>
      <w:r w:rsidR="00333A11">
        <w:rPr>
          <w:color w:val="auto"/>
        </w:rPr>
        <w:t>f</w:t>
      </w:r>
      <w:r>
        <w:rPr>
          <w:color w:val="auto"/>
        </w:rPr>
        <w:t xml:space="preserve">ee will </w:t>
      </w:r>
      <w:r w:rsidR="00453DA3">
        <w:rPr>
          <w:color w:val="auto"/>
        </w:rPr>
        <w:t>theoretically</w:t>
      </w:r>
      <w:r>
        <w:rPr>
          <w:color w:val="auto"/>
        </w:rPr>
        <w:t xml:space="preserve"> affect the aggregate cost of home financing and loan originations in the short-term.  </w:t>
      </w:r>
    </w:p>
    <w:p w14:paraId="7007B04F" w14:textId="77777777" w:rsidR="00175A3F" w:rsidRDefault="00175A3F" w:rsidP="0066679E">
      <w:pPr>
        <w:pStyle w:val="Default"/>
        <w:jc w:val="both"/>
        <w:rPr>
          <w:color w:val="auto"/>
        </w:rPr>
      </w:pPr>
    </w:p>
    <w:p w14:paraId="7203CCE5" w14:textId="77777777" w:rsidR="00042D43" w:rsidRDefault="00042D43" w:rsidP="0066679E">
      <w:pPr>
        <w:pStyle w:val="Default"/>
        <w:jc w:val="both"/>
        <w:rPr>
          <w:color w:val="auto"/>
        </w:rPr>
      </w:pPr>
      <w:r>
        <w:rPr>
          <w:color w:val="auto"/>
        </w:rPr>
        <w:t>However, over the long-term</w:t>
      </w:r>
      <w:r w:rsidR="00AA0FEF">
        <w:rPr>
          <w:color w:val="auto"/>
        </w:rPr>
        <w:t>,</w:t>
      </w:r>
      <w:r>
        <w:rPr>
          <w:color w:val="auto"/>
        </w:rPr>
        <w:t xml:space="preserve"> p</w:t>
      </w:r>
      <w:r w:rsidR="00BC4A2B">
        <w:rPr>
          <w:color w:val="auto"/>
        </w:rPr>
        <w:t xml:space="preserve">rior G-fee increases have not substantially impaired the availability of mortgage credit in the United States.  </w:t>
      </w:r>
    </w:p>
    <w:p w14:paraId="16D85352" w14:textId="77777777" w:rsidR="00042D43" w:rsidRDefault="00042D43" w:rsidP="0066679E">
      <w:pPr>
        <w:pStyle w:val="Default"/>
        <w:jc w:val="both"/>
        <w:rPr>
          <w:color w:val="auto"/>
        </w:rPr>
      </w:pPr>
    </w:p>
    <w:p w14:paraId="04013A73" w14:textId="77777777" w:rsidR="004F2E71" w:rsidRDefault="004F2E71" w:rsidP="0066679E">
      <w:pPr>
        <w:pStyle w:val="Default"/>
        <w:jc w:val="both"/>
        <w:rPr>
          <w:color w:val="auto"/>
        </w:rPr>
      </w:pPr>
      <w:r>
        <w:rPr>
          <w:color w:val="auto"/>
        </w:rPr>
        <w:t xml:space="preserve">Specifically, we would add that if the increase in G-fees stimulates the return of the PLS market </w:t>
      </w:r>
      <w:r w:rsidR="008B4157">
        <w:rPr>
          <w:color w:val="auto"/>
        </w:rPr>
        <w:t xml:space="preserve">over the long term </w:t>
      </w:r>
      <w:r>
        <w:rPr>
          <w:color w:val="auto"/>
        </w:rPr>
        <w:t>and creates more equilibrium between portfolio, PLS and GSE funding, then we believe such a change takes a step in the right direction towards building a sustainable funding infrastructure that any liquid housing market requires.  When banks and other originators have confidence in a diverse set of funding tools, and financing is robust across all market participants, then consumers feel confident re-entering the market, and loan originations increase.</w:t>
      </w:r>
    </w:p>
    <w:p w14:paraId="3E2BF018" w14:textId="77777777" w:rsidR="004F2E71" w:rsidRDefault="004F2E71" w:rsidP="0066679E">
      <w:pPr>
        <w:pStyle w:val="Default"/>
        <w:jc w:val="both"/>
        <w:rPr>
          <w:color w:val="auto"/>
        </w:rPr>
      </w:pPr>
    </w:p>
    <w:p w14:paraId="36A6A9E7" w14:textId="72678EA0" w:rsidR="006C5FA1" w:rsidRDefault="004F2E71" w:rsidP="0066679E">
      <w:pPr>
        <w:pStyle w:val="Default"/>
        <w:jc w:val="both"/>
        <w:rPr>
          <w:color w:val="auto"/>
        </w:rPr>
      </w:pPr>
      <w:r>
        <w:rPr>
          <w:color w:val="auto"/>
        </w:rPr>
        <w:t xml:space="preserve">Consequently, </w:t>
      </w:r>
      <w:r w:rsidR="00BC4A2B">
        <w:rPr>
          <w:color w:val="auto"/>
        </w:rPr>
        <w:t xml:space="preserve">SFIG believes that a measured increase in G-fees </w:t>
      </w:r>
      <w:r w:rsidR="000F274F">
        <w:rPr>
          <w:color w:val="auto"/>
        </w:rPr>
        <w:t>targeted to higher loan balances may</w:t>
      </w:r>
      <w:r w:rsidR="00BC4A2B">
        <w:rPr>
          <w:color w:val="auto"/>
        </w:rPr>
        <w:t xml:space="preserve"> be helpful in bringing market participants back into the PLS </w:t>
      </w:r>
      <w:r w:rsidR="00550164">
        <w:rPr>
          <w:color w:val="auto"/>
        </w:rPr>
        <w:t>m</w:t>
      </w:r>
      <w:r w:rsidR="00BC4A2B">
        <w:rPr>
          <w:color w:val="auto"/>
        </w:rPr>
        <w:t xml:space="preserve">arket.  </w:t>
      </w:r>
      <w:r w:rsidR="00DF62BC">
        <w:rPr>
          <w:color w:val="auto"/>
        </w:rPr>
        <w:t xml:space="preserve">However, we are mindful that such an increase may result in higher interest rates for these loans, and of the need to limit any disruption in the housing and mortgage markets that may result.  </w:t>
      </w:r>
      <w:r w:rsidR="00BC4A2B">
        <w:rPr>
          <w:color w:val="auto"/>
        </w:rPr>
        <w:t xml:space="preserve">We anticipate any loan origination decrease would be marginal.  </w:t>
      </w:r>
      <w:r w:rsidR="00C63DDC">
        <w:rPr>
          <w:color w:val="auto"/>
        </w:rPr>
        <w:t xml:space="preserve">It should also be noted that due to the structural issues currently present in the PLS market, there is a possibility that ultimately certain loans will not be originated by some lenders </w:t>
      </w:r>
      <w:r w:rsidR="00F27BF8">
        <w:rPr>
          <w:color w:val="auto"/>
        </w:rPr>
        <w:t xml:space="preserve">(or, if originated at all, </w:t>
      </w:r>
      <w:r w:rsidR="00DA4005">
        <w:rPr>
          <w:color w:val="auto"/>
        </w:rPr>
        <w:t>being done so at</w:t>
      </w:r>
      <w:r w:rsidR="00F27BF8">
        <w:rPr>
          <w:color w:val="auto"/>
        </w:rPr>
        <w:t xml:space="preserve"> a higher interest rate) </w:t>
      </w:r>
      <w:r w:rsidR="00C63DDC">
        <w:rPr>
          <w:color w:val="auto"/>
        </w:rPr>
        <w:t xml:space="preserve">if there is no longer a GSE outlet and their portfolio balance sheets are constrained. </w:t>
      </w:r>
      <w:r w:rsidR="001B5CA7">
        <w:rPr>
          <w:color w:val="auto"/>
        </w:rPr>
        <w:t>Therefore, we suggest any G-fee increases, even for loans with higher loan balances, be done on a gradua</w:t>
      </w:r>
      <w:r w:rsidR="00117BE3">
        <w:rPr>
          <w:color w:val="auto"/>
        </w:rPr>
        <w:t>l</w:t>
      </w:r>
      <w:r w:rsidR="001B5CA7">
        <w:rPr>
          <w:color w:val="auto"/>
        </w:rPr>
        <w:t xml:space="preserve"> basis.  </w:t>
      </w:r>
    </w:p>
    <w:p w14:paraId="32D0CCF3" w14:textId="77777777" w:rsidR="006C5FA1" w:rsidRDefault="006C5FA1" w:rsidP="0066679E">
      <w:pPr>
        <w:pStyle w:val="Default"/>
        <w:jc w:val="both"/>
        <w:rPr>
          <w:color w:val="auto"/>
        </w:rPr>
      </w:pPr>
    </w:p>
    <w:p w14:paraId="0F534B71" w14:textId="77777777" w:rsidR="00DD403A" w:rsidRDefault="006C5FA1" w:rsidP="0066679E">
      <w:pPr>
        <w:pStyle w:val="Default"/>
        <w:jc w:val="both"/>
        <w:rPr>
          <w:color w:val="auto"/>
        </w:rPr>
      </w:pPr>
      <w:r>
        <w:rPr>
          <w:color w:val="auto"/>
        </w:rPr>
        <w:t>Over the long-term, SFIG believes that the ability to select GSE, portfolio or PLS market funding options would allow lenders to provide the consumer with the most competitive mortgage rate – a clear benefit to the real economy, both in terms of providing a low cost of funding but also as a means to diversify housing market funding alternatives and reduce reliance on tax-payer-supported mechanisms, which are currently pervasive.</w:t>
      </w:r>
      <w:r w:rsidDel="008A00FA">
        <w:rPr>
          <w:color w:val="auto"/>
        </w:rPr>
        <w:t xml:space="preserve"> </w:t>
      </w:r>
    </w:p>
    <w:p w14:paraId="0981D445" w14:textId="77777777" w:rsidR="004B0713" w:rsidRDefault="004B0713" w:rsidP="0066679E">
      <w:pPr>
        <w:pStyle w:val="Default"/>
        <w:jc w:val="both"/>
        <w:rPr>
          <w:i/>
          <w:color w:val="auto"/>
        </w:rPr>
      </w:pPr>
    </w:p>
    <w:p w14:paraId="54B9009B" w14:textId="77777777" w:rsidR="008567F0" w:rsidRDefault="008567F0" w:rsidP="0066679E">
      <w:pPr>
        <w:pStyle w:val="Default"/>
        <w:jc w:val="both"/>
        <w:rPr>
          <w:b/>
          <w:i/>
          <w:color w:val="auto"/>
        </w:rPr>
      </w:pPr>
    </w:p>
    <w:p w14:paraId="58591439" w14:textId="77777777" w:rsidR="0066679E" w:rsidRPr="00C65114" w:rsidRDefault="0066679E" w:rsidP="0066679E">
      <w:pPr>
        <w:pStyle w:val="Default"/>
        <w:jc w:val="both"/>
        <w:rPr>
          <w:b/>
          <w:i/>
          <w:color w:val="auto"/>
        </w:rPr>
      </w:pPr>
      <w:r w:rsidRPr="00C65114">
        <w:rPr>
          <w:b/>
          <w:i/>
          <w:color w:val="auto"/>
        </w:rPr>
        <w:t>6. Is it desirable for the Enterprises to charge higher g-fees on low credit score/high LTV loans if it causes these loans to be insured/securitized through FHA/</w:t>
      </w:r>
      <w:proofErr w:type="spellStart"/>
      <w:r w:rsidRPr="00C65114">
        <w:rPr>
          <w:b/>
          <w:i/>
          <w:color w:val="auto"/>
        </w:rPr>
        <w:t>Ginnie</w:t>
      </w:r>
      <w:proofErr w:type="spellEnd"/>
      <w:r w:rsidRPr="00C65114">
        <w:rPr>
          <w:b/>
          <w:i/>
          <w:color w:val="auto"/>
        </w:rPr>
        <w:t xml:space="preserve"> Mae rather than through the Enterprises? </w:t>
      </w:r>
    </w:p>
    <w:p w14:paraId="6C69A758" w14:textId="77777777" w:rsidR="0066679E" w:rsidRPr="00020BC7" w:rsidRDefault="0066679E" w:rsidP="0066679E">
      <w:pPr>
        <w:pStyle w:val="Default"/>
        <w:jc w:val="both"/>
        <w:rPr>
          <w:color w:val="auto"/>
        </w:rPr>
      </w:pPr>
    </w:p>
    <w:p w14:paraId="2C45D69A" w14:textId="77777777" w:rsidR="0066679E" w:rsidRDefault="00D6359E" w:rsidP="0066679E">
      <w:pPr>
        <w:pStyle w:val="Default"/>
        <w:jc w:val="both"/>
        <w:rPr>
          <w:color w:val="auto"/>
        </w:rPr>
      </w:pPr>
      <w:r>
        <w:rPr>
          <w:color w:val="auto"/>
        </w:rPr>
        <w:lastRenderedPageBreak/>
        <w:t>SFIG believes</w:t>
      </w:r>
      <w:r w:rsidR="0066679E">
        <w:rPr>
          <w:color w:val="auto"/>
        </w:rPr>
        <w:t xml:space="preserve"> that merely changing the destination of where loans are entering the secondary market is not impactful to the return of private capital.  Since the </w:t>
      </w:r>
      <w:r>
        <w:rPr>
          <w:color w:val="auto"/>
        </w:rPr>
        <w:t xml:space="preserve">GSEs </w:t>
      </w:r>
      <w:r w:rsidR="0066679E">
        <w:rPr>
          <w:color w:val="auto"/>
        </w:rPr>
        <w:t xml:space="preserve">are in government conservatorship, there is no substantial difference if a mortgage loan is going to </w:t>
      </w:r>
      <w:r>
        <w:rPr>
          <w:color w:val="auto"/>
        </w:rPr>
        <w:t>a GSE</w:t>
      </w:r>
      <w:r w:rsidR="0066679E">
        <w:rPr>
          <w:color w:val="auto"/>
        </w:rPr>
        <w:t xml:space="preserve"> or to </w:t>
      </w:r>
      <w:proofErr w:type="spellStart"/>
      <w:r w:rsidR="0066679E">
        <w:rPr>
          <w:color w:val="auto"/>
        </w:rPr>
        <w:t>Ginnie</w:t>
      </w:r>
      <w:proofErr w:type="spellEnd"/>
      <w:r w:rsidR="0066679E">
        <w:rPr>
          <w:color w:val="auto"/>
        </w:rPr>
        <w:t xml:space="preserve"> Mae.  Both entities are controlled by the United States Government.  Reducing the governmental footprint </w:t>
      </w:r>
      <w:r w:rsidR="00F949FF">
        <w:rPr>
          <w:color w:val="auto"/>
        </w:rPr>
        <w:t xml:space="preserve">and introducing private capital </w:t>
      </w:r>
      <w:r w:rsidR="0066679E">
        <w:rPr>
          <w:color w:val="auto"/>
        </w:rPr>
        <w:t xml:space="preserve">is of greater import than the ultimate destination of a mortgage loan.  </w:t>
      </w:r>
    </w:p>
    <w:p w14:paraId="468FA2D5" w14:textId="77777777" w:rsidR="00020BC7" w:rsidRDefault="00020BC7" w:rsidP="0066679E">
      <w:pPr>
        <w:pStyle w:val="Default"/>
        <w:jc w:val="both"/>
        <w:rPr>
          <w:color w:val="auto"/>
        </w:rPr>
      </w:pPr>
    </w:p>
    <w:p w14:paraId="0F669AE0" w14:textId="77777777" w:rsidR="004B0713" w:rsidRDefault="004B0713" w:rsidP="0066679E">
      <w:pPr>
        <w:pStyle w:val="Default"/>
        <w:jc w:val="both"/>
        <w:rPr>
          <w:b/>
          <w:i/>
          <w:color w:val="auto"/>
        </w:rPr>
      </w:pPr>
      <w:r w:rsidRPr="001C4659">
        <w:rPr>
          <w:b/>
          <w:i/>
          <w:color w:val="auto"/>
        </w:rPr>
        <w:t xml:space="preserve">7. Is it desirable for the Enterprises to (a) charge higher g-fees on high credit score/low LTV loans if it causes these loans to be insured/securitized through PLS or (b) held on depository balance sheets, rather than guaranteed by the Enterprises? </w:t>
      </w:r>
    </w:p>
    <w:p w14:paraId="6E504084" w14:textId="77777777" w:rsidR="00BC2012" w:rsidRDefault="00BC2012" w:rsidP="0066679E">
      <w:pPr>
        <w:pStyle w:val="Default"/>
        <w:jc w:val="both"/>
        <w:rPr>
          <w:b/>
          <w:i/>
          <w:color w:val="auto"/>
        </w:rPr>
      </w:pPr>
    </w:p>
    <w:p w14:paraId="6B6FEC02" w14:textId="6280C610" w:rsidR="0066679E" w:rsidRDefault="00A16C4A" w:rsidP="0066679E">
      <w:pPr>
        <w:pStyle w:val="Default"/>
        <w:jc w:val="both"/>
        <w:rPr>
          <w:color w:val="auto"/>
        </w:rPr>
      </w:pPr>
      <w:r>
        <w:rPr>
          <w:color w:val="auto"/>
        </w:rPr>
        <w:t>A</w:t>
      </w:r>
      <w:r>
        <w:rPr>
          <w:color w:val="auto"/>
        </w:rPr>
        <w:t>fter careful consideration of the impact of increases on credit availability and pricing</w:t>
      </w:r>
      <w:r>
        <w:rPr>
          <w:color w:val="auto"/>
        </w:rPr>
        <w:t>, i</w:t>
      </w:r>
      <w:r w:rsidR="00BC2012">
        <w:rPr>
          <w:color w:val="auto"/>
        </w:rPr>
        <w:t xml:space="preserve">t is SFIG’s view that higher G-fees should be charged on higher loan limit mortgage loans so as to incentivize delivery of such loans to the PLS </w:t>
      </w:r>
      <w:r w:rsidR="00550164">
        <w:rPr>
          <w:color w:val="auto"/>
        </w:rPr>
        <w:t>m</w:t>
      </w:r>
      <w:r w:rsidR="00BC2012">
        <w:rPr>
          <w:color w:val="auto"/>
        </w:rPr>
        <w:t xml:space="preserve">arket.  Traditionally, prior to the </w:t>
      </w:r>
      <w:r w:rsidR="0039754B">
        <w:rPr>
          <w:color w:val="auto"/>
        </w:rPr>
        <w:t>c</w:t>
      </w:r>
      <w:r w:rsidR="00BC2012">
        <w:rPr>
          <w:color w:val="auto"/>
        </w:rPr>
        <w:t xml:space="preserve">redit </w:t>
      </w:r>
      <w:r w:rsidR="0039754B">
        <w:rPr>
          <w:color w:val="auto"/>
        </w:rPr>
        <w:t>c</w:t>
      </w:r>
      <w:r w:rsidR="00BC2012">
        <w:rPr>
          <w:color w:val="auto"/>
        </w:rPr>
        <w:t xml:space="preserve">risis, loans with higher balances were the purview of the PLS </w:t>
      </w:r>
      <w:r w:rsidR="00550164">
        <w:rPr>
          <w:color w:val="auto"/>
        </w:rPr>
        <w:t>m</w:t>
      </w:r>
      <w:r w:rsidR="00BC2012">
        <w:rPr>
          <w:color w:val="auto"/>
        </w:rPr>
        <w:t xml:space="preserve">arket.  </w:t>
      </w:r>
      <w:r w:rsidR="008F7262">
        <w:rPr>
          <w:color w:val="auto"/>
        </w:rPr>
        <w:t>Loans with high credit score</w:t>
      </w:r>
      <w:r w:rsidR="00DF62BC">
        <w:rPr>
          <w:color w:val="auto"/>
        </w:rPr>
        <w:t>s</w:t>
      </w:r>
      <w:r w:rsidR="008F7262">
        <w:rPr>
          <w:color w:val="auto"/>
        </w:rPr>
        <w:t>/low LTV</w:t>
      </w:r>
      <w:r w:rsidR="00DF62BC">
        <w:rPr>
          <w:color w:val="auto"/>
        </w:rPr>
        <w:t>’s</w:t>
      </w:r>
      <w:r w:rsidR="008F7262">
        <w:rPr>
          <w:color w:val="auto"/>
        </w:rPr>
        <w:t xml:space="preserve"> should be securitized by both the GSEs and the PLS </w:t>
      </w:r>
      <w:r w:rsidR="00550164">
        <w:rPr>
          <w:color w:val="auto"/>
        </w:rPr>
        <w:t>m</w:t>
      </w:r>
      <w:r w:rsidR="008F7262">
        <w:rPr>
          <w:color w:val="auto"/>
        </w:rPr>
        <w:t xml:space="preserve">arket.  </w:t>
      </w:r>
      <w:r w:rsidR="007942DA">
        <w:rPr>
          <w:color w:val="auto"/>
        </w:rPr>
        <w:t xml:space="preserve">Therefore, we believe a distinction should not exist based </w:t>
      </w:r>
      <w:r w:rsidR="00B87754">
        <w:rPr>
          <w:color w:val="auto"/>
        </w:rPr>
        <w:t xml:space="preserve">on </w:t>
      </w:r>
      <w:r w:rsidR="007942DA">
        <w:rPr>
          <w:color w:val="auto"/>
        </w:rPr>
        <w:t xml:space="preserve">credit characteristics.  The distinction should be based on product characteristics such as loan balance.  </w:t>
      </w:r>
    </w:p>
    <w:p w14:paraId="3FBDE7E3" w14:textId="77777777" w:rsidR="008567F0" w:rsidRPr="000426E1" w:rsidRDefault="008567F0" w:rsidP="0066679E">
      <w:pPr>
        <w:pStyle w:val="Default"/>
        <w:jc w:val="both"/>
        <w:rPr>
          <w:color w:val="auto"/>
        </w:rPr>
      </w:pPr>
    </w:p>
    <w:p w14:paraId="7375BD50" w14:textId="77777777" w:rsidR="0066679E" w:rsidRPr="00AF61FD" w:rsidRDefault="0066679E" w:rsidP="0066679E">
      <w:pPr>
        <w:pStyle w:val="Default"/>
        <w:jc w:val="both"/>
        <w:rPr>
          <w:b/>
          <w:i/>
          <w:color w:val="auto"/>
        </w:rPr>
      </w:pPr>
      <w:r w:rsidRPr="00AF61FD">
        <w:rPr>
          <w:b/>
          <w:i/>
          <w:color w:val="auto"/>
        </w:rPr>
        <w:t xml:space="preserve">11. Taking into consideration that FHFA has previously received input on state-level pricing </w:t>
      </w:r>
      <w:bookmarkStart w:id="0" w:name="_GoBack"/>
      <w:bookmarkEnd w:id="0"/>
      <w:r w:rsidRPr="00AF61FD">
        <w:rPr>
          <w:b/>
          <w:i/>
          <w:color w:val="auto"/>
        </w:rPr>
        <w:t xml:space="preserve">adjustments, do the g-fee changes proposed in December 2013 have any additional implications that should be considered in deciding whether to price for the length of state foreclosure timelines, unable to market periods or eviction timelines? Are there interactions with other pricing components under consideration that FHFA should consider in making decisions on the state-level adjustments? </w:t>
      </w:r>
    </w:p>
    <w:p w14:paraId="06EC9BB4" w14:textId="77777777" w:rsidR="00020BC7" w:rsidRDefault="00020BC7" w:rsidP="0066679E">
      <w:pPr>
        <w:pStyle w:val="Default"/>
        <w:jc w:val="both"/>
        <w:rPr>
          <w:color w:val="auto"/>
        </w:rPr>
      </w:pPr>
    </w:p>
    <w:p w14:paraId="3E1E02C3" w14:textId="61E1C778" w:rsidR="0066679E" w:rsidRDefault="002725B1" w:rsidP="0066679E">
      <w:pPr>
        <w:pStyle w:val="Default"/>
        <w:jc w:val="both"/>
        <w:rPr>
          <w:color w:val="auto"/>
        </w:rPr>
      </w:pPr>
      <w:r>
        <w:rPr>
          <w:color w:val="auto"/>
        </w:rPr>
        <w:t xml:space="preserve">While we do not generally express an opinion on state-level pricing adjustments, we do want to raise an important issue that is also based on regional considerations.  </w:t>
      </w:r>
      <w:r w:rsidR="0066679E">
        <w:rPr>
          <w:color w:val="auto"/>
        </w:rPr>
        <w:t>As FHFA is aware, several jurisdictions across the United States have introduced proposals to allow for the seizure of mortgages deemed to have higher balances than the value of the property</w:t>
      </w:r>
      <w:r w:rsidR="00DF62BC">
        <w:rPr>
          <w:color w:val="auto"/>
        </w:rPr>
        <w:t>, even if these mortgages are performing</w:t>
      </w:r>
      <w:r w:rsidR="0066679E">
        <w:rPr>
          <w:color w:val="auto"/>
        </w:rPr>
        <w:t xml:space="preserve">.  SFIG strongly believes that the use of eminent domain to achieve this end is misguided and should not be supported in any way.  Allowing the use of eminent domain to this end would send the wrong message to the secondary mortgage markets </w:t>
      </w:r>
      <w:r w:rsidR="00B87754">
        <w:rPr>
          <w:color w:val="auto"/>
        </w:rPr>
        <w:t xml:space="preserve">irrespective of </w:t>
      </w:r>
      <w:r w:rsidR="0066679E">
        <w:rPr>
          <w:color w:val="auto"/>
        </w:rPr>
        <w:t>w</w:t>
      </w:r>
      <w:r w:rsidR="00E8403C">
        <w:rPr>
          <w:color w:val="auto"/>
        </w:rPr>
        <w:t xml:space="preserve">hether a mortgage loan is in a GSE </w:t>
      </w:r>
      <w:r w:rsidR="00CD389D">
        <w:rPr>
          <w:color w:val="auto"/>
        </w:rPr>
        <w:t>mortgaged-backed security</w:t>
      </w:r>
      <w:r w:rsidR="0066679E">
        <w:rPr>
          <w:color w:val="auto"/>
        </w:rPr>
        <w:t xml:space="preserve"> or in a PLS.  </w:t>
      </w:r>
      <w:r w:rsidR="00DF62BC">
        <w:rPr>
          <w:color w:val="auto"/>
        </w:rPr>
        <w:t>We ask the FHFA</w:t>
      </w:r>
      <w:r w:rsidR="00BD29C2">
        <w:rPr>
          <w:color w:val="auto"/>
        </w:rPr>
        <w:t xml:space="preserve"> to participate in an inter-agency response among the </w:t>
      </w:r>
      <w:r w:rsidR="00BD29C2" w:rsidRPr="003A596F">
        <w:rPr>
          <w:color w:val="auto"/>
        </w:rPr>
        <w:t>F</w:t>
      </w:r>
      <w:r w:rsidR="00A72EFB" w:rsidRPr="003A596F">
        <w:rPr>
          <w:color w:val="auto"/>
        </w:rPr>
        <w:t xml:space="preserve">ederal </w:t>
      </w:r>
      <w:r w:rsidR="00BD29C2" w:rsidRPr="003A596F">
        <w:rPr>
          <w:color w:val="auto"/>
        </w:rPr>
        <w:t>H</w:t>
      </w:r>
      <w:r w:rsidR="00A72EFB" w:rsidRPr="003A596F">
        <w:rPr>
          <w:color w:val="auto"/>
        </w:rPr>
        <w:t xml:space="preserve">ousing </w:t>
      </w:r>
      <w:r w:rsidR="00BD29C2" w:rsidRPr="003A596F">
        <w:rPr>
          <w:color w:val="auto"/>
        </w:rPr>
        <w:t>A</w:t>
      </w:r>
      <w:r w:rsidR="00A72EFB" w:rsidRPr="003A596F">
        <w:rPr>
          <w:color w:val="auto"/>
        </w:rPr>
        <w:t>dministration</w:t>
      </w:r>
      <w:r w:rsidR="00BD29C2" w:rsidRPr="003A596F">
        <w:rPr>
          <w:color w:val="auto"/>
        </w:rPr>
        <w:t xml:space="preserve">, </w:t>
      </w:r>
      <w:proofErr w:type="spellStart"/>
      <w:r w:rsidR="00D80E3E" w:rsidRPr="003A596F">
        <w:rPr>
          <w:color w:val="auto"/>
        </w:rPr>
        <w:t>Ginnie</w:t>
      </w:r>
      <w:proofErr w:type="spellEnd"/>
      <w:r w:rsidR="00D80E3E" w:rsidRPr="003A596F">
        <w:rPr>
          <w:color w:val="auto"/>
        </w:rPr>
        <w:t xml:space="preserve"> Mae</w:t>
      </w:r>
      <w:r w:rsidR="00BD29C2" w:rsidRPr="003A596F">
        <w:rPr>
          <w:color w:val="auto"/>
        </w:rPr>
        <w:t>, and the V</w:t>
      </w:r>
      <w:r w:rsidR="00A72EFB" w:rsidRPr="003A596F">
        <w:rPr>
          <w:color w:val="auto"/>
        </w:rPr>
        <w:t xml:space="preserve">eterans </w:t>
      </w:r>
      <w:r w:rsidR="00BD29C2" w:rsidRPr="003A596F">
        <w:rPr>
          <w:color w:val="auto"/>
        </w:rPr>
        <w:t>A</w:t>
      </w:r>
      <w:r w:rsidR="00A72EFB" w:rsidRPr="003A596F">
        <w:rPr>
          <w:color w:val="auto"/>
        </w:rPr>
        <w:t>ffairs</w:t>
      </w:r>
      <w:r w:rsidR="00BD29C2" w:rsidRPr="003A596F">
        <w:rPr>
          <w:color w:val="auto"/>
        </w:rPr>
        <w:t>, to</w:t>
      </w:r>
      <w:r w:rsidR="00BD29C2">
        <w:rPr>
          <w:color w:val="auto"/>
        </w:rPr>
        <w:t xml:space="preserve"> establish that governmental programs will not insure or guarant</w:t>
      </w:r>
      <w:r w:rsidR="00C83571">
        <w:rPr>
          <w:color w:val="auto"/>
        </w:rPr>
        <w:t>ee</w:t>
      </w:r>
      <w:r w:rsidR="00BD29C2">
        <w:rPr>
          <w:color w:val="auto"/>
        </w:rPr>
        <w:t xml:space="preserve"> </w:t>
      </w:r>
      <w:proofErr w:type="spellStart"/>
      <w:r w:rsidR="00BD29C2">
        <w:rPr>
          <w:color w:val="auto"/>
        </w:rPr>
        <w:t>refinancings</w:t>
      </w:r>
      <w:proofErr w:type="spellEnd"/>
      <w:r w:rsidR="00BD29C2">
        <w:rPr>
          <w:color w:val="auto"/>
        </w:rPr>
        <w:t xml:space="preserve"> or mortgage loans that were taken by municipalities that </w:t>
      </w:r>
      <w:r w:rsidR="005B3234">
        <w:rPr>
          <w:color w:val="auto"/>
        </w:rPr>
        <w:t xml:space="preserve">have </w:t>
      </w:r>
      <w:r w:rsidR="00BD29C2">
        <w:rPr>
          <w:color w:val="auto"/>
        </w:rPr>
        <w:t>adopt</w:t>
      </w:r>
      <w:r w:rsidR="005B3234">
        <w:rPr>
          <w:color w:val="auto"/>
        </w:rPr>
        <w:t>ed</w:t>
      </w:r>
      <w:r w:rsidR="00BD29C2">
        <w:rPr>
          <w:color w:val="auto"/>
        </w:rPr>
        <w:t xml:space="preserve"> </w:t>
      </w:r>
      <w:r w:rsidR="0002649A">
        <w:rPr>
          <w:color w:val="auto"/>
        </w:rPr>
        <w:t xml:space="preserve">eminent domain </w:t>
      </w:r>
      <w:r w:rsidR="00BD29C2">
        <w:rPr>
          <w:color w:val="auto"/>
        </w:rPr>
        <w:t>proposals.</w:t>
      </w:r>
    </w:p>
    <w:p w14:paraId="2042421F" w14:textId="7360EA8F" w:rsidR="00F76740" w:rsidRDefault="00F76740">
      <w:pPr>
        <w:rPr>
          <w:rFonts w:ascii="Times New Roman" w:hAnsi="Times New Roman" w:cs="Times New Roman"/>
          <w:sz w:val="24"/>
          <w:szCs w:val="24"/>
        </w:rPr>
      </w:pPr>
      <w:r>
        <w:br w:type="page"/>
      </w:r>
    </w:p>
    <w:p w14:paraId="28EF6998" w14:textId="77777777" w:rsidR="0066679E" w:rsidRPr="00E11BBA" w:rsidRDefault="0066679E" w:rsidP="0066679E">
      <w:pPr>
        <w:pStyle w:val="Default"/>
        <w:jc w:val="both"/>
        <w:rPr>
          <w:b/>
          <w:i/>
          <w:color w:val="auto"/>
        </w:rPr>
      </w:pPr>
      <w:r w:rsidRPr="00E11BBA">
        <w:rPr>
          <w:b/>
          <w:i/>
          <w:color w:val="auto"/>
        </w:rPr>
        <w:lastRenderedPageBreak/>
        <w:t>12. Are there interactions with the Consumer Financial Protection Bureau’s Qualified Mortgage definition that FHFA should consider in determining g-fee changes?</w:t>
      </w:r>
    </w:p>
    <w:p w14:paraId="03B2A6E4" w14:textId="77777777" w:rsidR="0066679E" w:rsidRDefault="0066679E" w:rsidP="0066679E">
      <w:pPr>
        <w:pStyle w:val="Default"/>
        <w:jc w:val="both"/>
        <w:rPr>
          <w:color w:val="auto"/>
        </w:rPr>
      </w:pPr>
    </w:p>
    <w:p w14:paraId="77B934EB" w14:textId="46319445" w:rsidR="0066679E" w:rsidRDefault="0066679E" w:rsidP="0066679E">
      <w:pPr>
        <w:pStyle w:val="Default"/>
        <w:jc w:val="both"/>
        <w:rPr>
          <w:color w:val="auto"/>
        </w:rPr>
      </w:pPr>
      <w:r>
        <w:rPr>
          <w:color w:val="auto"/>
        </w:rPr>
        <w:t>There are numerous interactions between the G-fee changes and the qualified mortgage (</w:t>
      </w:r>
      <w:r w:rsidR="00A72EFB">
        <w:rPr>
          <w:color w:val="auto"/>
        </w:rPr>
        <w:t>“</w:t>
      </w:r>
      <w:r>
        <w:rPr>
          <w:color w:val="auto"/>
        </w:rPr>
        <w:t>QM</w:t>
      </w:r>
      <w:r w:rsidR="00A72EFB">
        <w:rPr>
          <w:color w:val="auto"/>
        </w:rPr>
        <w:t>”</w:t>
      </w:r>
      <w:r>
        <w:rPr>
          <w:color w:val="auto"/>
        </w:rPr>
        <w:t xml:space="preserve">) standard.  First, since the </w:t>
      </w:r>
      <w:r w:rsidR="00812E7C">
        <w:rPr>
          <w:color w:val="auto"/>
        </w:rPr>
        <w:t>GSEs</w:t>
      </w:r>
      <w:r>
        <w:rPr>
          <w:color w:val="auto"/>
        </w:rPr>
        <w:t>’</w:t>
      </w:r>
      <w:r w:rsidRPr="00E11BBA">
        <w:rPr>
          <w:color w:val="auto"/>
        </w:rPr>
        <w:t xml:space="preserve"> loan programs hav</w:t>
      </w:r>
      <w:r>
        <w:rPr>
          <w:color w:val="auto"/>
        </w:rPr>
        <w:t>e been automatically accorded QM</w:t>
      </w:r>
      <w:r w:rsidRPr="00E11BBA">
        <w:rPr>
          <w:color w:val="auto"/>
        </w:rPr>
        <w:t xml:space="preserve"> status</w:t>
      </w:r>
      <w:r>
        <w:rPr>
          <w:color w:val="auto"/>
        </w:rPr>
        <w:t xml:space="preserve"> while the </w:t>
      </w:r>
      <w:r w:rsidR="00812E7C">
        <w:rPr>
          <w:color w:val="auto"/>
        </w:rPr>
        <w:t>GSEs</w:t>
      </w:r>
      <w:r>
        <w:rPr>
          <w:color w:val="auto"/>
        </w:rPr>
        <w:t xml:space="preserve"> are in conservatorship</w:t>
      </w:r>
      <w:r w:rsidRPr="00E11BBA">
        <w:rPr>
          <w:color w:val="auto"/>
        </w:rPr>
        <w:t xml:space="preserve">, G-fee changes will </w:t>
      </w:r>
      <w:r>
        <w:rPr>
          <w:color w:val="auto"/>
        </w:rPr>
        <w:t xml:space="preserve">clearly </w:t>
      </w:r>
      <w:r w:rsidRPr="00E11BBA">
        <w:rPr>
          <w:color w:val="auto"/>
        </w:rPr>
        <w:t xml:space="preserve">change the cost of credit for QM lending, and by extension, non-QM lending as well.  </w:t>
      </w:r>
    </w:p>
    <w:p w14:paraId="17300F23" w14:textId="77777777" w:rsidR="0066679E" w:rsidRDefault="0066679E" w:rsidP="0066679E">
      <w:pPr>
        <w:pStyle w:val="Default"/>
        <w:jc w:val="both"/>
        <w:rPr>
          <w:color w:val="auto"/>
        </w:rPr>
      </w:pPr>
    </w:p>
    <w:p w14:paraId="29C17D9E" w14:textId="781034BE" w:rsidR="0066679E" w:rsidRPr="00E11BBA" w:rsidRDefault="0066679E" w:rsidP="0066679E">
      <w:pPr>
        <w:pStyle w:val="Default"/>
        <w:jc w:val="both"/>
        <w:rPr>
          <w:color w:val="auto"/>
        </w:rPr>
      </w:pPr>
      <w:r>
        <w:rPr>
          <w:color w:val="auto"/>
        </w:rPr>
        <w:t xml:space="preserve">Furthermore, </w:t>
      </w:r>
      <w:r w:rsidRPr="00E11BBA">
        <w:rPr>
          <w:color w:val="auto"/>
        </w:rPr>
        <w:t>G-fee changes will also change pricing within the QM category as better/worse</w:t>
      </w:r>
      <w:r>
        <w:rPr>
          <w:color w:val="auto"/>
        </w:rPr>
        <w:t xml:space="preserve"> risk buckets are priced more</w:t>
      </w:r>
      <w:r w:rsidR="00BD29C2">
        <w:rPr>
          <w:color w:val="auto"/>
        </w:rPr>
        <w:t xml:space="preserve"> or</w:t>
      </w:r>
      <w:r w:rsidRPr="00E11BBA">
        <w:rPr>
          <w:color w:val="auto"/>
        </w:rPr>
        <w:t xml:space="preserve"> </w:t>
      </w:r>
      <w:r w:rsidR="00D07A5C">
        <w:rPr>
          <w:color w:val="auto"/>
        </w:rPr>
        <w:t xml:space="preserve">less granularly.  In effect, </w:t>
      </w:r>
      <w:r w:rsidRPr="00E11BBA">
        <w:rPr>
          <w:color w:val="auto"/>
        </w:rPr>
        <w:t xml:space="preserve">FHFA can create both the implied credit risk component within the QM category as well as either relatively little differentiation within QM, or substantial risk based pricing </w:t>
      </w:r>
      <w:r w:rsidR="00BD29C2">
        <w:rPr>
          <w:color w:val="auto"/>
        </w:rPr>
        <w:t>with</w:t>
      </w:r>
      <w:r w:rsidRPr="00E11BBA">
        <w:rPr>
          <w:color w:val="auto"/>
        </w:rPr>
        <w:t>in QM.</w:t>
      </w:r>
    </w:p>
    <w:p w14:paraId="7EFCF04F" w14:textId="77777777" w:rsidR="0066679E" w:rsidRPr="00E11BBA" w:rsidRDefault="0066679E" w:rsidP="0066679E">
      <w:pPr>
        <w:pStyle w:val="Default"/>
        <w:jc w:val="both"/>
        <w:rPr>
          <w:color w:val="auto"/>
        </w:rPr>
      </w:pPr>
    </w:p>
    <w:p w14:paraId="489C05B4" w14:textId="77777777" w:rsidR="0066679E" w:rsidRPr="00E11BBA" w:rsidRDefault="0066679E" w:rsidP="0066679E">
      <w:pPr>
        <w:pStyle w:val="Default"/>
        <w:jc w:val="both"/>
        <w:rPr>
          <w:color w:val="auto"/>
        </w:rPr>
      </w:pPr>
      <w:r>
        <w:rPr>
          <w:color w:val="auto"/>
        </w:rPr>
        <w:t xml:space="preserve">As set forth above, SFIG believes in housing finance reform.  Accordingly, </w:t>
      </w:r>
      <w:r w:rsidRPr="00E11BBA">
        <w:rPr>
          <w:color w:val="auto"/>
        </w:rPr>
        <w:t xml:space="preserve">FHFA should also consider the impact of G-fees in a </w:t>
      </w:r>
      <w:r>
        <w:rPr>
          <w:color w:val="auto"/>
        </w:rPr>
        <w:t>“</w:t>
      </w:r>
      <w:r w:rsidRPr="00E11BBA">
        <w:rPr>
          <w:color w:val="auto"/>
        </w:rPr>
        <w:t>post automatic qualification as a QM</w:t>
      </w:r>
      <w:r>
        <w:rPr>
          <w:color w:val="auto"/>
        </w:rPr>
        <w:t>”</w:t>
      </w:r>
      <w:r w:rsidRPr="00E11BBA">
        <w:rPr>
          <w:color w:val="auto"/>
        </w:rPr>
        <w:t xml:space="preserve"> world</w:t>
      </w:r>
      <w:r>
        <w:rPr>
          <w:color w:val="auto"/>
        </w:rPr>
        <w:t xml:space="preserve"> when the </w:t>
      </w:r>
      <w:r w:rsidR="00812E7C">
        <w:rPr>
          <w:color w:val="auto"/>
        </w:rPr>
        <w:t>GSEs</w:t>
      </w:r>
      <w:r>
        <w:rPr>
          <w:color w:val="auto"/>
        </w:rPr>
        <w:t xml:space="preserve"> are no longer in conservatorship</w:t>
      </w:r>
      <w:r w:rsidRPr="00E11BBA">
        <w:rPr>
          <w:color w:val="auto"/>
        </w:rPr>
        <w:t xml:space="preserve">.  For example, FHFA may allow the </w:t>
      </w:r>
      <w:r w:rsidR="00812E7C">
        <w:rPr>
          <w:color w:val="auto"/>
        </w:rPr>
        <w:t>GSEs</w:t>
      </w:r>
      <w:r w:rsidRPr="00E11BBA">
        <w:rPr>
          <w:color w:val="auto"/>
        </w:rPr>
        <w:t xml:space="preserve"> to offer </w:t>
      </w:r>
      <w:r>
        <w:rPr>
          <w:color w:val="auto"/>
        </w:rPr>
        <w:t>interest-only</w:t>
      </w:r>
      <w:r w:rsidRPr="00E11BBA">
        <w:rPr>
          <w:color w:val="auto"/>
        </w:rPr>
        <w:t xml:space="preserve"> loans after 2021, which may obtain favorable </w:t>
      </w:r>
      <w:r w:rsidR="00812E7C">
        <w:rPr>
          <w:color w:val="auto"/>
        </w:rPr>
        <w:t xml:space="preserve">GSE </w:t>
      </w:r>
      <w:r w:rsidRPr="00E11BBA">
        <w:rPr>
          <w:color w:val="auto"/>
        </w:rPr>
        <w:t xml:space="preserve">pricing but </w:t>
      </w:r>
      <w:r>
        <w:rPr>
          <w:color w:val="auto"/>
        </w:rPr>
        <w:t xml:space="preserve">not </w:t>
      </w:r>
      <w:r w:rsidRPr="00E11BBA">
        <w:rPr>
          <w:color w:val="auto"/>
        </w:rPr>
        <w:t xml:space="preserve">be, by definition, QM.  </w:t>
      </w:r>
    </w:p>
    <w:p w14:paraId="24939FBC" w14:textId="77777777" w:rsidR="0066679E" w:rsidRPr="00E11BBA" w:rsidRDefault="0066679E" w:rsidP="0066679E">
      <w:pPr>
        <w:pStyle w:val="Default"/>
        <w:jc w:val="both"/>
        <w:rPr>
          <w:color w:val="auto"/>
        </w:rPr>
      </w:pPr>
    </w:p>
    <w:p w14:paraId="4E63C4DD" w14:textId="47DB6312" w:rsidR="0066679E" w:rsidRDefault="0066679E" w:rsidP="0066679E">
      <w:pPr>
        <w:pStyle w:val="Default"/>
        <w:jc w:val="both"/>
        <w:rPr>
          <w:color w:val="auto"/>
        </w:rPr>
      </w:pPr>
      <w:r w:rsidRPr="00E11BBA">
        <w:rPr>
          <w:color w:val="auto"/>
        </w:rPr>
        <w:t>In short, the C</w:t>
      </w:r>
      <w:r>
        <w:rPr>
          <w:color w:val="auto"/>
        </w:rPr>
        <w:t>onsumer Financial Protection Bureau (</w:t>
      </w:r>
      <w:r w:rsidR="00A72EFB">
        <w:rPr>
          <w:color w:val="auto"/>
        </w:rPr>
        <w:t>“</w:t>
      </w:r>
      <w:r>
        <w:rPr>
          <w:color w:val="auto"/>
        </w:rPr>
        <w:t>CFPB</w:t>
      </w:r>
      <w:r w:rsidR="00A72EFB">
        <w:rPr>
          <w:color w:val="auto"/>
        </w:rPr>
        <w:t>”</w:t>
      </w:r>
      <w:r>
        <w:rPr>
          <w:color w:val="auto"/>
        </w:rPr>
        <w:t>)</w:t>
      </w:r>
      <w:r w:rsidRPr="00E11BBA">
        <w:rPr>
          <w:color w:val="auto"/>
        </w:rPr>
        <w:t xml:space="preserve"> sets acceptable lending standards</w:t>
      </w:r>
      <w:r>
        <w:rPr>
          <w:color w:val="auto"/>
        </w:rPr>
        <w:t xml:space="preserve"> within QM but the </w:t>
      </w:r>
      <w:r w:rsidR="00812E7C">
        <w:rPr>
          <w:color w:val="auto"/>
        </w:rPr>
        <w:t>GSEs</w:t>
      </w:r>
      <w:r w:rsidRPr="00E11BBA">
        <w:rPr>
          <w:color w:val="auto"/>
        </w:rPr>
        <w:t xml:space="preserve"> set the price for such loans and therefore </w:t>
      </w:r>
      <w:r>
        <w:rPr>
          <w:color w:val="auto"/>
        </w:rPr>
        <w:t>are</w:t>
      </w:r>
      <w:r w:rsidRPr="00E11BBA">
        <w:rPr>
          <w:color w:val="auto"/>
        </w:rPr>
        <w:t xml:space="preserve"> as important as the CFPB in the operation of QM.  </w:t>
      </w:r>
      <w:r>
        <w:rPr>
          <w:color w:val="auto"/>
        </w:rPr>
        <w:t xml:space="preserve">These implications should also be considered with respect to the PLS </w:t>
      </w:r>
      <w:r w:rsidR="00550164">
        <w:rPr>
          <w:color w:val="auto"/>
        </w:rPr>
        <w:t>m</w:t>
      </w:r>
      <w:r>
        <w:rPr>
          <w:color w:val="auto"/>
        </w:rPr>
        <w:t xml:space="preserve">arket, because Non-QM loans are a natural product for delivery to that market.  </w:t>
      </w:r>
    </w:p>
    <w:p w14:paraId="64843CC2" w14:textId="77777777" w:rsidR="009059F7" w:rsidRDefault="009059F7" w:rsidP="0066679E">
      <w:pPr>
        <w:pStyle w:val="Default"/>
        <w:jc w:val="both"/>
        <w:rPr>
          <w:color w:val="auto"/>
        </w:rPr>
      </w:pPr>
    </w:p>
    <w:p w14:paraId="401BBC96" w14:textId="77777777" w:rsidR="009059F7" w:rsidRPr="009059F7" w:rsidRDefault="009059F7" w:rsidP="009059F7">
      <w:pPr>
        <w:pStyle w:val="Default"/>
        <w:jc w:val="both"/>
        <w:rPr>
          <w:color w:val="auto"/>
        </w:rPr>
      </w:pPr>
      <w:r w:rsidRPr="009059F7">
        <w:rPr>
          <w:color w:val="auto"/>
        </w:rPr>
        <w:t>We appreciate the opportunity to comment on the proposed approach. Please contact the undersigned at</w:t>
      </w:r>
      <w:r>
        <w:rPr>
          <w:color w:val="auto"/>
        </w:rPr>
        <w:t xml:space="preserve"> </w:t>
      </w:r>
      <w:r w:rsidRPr="009059F7">
        <w:rPr>
          <w:color w:val="auto"/>
        </w:rPr>
        <w:t>Richard.Johns@sfindustry.org or 202-524-6301 with any questions or comments.</w:t>
      </w:r>
    </w:p>
    <w:p w14:paraId="031EA5BB" w14:textId="77777777" w:rsidR="009059F7" w:rsidRPr="009059F7" w:rsidRDefault="009059F7" w:rsidP="009059F7">
      <w:pPr>
        <w:pStyle w:val="Default"/>
        <w:jc w:val="both"/>
        <w:rPr>
          <w:color w:val="auto"/>
        </w:rPr>
      </w:pPr>
    </w:p>
    <w:p w14:paraId="49C8A53D" w14:textId="77777777" w:rsidR="009059F7" w:rsidRPr="009059F7" w:rsidRDefault="009059F7" w:rsidP="009059F7">
      <w:pPr>
        <w:pStyle w:val="Default"/>
        <w:jc w:val="both"/>
        <w:rPr>
          <w:color w:val="auto"/>
        </w:rPr>
      </w:pPr>
      <w:r w:rsidRPr="009059F7">
        <w:rPr>
          <w:color w:val="auto"/>
        </w:rPr>
        <w:t>Sincerely,</w:t>
      </w:r>
    </w:p>
    <w:p w14:paraId="3177F8BE" w14:textId="77777777" w:rsidR="009059F7" w:rsidRPr="009059F7" w:rsidRDefault="009059F7" w:rsidP="009059F7">
      <w:pPr>
        <w:pStyle w:val="Default"/>
        <w:jc w:val="both"/>
        <w:rPr>
          <w:color w:val="auto"/>
        </w:rPr>
      </w:pPr>
    </w:p>
    <w:p w14:paraId="628E6ADC" w14:textId="77777777" w:rsidR="009059F7" w:rsidRPr="009059F7" w:rsidRDefault="00FB1F92" w:rsidP="009059F7">
      <w:pPr>
        <w:pStyle w:val="Default"/>
        <w:jc w:val="both"/>
        <w:rPr>
          <w:color w:val="auto"/>
        </w:rPr>
      </w:pPr>
      <w:r w:rsidRPr="00FB1F92">
        <w:rPr>
          <w:noProof/>
          <w:color w:val="auto"/>
        </w:rPr>
        <w:drawing>
          <wp:inline distT="0" distB="0" distL="0" distR="0" wp14:anchorId="4D5156B0" wp14:editId="44776951">
            <wp:extent cx="1942355" cy="9144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5678" cy="920672"/>
                    </a:xfrm>
                    <a:prstGeom prst="rect">
                      <a:avLst/>
                    </a:prstGeom>
                    <a:noFill/>
                    <a:ln>
                      <a:noFill/>
                    </a:ln>
                  </pic:spPr>
                </pic:pic>
              </a:graphicData>
            </a:graphic>
          </wp:inline>
        </w:drawing>
      </w:r>
    </w:p>
    <w:p w14:paraId="0CA671F6" w14:textId="77777777" w:rsidR="009059F7" w:rsidRPr="009059F7" w:rsidRDefault="009059F7" w:rsidP="009059F7">
      <w:pPr>
        <w:pStyle w:val="Default"/>
        <w:jc w:val="both"/>
        <w:rPr>
          <w:color w:val="auto"/>
        </w:rPr>
      </w:pPr>
    </w:p>
    <w:p w14:paraId="686E9D64" w14:textId="77777777" w:rsidR="009059F7" w:rsidRPr="009059F7" w:rsidRDefault="009059F7" w:rsidP="009059F7">
      <w:pPr>
        <w:pStyle w:val="Default"/>
        <w:jc w:val="both"/>
        <w:rPr>
          <w:color w:val="auto"/>
        </w:rPr>
      </w:pPr>
      <w:r w:rsidRPr="009059F7">
        <w:rPr>
          <w:color w:val="auto"/>
        </w:rPr>
        <w:t>Richard Johns</w:t>
      </w:r>
    </w:p>
    <w:p w14:paraId="7698F9EA" w14:textId="77777777" w:rsidR="009059F7" w:rsidRPr="00E11BBA" w:rsidRDefault="009059F7" w:rsidP="009059F7">
      <w:pPr>
        <w:pStyle w:val="Default"/>
        <w:jc w:val="both"/>
        <w:rPr>
          <w:color w:val="auto"/>
        </w:rPr>
      </w:pPr>
      <w:r w:rsidRPr="009059F7">
        <w:rPr>
          <w:color w:val="auto"/>
        </w:rPr>
        <w:t>Executive Director</w:t>
      </w:r>
    </w:p>
    <w:p w14:paraId="65B8781F" w14:textId="24323BB3" w:rsidR="00DF07B8" w:rsidRPr="009059F7" w:rsidRDefault="00DF07B8" w:rsidP="009059F7">
      <w:pPr>
        <w:pStyle w:val="Default"/>
        <w:jc w:val="both"/>
        <w:rPr>
          <w:color w:val="auto"/>
        </w:rPr>
      </w:pPr>
    </w:p>
    <w:p w14:paraId="5A72E2D6" w14:textId="77777777" w:rsidR="005B0557" w:rsidRDefault="005B0557">
      <w:pPr>
        <w:rPr>
          <w:rFonts w:ascii="Times New Roman" w:hAnsi="Times New Roman" w:cs="Times New Roman"/>
          <w:b/>
          <w:sz w:val="28"/>
          <w:szCs w:val="28"/>
          <w:u w:val="single"/>
        </w:rPr>
      </w:pPr>
      <w:r>
        <w:rPr>
          <w:b/>
          <w:sz w:val="28"/>
          <w:szCs w:val="28"/>
          <w:u w:val="single"/>
        </w:rPr>
        <w:br w:type="page"/>
      </w:r>
    </w:p>
    <w:p w14:paraId="70E52FAD" w14:textId="09E2BCD5" w:rsidR="004A1476" w:rsidRPr="004A1476" w:rsidRDefault="004A1476" w:rsidP="00DB33D9">
      <w:pPr>
        <w:pStyle w:val="Default"/>
        <w:jc w:val="center"/>
        <w:rPr>
          <w:b/>
          <w:color w:val="auto"/>
          <w:sz w:val="28"/>
          <w:szCs w:val="28"/>
          <w:u w:val="single"/>
        </w:rPr>
      </w:pPr>
      <w:r w:rsidRPr="004A1476">
        <w:rPr>
          <w:b/>
          <w:color w:val="auto"/>
          <w:sz w:val="28"/>
          <w:szCs w:val="28"/>
          <w:u w:val="single"/>
        </w:rPr>
        <w:lastRenderedPageBreak/>
        <w:t>APPENDIX A</w:t>
      </w:r>
    </w:p>
    <w:p w14:paraId="2362E7B3" w14:textId="77777777" w:rsidR="00143147" w:rsidRPr="004B49AF" w:rsidRDefault="00143147" w:rsidP="004B49AF">
      <w:pPr>
        <w:rPr>
          <w:rFonts w:ascii="Times New Roman" w:hAnsi="Times New Roman" w:cs="Times New Roman"/>
          <w:color w:val="000000"/>
          <w:sz w:val="24"/>
          <w:szCs w:val="24"/>
        </w:rPr>
      </w:pPr>
    </w:p>
    <w:p w14:paraId="245F8E94" w14:textId="77777777" w:rsidR="00143147" w:rsidRPr="00064DB1" w:rsidRDefault="00143147" w:rsidP="004B49AF">
      <w:pPr>
        <w:jc w:val="center"/>
        <w:rPr>
          <w:rFonts w:ascii="Times New Roman" w:hAnsi="Times New Roman" w:cs="Times New Roman"/>
          <w:b/>
          <w:sz w:val="24"/>
          <w:szCs w:val="24"/>
        </w:rPr>
      </w:pPr>
      <w:r>
        <w:rPr>
          <w:rFonts w:ascii="Times New Roman" w:hAnsi="Times New Roman" w:cs="Times New Roman"/>
          <w:b/>
          <w:sz w:val="24"/>
          <w:szCs w:val="24"/>
        </w:rPr>
        <w:t>Why is Private Capital Absent from the Secondary Mortgage Market?</w:t>
      </w:r>
    </w:p>
    <w:p w14:paraId="00ED815C" w14:textId="77777777" w:rsidR="00143147" w:rsidRDefault="00143147" w:rsidP="00143147">
      <w:pPr>
        <w:spacing w:after="0"/>
        <w:jc w:val="both"/>
        <w:rPr>
          <w:rFonts w:ascii="Times New Roman" w:hAnsi="Times New Roman" w:cs="Times New Roman"/>
          <w:sz w:val="24"/>
          <w:szCs w:val="24"/>
        </w:rPr>
      </w:pPr>
      <w:r>
        <w:rPr>
          <w:rFonts w:ascii="Times New Roman" w:hAnsi="Times New Roman" w:cs="Times New Roman"/>
          <w:sz w:val="24"/>
          <w:szCs w:val="24"/>
        </w:rPr>
        <w:t>There are multiple elements that drive supply-demand m</w:t>
      </w:r>
      <w:r w:rsidRPr="00542055">
        <w:rPr>
          <w:rFonts w:ascii="Times New Roman" w:hAnsi="Times New Roman" w:cs="Times New Roman"/>
          <w:sz w:val="24"/>
          <w:szCs w:val="24"/>
        </w:rPr>
        <w:t>arket dynamics</w:t>
      </w:r>
      <w:r>
        <w:rPr>
          <w:rFonts w:ascii="Times New Roman" w:hAnsi="Times New Roman" w:cs="Times New Roman"/>
          <w:sz w:val="24"/>
          <w:szCs w:val="24"/>
        </w:rPr>
        <w:t>, with pricing being key among those elements.</w:t>
      </w:r>
      <w:r w:rsidRPr="00542055">
        <w:rPr>
          <w:rFonts w:ascii="Times New Roman" w:hAnsi="Times New Roman" w:cs="Times New Roman"/>
          <w:sz w:val="24"/>
          <w:szCs w:val="24"/>
        </w:rPr>
        <w:t xml:space="preserve"> </w:t>
      </w:r>
      <w:r>
        <w:rPr>
          <w:rFonts w:ascii="Times New Roman" w:hAnsi="Times New Roman" w:cs="Times New Roman"/>
          <w:sz w:val="24"/>
          <w:szCs w:val="24"/>
        </w:rPr>
        <w:t xml:space="preserve"> However, in the case of the PLS </w:t>
      </w:r>
      <w:r w:rsidR="00550164">
        <w:rPr>
          <w:rFonts w:ascii="Times New Roman" w:hAnsi="Times New Roman" w:cs="Times New Roman"/>
          <w:sz w:val="24"/>
          <w:szCs w:val="24"/>
        </w:rPr>
        <w:t>m</w:t>
      </w:r>
      <w:r>
        <w:rPr>
          <w:rFonts w:ascii="Times New Roman" w:hAnsi="Times New Roman" w:cs="Times New Roman"/>
          <w:sz w:val="24"/>
          <w:szCs w:val="24"/>
        </w:rPr>
        <w:t xml:space="preserve">arket, there are many other factors currently influencing the decisions of issuers to issue (supply) and investors to invest (demand). </w:t>
      </w:r>
    </w:p>
    <w:p w14:paraId="712DEFBD" w14:textId="31CDBC6D" w:rsidR="005B0557" w:rsidRDefault="00143147" w:rsidP="00F16C3D">
      <w:pPr>
        <w:spacing w:after="0" w:line="240" w:lineRule="auto"/>
        <w:jc w:val="both"/>
        <w:rPr>
          <w:rFonts w:ascii="Times New Roman" w:hAnsi="Times New Roman" w:cs="Times New Roman"/>
          <w:sz w:val="24"/>
          <w:szCs w:val="24"/>
        </w:rPr>
      </w:pPr>
      <w:r w:rsidRPr="00313EC1">
        <w:rPr>
          <w:rFonts w:ascii="Times New Roman" w:hAnsi="Times New Roman" w:cs="Times New Roman"/>
          <w:sz w:val="24"/>
          <w:szCs w:val="24"/>
        </w:rPr>
        <w:t xml:space="preserve">Issuance has been constrained by </w:t>
      </w:r>
      <w:r>
        <w:rPr>
          <w:rFonts w:ascii="Times New Roman" w:hAnsi="Times New Roman" w:cs="Times New Roman"/>
          <w:sz w:val="24"/>
          <w:szCs w:val="24"/>
        </w:rPr>
        <w:t xml:space="preserve">both </w:t>
      </w:r>
      <w:r w:rsidRPr="00313EC1">
        <w:rPr>
          <w:rFonts w:ascii="Times New Roman" w:hAnsi="Times New Roman" w:cs="Times New Roman"/>
          <w:sz w:val="24"/>
          <w:szCs w:val="24"/>
        </w:rPr>
        <w:t>structural issues</w:t>
      </w:r>
      <w:r>
        <w:rPr>
          <w:rFonts w:ascii="Times New Roman" w:hAnsi="Times New Roman" w:cs="Times New Roman"/>
          <w:sz w:val="24"/>
          <w:szCs w:val="24"/>
        </w:rPr>
        <w:t xml:space="preserve"> and regulatory uncertainty</w:t>
      </w:r>
      <w:r w:rsidRPr="00313EC1">
        <w:rPr>
          <w:rFonts w:ascii="Times New Roman" w:hAnsi="Times New Roman" w:cs="Times New Roman"/>
          <w:sz w:val="24"/>
          <w:szCs w:val="24"/>
        </w:rPr>
        <w:t xml:space="preserve">.  </w:t>
      </w:r>
      <w:r>
        <w:rPr>
          <w:rFonts w:ascii="Times New Roman" w:hAnsi="Times New Roman" w:cs="Times New Roman"/>
          <w:sz w:val="24"/>
          <w:szCs w:val="24"/>
        </w:rPr>
        <w:t xml:space="preserve">An outline of these road-blocks and </w:t>
      </w:r>
      <w:r w:rsidRPr="00313EC1">
        <w:rPr>
          <w:rFonts w:ascii="Times New Roman" w:hAnsi="Times New Roman" w:cs="Times New Roman"/>
          <w:sz w:val="24"/>
          <w:szCs w:val="24"/>
        </w:rPr>
        <w:t xml:space="preserve">their impact on the </w:t>
      </w:r>
      <w:r>
        <w:rPr>
          <w:rFonts w:ascii="Times New Roman" w:hAnsi="Times New Roman" w:cs="Times New Roman"/>
          <w:sz w:val="24"/>
          <w:szCs w:val="24"/>
        </w:rPr>
        <w:t xml:space="preserve">PLS </w:t>
      </w:r>
      <w:r w:rsidR="00550164">
        <w:rPr>
          <w:rFonts w:ascii="Times New Roman" w:hAnsi="Times New Roman" w:cs="Times New Roman"/>
          <w:sz w:val="24"/>
          <w:szCs w:val="24"/>
        </w:rPr>
        <w:t>m</w:t>
      </w:r>
      <w:r w:rsidRPr="00313EC1">
        <w:rPr>
          <w:rFonts w:ascii="Times New Roman" w:hAnsi="Times New Roman" w:cs="Times New Roman"/>
          <w:sz w:val="24"/>
          <w:szCs w:val="24"/>
        </w:rPr>
        <w:t xml:space="preserve">arket </w:t>
      </w:r>
      <w:r w:rsidR="00BD4B49">
        <w:rPr>
          <w:rFonts w:ascii="Times New Roman" w:hAnsi="Times New Roman" w:cs="Times New Roman"/>
          <w:sz w:val="24"/>
          <w:szCs w:val="24"/>
        </w:rPr>
        <w:t xml:space="preserve">can be seen </w:t>
      </w:r>
      <w:r w:rsidR="00A77066">
        <w:rPr>
          <w:rFonts w:ascii="Times New Roman" w:hAnsi="Times New Roman" w:cs="Times New Roman"/>
          <w:sz w:val="24"/>
          <w:szCs w:val="24"/>
        </w:rPr>
        <w:t>below</w:t>
      </w:r>
      <w:r w:rsidR="00BD4B49">
        <w:rPr>
          <w:rFonts w:ascii="Times New Roman" w:hAnsi="Times New Roman" w:cs="Times New Roman"/>
          <w:sz w:val="24"/>
          <w:szCs w:val="24"/>
        </w:rPr>
        <w:t>.</w:t>
      </w:r>
    </w:p>
    <w:p w14:paraId="623D5367" w14:textId="77777777" w:rsidR="00BD4B49" w:rsidRDefault="00BD4B49" w:rsidP="00143147">
      <w:pPr>
        <w:spacing w:after="0" w:line="240" w:lineRule="auto"/>
        <w:jc w:val="both"/>
        <w:rPr>
          <w:rFonts w:ascii="Times New Roman" w:hAnsi="Times New Roman" w:cs="Times New Roman"/>
          <w:sz w:val="24"/>
          <w:szCs w:val="24"/>
        </w:rPr>
      </w:pPr>
    </w:p>
    <w:tbl>
      <w:tblPr>
        <w:tblW w:w="9980" w:type="dxa"/>
        <w:tblLook w:val="04A0" w:firstRow="1" w:lastRow="0" w:firstColumn="1" w:lastColumn="0" w:noHBand="0" w:noVBand="1"/>
      </w:tblPr>
      <w:tblGrid>
        <w:gridCol w:w="1527"/>
        <w:gridCol w:w="4043"/>
        <w:gridCol w:w="4410"/>
      </w:tblGrid>
      <w:tr w:rsidR="00BD4B49" w:rsidRPr="00EA26E3" w14:paraId="55FC1D28" w14:textId="77777777" w:rsidTr="00437FA2">
        <w:trPr>
          <w:trHeight w:val="250"/>
        </w:trPr>
        <w:tc>
          <w:tcPr>
            <w:tcW w:w="1527" w:type="dxa"/>
            <w:vMerge w:val="restart"/>
            <w:tcBorders>
              <w:top w:val="single" w:sz="8" w:space="0" w:color="auto"/>
              <w:left w:val="single" w:sz="8" w:space="0" w:color="auto"/>
              <w:bottom w:val="single" w:sz="8" w:space="0" w:color="000000"/>
              <w:right w:val="single" w:sz="8" w:space="0" w:color="auto"/>
            </w:tcBorders>
            <w:shd w:val="clear" w:color="000000" w:fill="4472C4"/>
            <w:noWrap/>
            <w:vAlign w:val="center"/>
            <w:hideMark/>
          </w:tcPr>
          <w:p w14:paraId="1067ADF6" w14:textId="77777777" w:rsidR="00BD4B49" w:rsidRPr="00EA26E3" w:rsidRDefault="00BD4B49" w:rsidP="00437FA2">
            <w:pPr>
              <w:spacing w:after="0" w:line="240" w:lineRule="auto"/>
              <w:jc w:val="center"/>
              <w:rPr>
                <w:rFonts w:ascii="Times New Roman" w:eastAsia="Times New Roman" w:hAnsi="Times New Roman" w:cs="Times New Roman"/>
                <w:b/>
                <w:bCs/>
                <w:color w:val="FFFFFF"/>
              </w:rPr>
            </w:pPr>
            <w:r w:rsidRPr="00EA26E3">
              <w:rPr>
                <w:rFonts w:ascii="Times New Roman" w:eastAsia="Times New Roman" w:hAnsi="Times New Roman" w:cs="Times New Roman"/>
                <w:b/>
                <w:bCs/>
                <w:color w:val="FFFFFF"/>
              </w:rPr>
              <w:t>Key Issues</w:t>
            </w:r>
          </w:p>
        </w:tc>
        <w:tc>
          <w:tcPr>
            <w:tcW w:w="8453" w:type="dxa"/>
            <w:gridSpan w:val="2"/>
            <w:tcBorders>
              <w:top w:val="single" w:sz="8" w:space="0" w:color="auto"/>
              <w:left w:val="nil"/>
              <w:bottom w:val="single" w:sz="8" w:space="0" w:color="auto"/>
              <w:right w:val="single" w:sz="8" w:space="0" w:color="000000"/>
            </w:tcBorders>
            <w:shd w:val="clear" w:color="000000" w:fill="4472C4"/>
            <w:noWrap/>
            <w:vAlign w:val="center"/>
            <w:hideMark/>
          </w:tcPr>
          <w:p w14:paraId="74896532" w14:textId="77777777" w:rsidR="00BD4B49" w:rsidRPr="00EA26E3" w:rsidRDefault="00BD4B49" w:rsidP="00437FA2">
            <w:pPr>
              <w:spacing w:after="0" w:line="240" w:lineRule="auto"/>
              <w:jc w:val="center"/>
              <w:rPr>
                <w:rFonts w:ascii="Times New Roman" w:eastAsia="Times New Roman" w:hAnsi="Times New Roman" w:cs="Times New Roman"/>
                <w:b/>
                <w:bCs/>
                <w:color w:val="FFFFFF"/>
              </w:rPr>
            </w:pPr>
            <w:r w:rsidRPr="00EA26E3">
              <w:rPr>
                <w:rFonts w:ascii="Times New Roman" w:eastAsia="Times New Roman" w:hAnsi="Times New Roman" w:cs="Times New Roman"/>
                <w:b/>
                <w:bCs/>
                <w:color w:val="FFFFFF"/>
              </w:rPr>
              <w:t>Impact on the Mortgage-Backed PLS Market</w:t>
            </w:r>
          </w:p>
        </w:tc>
      </w:tr>
      <w:tr w:rsidR="00BD4B49" w:rsidRPr="00EA26E3" w14:paraId="6A595DC6" w14:textId="77777777" w:rsidTr="00437FA2">
        <w:trPr>
          <w:trHeight w:val="435"/>
        </w:trPr>
        <w:tc>
          <w:tcPr>
            <w:tcW w:w="1527" w:type="dxa"/>
            <w:vMerge/>
            <w:tcBorders>
              <w:top w:val="single" w:sz="8" w:space="0" w:color="auto"/>
              <w:left w:val="single" w:sz="8" w:space="0" w:color="auto"/>
              <w:bottom w:val="single" w:sz="8" w:space="0" w:color="000000"/>
              <w:right w:val="single" w:sz="8" w:space="0" w:color="auto"/>
            </w:tcBorders>
            <w:vAlign w:val="center"/>
            <w:hideMark/>
          </w:tcPr>
          <w:p w14:paraId="43F77A3F" w14:textId="77777777" w:rsidR="00BD4B49" w:rsidRPr="00EA26E3" w:rsidRDefault="00BD4B49" w:rsidP="00437FA2">
            <w:pPr>
              <w:spacing w:after="0" w:line="240" w:lineRule="auto"/>
              <w:rPr>
                <w:rFonts w:ascii="Times New Roman" w:eastAsia="Times New Roman" w:hAnsi="Times New Roman" w:cs="Times New Roman"/>
                <w:b/>
                <w:bCs/>
                <w:color w:val="FFFFFF"/>
              </w:rPr>
            </w:pPr>
          </w:p>
        </w:tc>
        <w:tc>
          <w:tcPr>
            <w:tcW w:w="4043" w:type="dxa"/>
            <w:tcBorders>
              <w:top w:val="nil"/>
              <w:left w:val="nil"/>
              <w:bottom w:val="single" w:sz="8" w:space="0" w:color="auto"/>
              <w:right w:val="single" w:sz="4" w:space="0" w:color="auto"/>
            </w:tcBorders>
            <w:shd w:val="clear" w:color="000000" w:fill="4472C4"/>
            <w:noWrap/>
            <w:vAlign w:val="center"/>
            <w:hideMark/>
          </w:tcPr>
          <w:p w14:paraId="0819A040" w14:textId="77777777" w:rsidR="00BD4B49" w:rsidRPr="00EA26E3" w:rsidRDefault="00BD4B49" w:rsidP="00437FA2">
            <w:pPr>
              <w:spacing w:after="0" w:line="240" w:lineRule="auto"/>
              <w:jc w:val="center"/>
              <w:rPr>
                <w:rFonts w:ascii="Times New Roman" w:eastAsia="Times New Roman" w:hAnsi="Times New Roman" w:cs="Times New Roman"/>
                <w:b/>
                <w:bCs/>
                <w:color w:val="FFFFFF"/>
              </w:rPr>
            </w:pPr>
            <w:r w:rsidRPr="00EA26E3">
              <w:rPr>
                <w:rFonts w:ascii="Times New Roman" w:eastAsia="Times New Roman" w:hAnsi="Times New Roman" w:cs="Times New Roman"/>
                <w:b/>
                <w:bCs/>
                <w:color w:val="FFFFFF"/>
              </w:rPr>
              <w:t>Investor Viewpoint</w:t>
            </w:r>
          </w:p>
        </w:tc>
        <w:tc>
          <w:tcPr>
            <w:tcW w:w="4410" w:type="dxa"/>
            <w:tcBorders>
              <w:top w:val="nil"/>
              <w:left w:val="nil"/>
              <w:bottom w:val="single" w:sz="8" w:space="0" w:color="auto"/>
              <w:right w:val="single" w:sz="8" w:space="0" w:color="auto"/>
            </w:tcBorders>
            <w:shd w:val="clear" w:color="000000" w:fill="4472C4"/>
            <w:noWrap/>
            <w:vAlign w:val="center"/>
            <w:hideMark/>
          </w:tcPr>
          <w:p w14:paraId="5A25772A" w14:textId="77777777" w:rsidR="00BD4B49" w:rsidRPr="00EA26E3" w:rsidRDefault="00BD4B49" w:rsidP="00437FA2">
            <w:pPr>
              <w:spacing w:after="0" w:line="240" w:lineRule="auto"/>
              <w:jc w:val="center"/>
              <w:rPr>
                <w:rFonts w:ascii="Times New Roman" w:eastAsia="Times New Roman" w:hAnsi="Times New Roman" w:cs="Times New Roman"/>
                <w:b/>
                <w:bCs/>
                <w:color w:val="FFFFFF"/>
              </w:rPr>
            </w:pPr>
            <w:r w:rsidRPr="00EA26E3">
              <w:rPr>
                <w:rFonts w:ascii="Times New Roman" w:eastAsia="Times New Roman" w:hAnsi="Times New Roman" w:cs="Times New Roman"/>
                <w:b/>
                <w:bCs/>
                <w:color w:val="FFFFFF"/>
              </w:rPr>
              <w:t>Issuer Viewpoint</w:t>
            </w:r>
          </w:p>
        </w:tc>
      </w:tr>
      <w:tr w:rsidR="00BD4B49" w:rsidRPr="00EA26E3" w14:paraId="031BC92D" w14:textId="77777777" w:rsidTr="00437FA2">
        <w:trPr>
          <w:trHeight w:val="880"/>
        </w:trPr>
        <w:tc>
          <w:tcPr>
            <w:tcW w:w="1527" w:type="dxa"/>
            <w:tcBorders>
              <w:top w:val="nil"/>
              <w:left w:val="single" w:sz="8" w:space="0" w:color="auto"/>
              <w:bottom w:val="single" w:sz="4" w:space="0" w:color="auto"/>
              <w:right w:val="single" w:sz="4" w:space="0" w:color="auto"/>
            </w:tcBorders>
            <w:shd w:val="clear" w:color="auto" w:fill="auto"/>
            <w:vAlign w:val="center"/>
            <w:hideMark/>
          </w:tcPr>
          <w:p w14:paraId="016F54C4" w14:textId="77777777" w:rsidR="00BD4B49" w:rsidRPr="00EA26E3" w:rsidRDefault="00BD4B49" w:rsidP="00437FA2">
            <w:pPr>
              <w:spacing w:after="0" w:line="240" w:lineRule="auto"/>
              <w:jc w:val="center"/>
              <w:rPr>
                <w:rFonts w:ascii="Times New Roman" w:eastAsia="Times New Roman" w:hAnsi="Times New Roman" w:cs="Times New Roman"/>
                <w:b/>
                <w:bCs/>
                <w:color w:val="000000"/>
                <w:sz w:val="16"/>
                <w:szCs w:val="16"/>
              </w:rPr>
            </w:pPr>
            <w:r w:rsidRPr="00EA26E3">
              <w:rPr>
                <w:rFonts w:ascii="Times New Roman" w:eastAsia="Times New Roman" w:hAnsi="Times New Roman" w:cs="Times New Roman"/>
                <w:b/>
                <w:bCs/>
                <w:color w:val="000000"/>
                <w:sz w:val="16"/>
                <w:szCs w:val="16"/>
              </w:rPr>
              <w:t>GSE Reform</w:t>
            </w:r>
          </w:p>
        </w:tc>
        <w:tc>
          <w:tcPr>
            <w:tcW w:w="4043" w:type="dxa"/>
            <w:tcBorders>
              <w:top w:val="nil"/>
              <w:left w:val="nil"/>
              <w:bottom w:val="single" w:sz="4" w:space="0" w:color="auto"/>
              <w:right w:val="single" w:sz="4" w:space="0" w:color="auto"/>
            </w:tcBorders>
            <w:shd w:val="clear" w:color="auto" w:fill="auto"/>
            <w:hideMark/>
          </w:tcPr>
          <w:p w14:paraId="2713A2E5" w14:textId="77777777" w:rsidR="00BD4B49" w:rsidRPr="00EA26E3" w:rsidRDefault="00BD4B49" w:rsidP="00437FA2">
            <w:pPr>
              <w:spacing w:after="0" w:line="240" w:lineRule="auto"/>
              <w:rPr>
                <w:rFonts w:ascii="Times New Roman" w:eastAsia="Times New Roman" w:hAnsi="Times New Roman" w:cs="Times New Roman"/>
                <w:color w:val="000000"/>
                <w:sz w:val="16"/>
                <w:szCs w:val="16"/>
              </w:rPr>
            </w:pPr>
            <w:r w:rsidRPr="00EA26E3">
              <w:rPr>
                <w:rFonts w:ascii="Times New Roman" w:eastAsia="Times New Roman" w:hAnsi="Times New Roman" w:cs="Times New Roman"/>
                <w:color w:val="000000"/>
                <w:sz w:val="16"/>
                <w:szCs w:val="16"/>
              </w:rPr>
              <w:t>Investors are unclear as to what the future state of mortgage finance will be and what level of private capital involvement is needed to fill any void left by the proposed retrenchment of the GSEs.  In the meantime, the GSEs’ market share continues to dominate the market.</w:t>
            </w:r>
          </w:p>
        </w:tc>
        <w:tc>
          <w:tcPr>
            <w:tcW w:w="4410" w:type="dxa"/>
            <w:tcBorders>
              <w:top w:val="nil"/>
              <w:left w:val="nil"/>
              <w:bottom w:val="single" w:sz="4" w:space="0" w:color="auto"/>
              <w:right w:val="single" w:sz="8" w:space="0" w:color="auto"/>
            </w:tcBorders>
            <w:shd w:val="clear" w:color="auto" w:fill="auto"/>
            <w:hideMark/>
          </w:tcPr>
          <w:p w14:paraId="375CEDCE" w14:textId="77777777" w:rsidR="00BD4B49" w:rsidRPr="00EA26E3" w:rsidRDefault="00BD4B49" w:rsidP="00437FA2">
            <w:pPr>
              <w:spacing w:after="0" w:line="240" w:lineRule="auto"/>
              <w:rPr>
                <w:rFonts w:ascii="Times New Roman" w:eastAsia="Times New Roman" w:hAnsi="Times New Roman" w:cs="Times New Roman"/>
                <w:color w:val="000000"/>
                <w:sz w:val="16"/>
                <w:szCs w:val="16"/>
              </w:rPr>
            </w:pPr>
            <w:r w:rsidRPr="00EA26E3">
              <w:rPr>
                <w:rFonts w:ascii="Times New Roman" w:eastAsia="Times New Roman" w:hAnsi="Times New Roman" w:cs="Times New Roman"/>
                <w:color w:val="000000"/>
                <w:sz w:val="16"/>
                <w:szCs w:val="16"/>
              </w:rPr>
              <w:t>Issuers are similarly unclear as to what the future state of mortgage finance will be and what level of private capital involvement is needed to fill any void left by the proposed retrenchment of the GSEs.  In the meantime, the GSEs’ market share continues to dominate the market.</w:t>
            </w:r>
          </w:p>
        </w:tc>
      </w:tr>
      <w:tr w:rsidR="00BD4B49" w:rsidRPr="00EA26E3" w14:paraId="7103EBBF" w14:textId="77777777" w:rsidTr="00437FA2">
        <w:trPr>
          <w:trHeight w:val="1590"/>
        </w:trPr>
        <w:tc>
          <w:tcPr>
            <w:tcW w:w="1527" w:type="dxa"/>
            <w:tcBorders>
              <w:top w:val="nil"/>
              <w:left w:val="single" w:sz="8" w:space="0" w:color="auto"/>
              <w:bottom w:val="single" w:sz="4" w:space="0" w:color="auto"/>
              <w:right w:val="single" w:sz="4" w:space="0" w:color="auto"/>
            </w:tcBorders>
            <w:shd w:val="clear" w:color="auto" w:fill="auto"/>
            <w:vAlign w:val="center"/>
            <w:hideMark/>
          </w:tcPr>
          <w:p w14:paraId="5C016A29" w14:textId="77777777" w:rsidR="00BD4B49" w:rsidRPr="00EA26E3" w:rsidRDefault="00BD4B49" w:rsidP="00437FA2">
            <w:pPr>
              <w:spacing w:after="0" w:line="240" w:lineRule="auto"/>
              <w:jc w:val="center"/>
              <w:rPr>
                <w:rFonts w:ascii="Times New Roman" w:eastAsia="Times New Roman" w:hAnsi="Times New Roman" w:cs="Times New Roman"/>
                <w:b/>
                <w:bCs/>
                <w:color w:val="000000"/>
                <w:sz w:val="16"/>
                <w:szCs w:val="16"/>
              </w:rPr>
            </w:pPr>
            <w:r w:rsidRPr="00EA26E3">
              <w:rPr>
                <w:rFonts w:ascii="Times New Roman" w:eastAsia="Times New Roman" w:hAnsi="Times New Roman" w:cs="Times New Roman"/>
                <w:b/>
                <w:bCs/>
                <w:color w:val="000000"/>
                <w:sz w:val="16"/>
                <w:szCs w:val="16"/>
              </w:rPr>
              <w:t>Risk Retention</w:t>
            </w:r>
          </w:p>
        </w:tc>
        <w:tc>
          <w:tcPr>
            <w:tcW w:w="4043" w:type="dxa"/>
            <w:tcBorders>
              <w:top w:val="nil"/>
              <w:left w:val="nil"/>
              <w:bottom w:val="single" w:sz="4" w:space="0" w:color="auto"/>
              <w:right w:val="single" w:sz="4" w:space="0" w:color="auto"/>
            </w:tcBorders>
            <w:shd w:val="clear" w:color="auto" w:fill="auto"/>
            <w:hideMark/>
          </w:tcPr>
          <w:p w14:paraId="3D52842F" w14:textId="77777777" w:rsidR="00BD4B49" w:rsidRPr="00EA26E3" w:rsidRDefault="00BD4B49" w:rsidP="00437FA2">
            <w:pPr>
              <w:spacing w:after="0" w:line="240" w:lineRule="auto"/>
              <w:rPr>
                <w:rFonts w:ascii="Times New Roman" w:eastAsia="Times New Roman" w:hAnsi="Times New Roman" w:cs="Times New Roman"/>
                <w:color w:val="000000"/>
                <w:sz w:val="16"/>
                <w:szCs w:val="16"/>
              </w:rPr>
            </w:pPr>
            <w:r w:rsidRPr="00EA26E3">
              <w:rPr>
                <w:rFonts w:ascii="Times New Roman" w:eastAsia="Times New Roman" w:hAnsi="Times New Roman" w:cs="Times New Roman"/>
                <w:color w:val="000000"/>
                <w:sz w:val="16"/>
                <w:szCs w:val="16"/>
              </w:rPr>
              <w:t xml:space="preserve">If a Qualified Mortgage does equal Qualified Residential Mortgage then investors may shy away from investing because neither the borrower nor the issuer have adequate “skin in the game.” In addition to issuers retaining risk, many investors favor a “QM Plus” standard including some sort of down payment requirement and the absence of such in a final rule may impact investor appetite.  </w:t>
            </w:r>
          </w:p>
        </w:tc>
        <w:tc>
          <w:tcPr>
            <w:tcW w:w="4410" w:type="dxa"/>
            <w:tcBorders>
              <w:top w:val="nil"/>
              <w:left w:val="nil"/>
              <w:bottom w:val="single" w:sz="4" w:space="0" w:color="auto"/>
              <w:right w:val="single" w:sz="8" w:space="0" w:color="auto"/>
            </w:tcBorders>
            <w:shd w:val="clear" w:color="auto" w:fill="auto"/>
            <w:hideMark/>
          </w:tcPr>
          <w:p w14:paraId="21A5CF06" w14:textId="77777777" w:rsidR="00BD4B49" w:rsidRPr="00EA26E3" w:rsidRDefault="00BD4B49" w:rsidP="00437FA2">
            <w:pPr>
              <w:spacing w:after="0" w:line="240" w:lineRule="auto"/>
              <w:rPr>
                <w:rFonts w:ascii="Times New Roman" w:eastAsia="Times New Roman" w:hAnsi="Times New Roman" w:cs="Times New Roman"/>
                <w:color w:val="000000"/>
                <w:sz w:val="16"/>
                <w:szCs w:val="16"/>
              </w:rPr>
            </w:pPr>
            <w:r w:rsidRPr="00EA26E3">
              <w:rPr>
                <w:rFonts w:ascii="Times New Roman" w:eastAsia="Times New Roman" w:hAnsi="Times New Roman" w:cs="Times New Roman"/>
                <w:color w:val="000000"/>
                <w:sz w:val="16"/>
                <w:szCs w:val="16"/>
              </w:rPr>
              <w:t xml:space="preserve">At this juncture it is still far from certain if a Qualified Mortgage will equal a Qualified Residential Mortgage.  Issuers are hesitant to develop large scale programs because of the lack of clarity on how much risk they have to retain on future deals and the process for calculating the amount of risk.  </w:t>
            </w:r>
          </w:p>
        </w:tc>
      </w:tr>
      <w:tr w:rsidR="00BD4B49" w:rsidRPr="00EA26E3" w14:paraId="41C987E1" w14:textId="77777777" w:rsidTr="00437FA2">
        <w:trPr>
          <w:trHeight w:val="692"/>
        </w:trPr>
        <w:tc>
          <w:tcPr>
            <w:tcW w:w="1527" w:type="dxa"/>
            <w:tcBorders>
              <w:top w:val="nil"/>
              <w:left w:val="single" w:sz="8" w:space="0" w:color="auto"/>
              <w:bottom w:val="single" w:sz="4" w:space="0" w:color="auto"/>
              <w:right w:val="single" w:sz="4" w:space="0" w:color="auto"/>
            </w:tcBorders>
            <w:shd w:val="clear" w:color="auto" w:fill="auto"/>
            <w:vAlign w:val="center"/>
            <w:hideMark/>
          </w:tcPr>
          <w:p w14:paraId="3E780509" w14:textId="77777777" w:rsidR="00BD4B49" w:rsidRPr="00EA26E3" w:rsidRDefault="00BD4B49" w:rsidP="00437FA2">
            <w:pPr>
              <w:spacing w:after="0" w:line="240" w:lineRule="auto"/>
              <w:jc w:val="center"/>
              <w:rPr>
                <w:rFonts w:ascii="Times New Roman" w:eastAsia="Times New Roman" w:hAnsi="Times New Roman" w:cs="Times New Roman"/>
                <w:b/>
                <w:bCs/>
                <w:color w:val="000000"/>
                <w:sz w:val="16"/>
                <w:szCs w:val="16"/>
              </w:rPr>
            </w:pPr>
            <w:r w:rsidRPr="00EA26E3">
              <w:rPr>
                <w:rFonts w:ascii="Times New Roman" w:eastAsia="Times New Roman" w:hAnsi="Times New Roman" w:cs="Times New Roman"/>
                <w:b/>
                <w:bCs/>
                <w:color w:val="000000"/>
                <w:sz w:val="16"/>
                <w:szCs w:val="16"/>
              </w:rPr>
              <w:t>Modifications</w:t>
            </w:r>
          </w:p>
        </w:tc>
        <w:tc>
          <w:tcPr>
            <w:tcW w:w="4043" w:type="dxa"/>
            <w:tcBorders>
              <w:top w:val="nil"/>
              <w:left w:val="nil"/>
              <w:bottom w:val="single" w:sz="4" w:space="0" w:color="auto"/>
              <w:right w:val="single" w:sz="4" w:space="0" w:color="auto"/>
            </w:tcBorders>
            <w:shd w:val="clear" w:color="auto" w:fill="auto"/>
            <w:hideMark/>
          </w:tcPr>
          <w:p w14:paraId="1D65ED7C" w14:textId="77777777" w:rsidR="00BD4B49" w:rsidRPr="00EA26E3" w:rsidRDefault="00BD4B49" w:rsidP="00437FA2">
            <w:pPr>
              <w:spacing w:after="0" w:line="240" w:lineRule="auto"/>
              <w:rPr>
                <w:rFonts w:ascii="Times New Roman" w:eastAsia="Times New Roman" w:hAnsi="Times New Roman" w:cs="Times New Roman"/>
                <w:color w:val="000000"/>
                <w:sz w:val="16"/>
                <w:szCs w:val="16"/>
              </w:rPr>
            </w:pPr>
            <w:r w:rsidRPr="00EA26E3">
              <w:rPr>
                <w:rFonts w:ascii="Times New Roman" w:eastAsia="Times New Roman" w:hAnsi="Times New Roman" w:cs="Times New Roman"/>
                <w:color w:val="000000"/>
                <w:sz w:val="16"/>
                <w:szCs w:val="16"/>
              </w:rPr>
              <w:t xml:space="preserve">Investors are concerned that with the purchase of private-label securities, their investment may be subject to risk of being altered by regulators through governmental programs or mortgage settlements by state attorneys general.  </w:t>
            </w:r>
          </w:p>
        </w:tc>
        <w:tc>
          <w:tcPr>
            <w:tcW w:w="4410" w:type="dxa"/>
            <w:tcBorders>
              <w:top w:val="nil"/>
              <w:left w:val="nil"/>
              <w:bottom w:val="single" w:sz="4" w:space="0" w:color="auto"/>
              <w:right w:val="single" w:sz="8" w:space="0" w:color="auto"/>
            </w:tcBorders>
            <w:shd w:val="clear" w:color="auto" w:fill="auto"/>
            <w:hideMark/>
          </w:tcPr>
          <w:p w14:paraId="6A545EE6" w14:textId="77777777" w:rsidR="00BD4B49" w:rsidRPr="00EA26E3" w:rsidRDefault="00BD4B49" w:rsidP="00437FA2">
            <w:pPr>
              <w:spacing w:after="0" w:line="240" w:lineRule="auto"/>
              <w:rPr>
                <w:rFonts w:ascii="Times New Roman" w:eastAsia="Times New Roman" w:hAnsi="Times New Roman" w:cs="Times New Roman"/>
                <w:color w:val="000000"/>
                <w:sz w:val="16"/>
                <w:szCs w:val="16"/>
              </w:rPr>
            </w:pPr>
            <w:r w:rsidRPr="00EA26E3">
              <w:rPr>
                <w:rFonts w:ascii="Times New Roman" w:eastAsia="Times New Roman" w:hAnsi="Times New Roman" w:cs="Times New Roman"/>
                <w:color w:val="000000"/>
                <w:sz w:val="16"/>
                <w:szCs w:val="16"/>
              </w:rPr>
              <w:t> </w:t>
            </w:r>
          </w:p>
        </w:tc>
      </w:tr>
      <w:tr w:rsidR="00BD4B49" w:rsidRPr="00EA26E3" w14:paraId="2E346035" w14:textId="77777777" w:rsidTr="00437FA2">
        <w:trPr>
          <w:trHeight w:val="863"/>
        </w:trPr>
        <w:tc>
          <w:tcPr>
            <w:tcW w:w="1527" w:type="dxa"/>
            <w:tcBorders>
              <w:top w:val="nil"/>
              <w:left w:val="single" w:sz="8" w:space="0" w:color="auto"/>
              <w:bottom w:val="single" w:sz="4" w:space="0" w:color="auto"/>
              <w:right w:val="single" w:sz="4" w:space="0" w:color="auto"/>
            </w:tcBorders>
            <w:shd w:val="clear" w:color="auto" w:fill="auto"/>
            <w:vAlign w:val="center"/>
            <w:hideMark/>
          </w:tcPr>
          <w:p w14:paraId="6B6E92E9" w14:textId="77777777" w:rsidR="00BD4B49" w:rsidRPr="00EA26E3" w:rsidRDefault="00BD4B49" w:rsidP="00437FA2">
            <w:pPr>
              <w:spacing w:after="0" w:line="240" w:lineRule="auto"/>
              <w:jc w:val="center"/>
              <w:rPr>
                <w:rFonts w:ascii="Times New Roman" w:eastAsia="Times New Roman" w:hAnsi="Times New Roman" w:cs="Times New Roman"/>
                <w:b/>
                <w:bCs/>
                <w:color w:val="000000"/>
                <w:sz w:val="16"/>
                <w:szCs w:val="16"/>
              </w:rPr>
            </w:pPr>
            <w:r w:rsidRPr="00EA26E3">
              <w:rPr>
                <w:rFonts w:ascii="Times New Roman" w:eastAsia="Times New Roman" w:hAnsi="Times New Roman" w:cs="Times New Roman"/>
                <w:b/>
                <w:bCs/>
                <w:color w:val="000000"/>
                <w:sz w:val="16"/>
                <w:szCs w:val="16"/>
              </w:rPr>
              <w:t>Eminent Domain</w:t>
            </w:r>
          </w:p>
        </w:tc>
        <w:tc>
          <w:tcPr>
            <w:tcW w:w="4043" w:type="dxa"/>
            <w:tcBorders>
              <w:top w:val="nil"/>
              <w:left w:val="nil"/>
              <w:bottom w:val="single" w:sz="4" w:space="0" w:color="auto"/>
              <w:right w:val="single" w:sz="4" w:space="0" w:color="auto"/>
            </w:tcBorders>
            <w:shd w:val="clear" w:color="auto" w:fill="auto"/>
            <w:hideMark/>
          </w:tcPr>
          <w:p w14:paraId="0C06DC20" w14:textId="77777777" w:rsidR="00BD4B49" w:rsidRPr="00EA26E3" w:rsidRDefault="00BD4B49" w:rsidP="00437FA2">
            <w:pPr>
              <w:spacing w:after="0" w:line="240" w:lineRule="auto"/>
              <w:rPr>
                <w:rFonts w:ascii="Times New Roman" w:eastAsia="Times New Roman" w:hAnsi="Times New Roman" w:cs="Times New Roman"/>
                <w:color w:val="000000"/>
                <w:sz w:val="16"/>
                <w:szCs w:val="16"/>
              </w:rPr>
            </w:pPr>
            <w:r w:rsidRPr="00EA26E3">
              <w:rPr>
                <w:rFonts w:ascii="Times New Roman" w:eastAsia="Times New Roman" w:hAnsi="Times New Roman" w:cs="Times New Roman"/>
                <w:color w:val="000000"/>
                <w:sz w:val="16"/>
                <w:szCs w:val="16"/>
              </w:rPr>
              <w:t xml:space="preserve">Investors are concerned about municipalities’ proposals to seize “underwater” mortgages for the purposes of modifying borrowers’ mortgages which would also alter their investment.  </w:t>
            </w:r>
          </w:p>
        </w:tc>
        <w:tc>
          <w:tcPr>
            <w:tcW w:w="4410" w:type="dxa"/>
            <w:tcBorders>
              <w:top w:val="nil"/>
              <w:left w:val="nil"/>
              <w:bottom w:val="single" w:sz="4" w:space="0" w:color="auto"/>
              <w:right w:val="single" w:sz="8" w:space="0" w:color="auto"/>
            </w:tcBorders>
            <w:shd w:val="clear" w:color="auto" w:fill="auto"/>
            <w:hideMark/>
          </w:tcPr>
          <w:p w14:paraId="7E376541" w14:textId="77777777" w:rsidR="00BD4B49" w:rsidRPr="00EA26E3" w:rsidRDefault="00BD4B49" w:rsidP="00437FA2">
            <w:pPr>
              <w:spacing w:after="0" w:line="240" w:lineRule="auto"/>
              <w:rPr>
                <w:rFonts w:ascii="Times New Roman" w:eastAsia="Times New Roman" w:hAnsi="Times New Roman" w:cs="Times New Roman"/>
                <w:color w:val="000000"/>
                <w:sz w:val="16"/>
                <w:szCs w:val="16"/>
              </w:rPr>
            </w:pPr>
            <w:r w:rsidRPr="00EA26E3">
              <w:rPr>
                <w:rFonts w:ascii="Times New Roman" w:eastAsia="Times New Roman" w:hAnsi="Times New Roman" w:cs="Times New Roman"/>
                <w:color w:val="000000"/>
                <w:sz w:val="16"/>
                <w:szCs w:val="16"/>
              </w:rPr>
              <w:t>Issuers are similarly concerned about municipalities' proposals to seize "underwater" mortgages for the purposes of modifying borrowers' mortgages which would also alter their issuance.</w:t>
            </w:r>
          </w:p>
        </w:tc>
      </w:tr>
      <w:tr w:rsidR="00BD4B49" w:rsidRPr="00EA26E3" w14:paraId="3FD4D15F" w14:textId="77777777" w:rsidTr="00437FA2">
        <w:trPr>
          <w:trHeight w:val="692"/>
        </w:trPr>
        <w:tc>
          <w:tcPr>
            <w:tcW w:w="1527" w:type="dxa"/>
            <w:tcBorders>
              <w:top w:val="nil"/>
              <w:left w:val="single" w:sz="8" w:space="0" w:color="auto"/>
              <w:bottom w:val="single" w:sz="4" w:space="0" w:color="auto"/>
              <w:right w:val="single" w:sz="4" w:space="0" w:color="auto"/>
            </w:tcBorders>
            <w:shd w:val="clear" w:color="auto" w:fill="auto"/>
            <w:vAlign w:val="center"/>
            <w:hideMark/>
          </w:tcPr>
          <w:p w14:paraId="2A5B92D1" w14:textId="77777777" w:rsidR="00BD4B49" w:rsidRPr="00EA26E3" w:rsidRDefault="00BD4B49" w:rsidP="00437FA2">
            <w:pPr>
              <w:spacing w:after="0" w:line="240" w:lineRule="auto"/>
              <w:jc w:val="center"/>
              <w:rPr>
                <w:rFonts w:ascii="Times New Roman" w:eastAsia="Times New Roman" w:hAnsi="Times New Roman" w:cs="Times New Roman"/>
                <w:b/>
                <w:bCs/>
                <w:color w:val="000000"/>
                <w:sz w:val="16"/>
                <w:szCs w:val="16"/>
              </w:rPr>
            </w:pPr>
            <w:r w:rsidRPr="00EA26E3">
              <w:rPr>
                <w:rFonts w:ascii="Times New Roman" w:eastAsia="Times New Roman" w:hAnsi="Times New Roman" w:cs="Times New Roman"/>
                <w:b/>
                <w:bCs/>
                <w:color w:val="000000"/>
                <w:sz w:val="16"/>
                <w:szCs w:val="16"/>
              </w:rPr>
              <w:t>US Implementation of Basel III</w:t>
            </w:r>
          </w:p>
        </w:tc>
        <w:tc>
          <w:tcPr>
            <w:tcW w:w="4043" w:type="dxa"/>
            <w:tcBorders>
              <w:top w:val="nil"/>
              <w:left w:val="nil"/>
              <w:bottom w:val="single" w:sz="4" w:space="0" w:color="auto"/>
              <w:right w:val="single" w:sz="4" w:space="0" w:color="auto"/>
            </w:tcBorders>
            <w:shd w:val="clear" w:color="auto" w:fill="auto"/>
            <w:hideMark/>
          </w:tcPr>
          <w:p w14:paraId="161C334C" w14:textId="71B0B06F" w:rsidR="00BD4B49" w:rsidRPr="00EA26E3" w:rsidRDefault="00BD4B49" w:rsidP="00437FA2">
            <w:pPr>
              <w:spacing w:after="0" w:line="240" w:lineRule="auto"/>
              <w:rPr>
                <w:rFonts w:ascii="Times New Roman" w:eastAsia="Times New Roman" w:hAnsi="Times New Roman" w:cs="Times New Roman"/>
                <w:color w:val="000000"/>
                <w:sz w:val="16"/>
                <w:szCs w:val="16"/>
              </w:rPr>
            </w:pPr>
            <w:r w:rsidRPr="00EA26E3">
              <w:rPr>
                <w:rFonts w:ascii="Times New Roman" w:eastAsia="Times New Roman" w:hAnsi="Times New Roman" w:cs="Times New Roman"/>
                <w:color w:val="000000"/>
                <w:sz w:val="16"/>
                <w:szCs w:val="16"/>
              </w:rPr>
              <w:t xml:space="preserve">This regulation discourages the return of private capital by </w:t>
            </w:r>
            <w:proofErr w:type="spellStart"/>
            <w:r w:rsidRPr="00EA26E3">
              <w:rPr>
                <w:rFonts w:ascii="Times New Roman" w:eastAsia="Times New Roman" w:hAnsi="Times New Roman" w:cs="Times New Roman"/>
                <w:color w:val="000000"/>
                <w:sz w:val="16"/>
                <w:szCs w:val="16"/>
              </w:rPr>
              <w:t>disincentivizing</w:t>
            </w:r>
            <w:proofErr w:type="spellEnd"/>
            <w:r w:rsidRPr="00EA26E3">
              <w:rPr>
                <w:rFonts w:ascii="Times New Roman" w:eastAsia="Times New Roman" w:hAnsi="Times New Roman" w:cs="Times New Roman"/>
                <w:color w:val="000000"/>
                <w:sz w:val="16"/>
                <w:szCs w:val="16"/>
              </w:rPr>
              <w:t xml:space="preserve"> investment in private-label securities, as they are treated as i</w:t>
            </w:r>
            <w:r w:rsidR="00B30822">
              <w:rPr>
                <w:rFonts w:ascii="Times New Roman" w:eastAsia="Times New Roman" w:hAnsi="Times New Roman" w:cs="Times New Roman"/>
                <w:color w:val="000000"/>
                <w:sz w:val="16"/>
                <w:szCs w:val="16"/>
              </w:rPr>
              <w:t xml:space="preserve">lliquid under current proposals.  Less investment in securities deemed illiquid fosters an environment of decreased market size and therefore decreased liquidity.  </w:t>
            </w:r>
          </w:p>
        </w:tc>
        <w:tc>
          <w:tcPr>
            <w:tcW w:w="4410" w:type="dxa"/>
            <w:tcBorders>
              <w:top w:val="nil"/>
              <w:left w:val="nil"/>
              <w:bottom w:val="single" w:sz="4" w:space="0" w:color="auto"/>
              <w:right w:val="single" w:sz="8" w:space="0" w:color="auto"/>
            </w:tcBorders>
            <w:shd w:val="clear" w:color="auto" w:fill="auto"/>
            <w:hideMark/>
          </w:tcPr>
          <w:p w14:paraId="52E89624" w14:textId="77777777" w:rsidR="00BD4B49" w:rsidRPr="00EA26E3" w:rsidRDefault="00BD4B49" w:rsidP="00437FA2">
            <w:pPr>
              <w:spacing w:after="0" w:line="240" w:lineRule="auto"/>
              <w:rPr>
                <w:rFonts w:ascii="Times New Roman" w:eastAsia="Times New Roman" w:hAnsi="Times New Roman" w:cs="Times New Roman"/>
                <w:color w:val="000000"/>
                <w:sz w:val="16"/>
                <w:szCs w:val="16"/>
              </w:rPr>
            </w:pPr>
            <w:r w:rsidRPr="00EA26E3">
              <w:rPr>
                <w:rFonts w:ascii="Times New Roman" w:eastAsia="Times New Roman" w:hAnsi="Times New Roman" w:cs="Times New Roman"/>
                <w:color w:val="000000"/>
                <w:sz w:val="16"/>
                <w:szCs w:val="16"/>
              </w:rPr>
              <w:t xml:space="preserve">This regulation discourages the return of private capital by treating private-label securities in a lower tier than securities issued by the GSEs. </w:t>
            </w:r>
          </w:p>
        </w:tc>
      </w:tr>
      <w:tr w:rsidR="00B2332C" w:rsidRPr="00EA26E3" w14:paraId="3D2E4FBD" w14:textId="77777777" w:rsidTr="00437FA2">
        <w:trPr>
          <w:trHeight w:val="692"/>
        </w:trPr>
        <w:tc>
          <w:tcPr>
            <w:tcW w:w="1527" w:type="dxa"/>
            <w:tcBorders>
              <w:top w:val="nil"/>
              <w:left w:val="single" w:sz="8" w:space="0" w:color="auto"/>
              <w:bottom w:val="single" w:sz="4" w:space="0" w:color="auto"/>
              <w:right w:val="single" w:sz="4" w:space="0" w:color="auto"/>
            </w:tcBorders>
            <w:shd w:val="clear" w:color="auto" w:fill="auto"/>
            <w:vAlign w:val="center"/>
          </w:tcPr>
          <w:p w14:paraId="0B2C59F2" w14:textId="63E929C8" w:rsidR="00B2332C" w:rsidRPr="00EA26E3" w:rsidRDefault="00B2332C" w:rsidP="00437FA2">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Regulation AB II</w:t>
            </w:r>
            <w:r w:rsidR="00985761">
              <w:rPr>
                <w:rStyle w:val="FootnoteReference"/>
                <w:rFonts w:ascii="Times New Roman" w:eastAsia="Times New Roman" w:hAnsi="Times New Roman" w:cs="Times New Roman"/>
                <w:b/>
                <w:bCs/>
                <w:color w:val="000000"/>
                <w:sz w:val="16"/>
                <w:szCs w:val="16"/>
              </w:rPr>
              <w:footnoteReference w:id="9"/>
            </w:r>
          </w:p>
        </w:tc>
        <w:tc>
          <w:tcPr>
            <w:tcW w:w="4043" w:type="dxa"/>
            <w:tcBorders>
              <w:top w:val="nil"/>
              <w:left w:val="nil"/>
              <w:bottom w:val="single" w:sz="4" w:space="0" w:color="auto"/>
              <w:right w:val="single" w:sz="4" w:space="0" w:color="auto"/>
            </w:tcBorders>
            <w:shd w:val="clear" w:color="auto" w:fill="auto"/>
          </w:tcPr>
          <w:p w14:paraId="3F8351A3" w14:textId="2435E195" w:rsidR="00B2332C" w:rsidRPr="00EA26E3" w:rsidRDefault="00B2332C" w:rsidP="00985761">
            <w:pPr>
              <w:spacing w:after="0" w:line="240" w:lineRule="auto"/>
              <w:rPr>
                <w:rFonts w:ascii="Times New Roman" w:eastAsia="Times New Roman" w:hAnsi="Times New Roman" w:cs="Times New Roman"/>
                <w:color w:val="000000"/>
                <w:sz w:val="16"/>
                <w:szCs w:val="16"/>
              </w:rPr>
            </w:pPr>
            <w:r w:rsidRPr="000D3C1B">
              <w:rPr>
                <w:rFonts w:ascii="Times New Roman" w:eastAsia="Times New Roman" w:hAnsi="Times New Roman" w:cs="Times New Roman"/>
                <w:color w:val="000000"/>
                <w:sz w:val="16"/>
                <w:szCs w:val="16"/>
              </w:rPr>
              <w:t xml:space="preserve">It is unclear to investors what level of loan-level disclosure will </w:t>
            </w:r>
            <w:r>
              <w:rPr>
                <w:rFonts w:ascii="Times New Roman" w:eastAsia="Times New Roman" w:hAnsi="Times New Roman" w:cs="Times New Roman"/>
                <w:color w:val="000000"/>
                <w:sz w:val="16"/>
                <w:szCs w:val="16"/>
              </w:rPr>
              <w:t>exist for all transactions</w:t>
            </w:r>
            <w:r w:rsidRPr="000D3C1B">
              <w:rPr>
                <w:rFonts w:ascii="Times New Roman" w:eastAsia="Times New Roman" w:hAnsi="Times New Roman" w:cs="Times New Roman"/>
                <w:color w:val="000000"/>
                <w:sz w:val="16"/>
                <w:szCs w:val="16"/>
              </w:rPr>
              <w:t xml:space="preserve">.  </w:t>
            </w:r>
            <w:r w:rsidR="00906D8A">
              <w:rPr>
                <w:rFonts w:ascii="Times New Roman" w:eastAsia="Times New Roman" w:hAnsi="Times New Roman" w:cs="Times New Roman"/>
                <w:color w:val="000000"/>
                <w:sz w:val="16"/>
                <w:szCs w:val="16"/>
              </w:rPr>
              <w:t xml:space="preserve">Will </w:t>
            </w:r>
            <w:r w:rsidR="00985761">
              <w:rPr>
                <w:rFonts w:ascii="Times New Roman" w:eastAsia="Times New Roman" w:hAnsi="Times New Roman" w:cs="Times New Roman"/>
                <w:color w:val="000000"/>
                <w:sz w:val="16"/>
                <w:szCs w:val="16"/>
              </w:rPr>
              <w:t>S</w:t>
            </w:r>
            <w:r w:rsidR="00906D8A">
              <w:rPr>
                <w:rFonts w:ascii="Times New Roman" w:eastAsia="Times New Roman" w:hAnsi="Times New Roman" w:cs="Times New Roman"/>
                <w:color w:val="000000"/>
                <w:sz w:val="16"/>
                <w:szCs w:val="16"/>
              </w:rPr>
              <w:t>chedule AL</w:t>
            </w:r>
            <w:r w:rsidR="00985761">
              <w:rPr>
                <w:rFonts w:ascii="Times New Roman" w:eastAsia="Times New Roman" w:hAnsi="Times New Roman" w:cs="Times New Roman"/>
                <w:color w:val="000000"/>
                <w:sz w:val="16"/>
                <w:szCs w:val="16"/>
              </w:rPr>
              <w:t>’s loan level disclosure</w:t>
            </w:r>
            <w:r w:rsidR="00906D8A">
              <w:rPr>
                <w:rFonts w:ascii="Times New Roman" w:eastAsia="Times New Roman" w:hAnsi="Times New Roman" w:cs="Times New Roman"/>
                <w:color w:val="000000"/>
                <w:sz w:val="16"/>
                <w:szCs w:val="16"/>
              </w:rPr>
              <w:t xml:space="preserve"> apply to just public deals?  </w:t>
            </w:r>
          </w:p>
        </w:tc>
        <w:tc>
          <w:tcPr>
            <w:tcW w:w="4410" w:type="dxa"/>
            <w:tcBorders>
              <w:top w:val="nil"/>
              <w:left w:val="nil"/>
              <w:bottom w:val="single" w:sz="4" w:space="0" w:color="auto"/>
              <w:right w:val="single" w:sz="8" w:space="0" w:color="auto"/>
            </w:tcBorders>
            <w:shd w:val="clear" w:color="auto" w:fill="auto"/>
          </w:tcPr>
          <w:p w14:paraId="2BDFA0F3" w14:textId="6BCC8EDA" w:rsidR="00B2332C" w:rsidRPr="00EA26E3" w:rsidRDefault="00906D8A" w:rsidP="003502D2">
            <w:pPr>
              <w:spacing w:after="0" w:line="240" w:lineRule="auto"/>
              <w:rPr>
                <w:rFonts w:ascii="Times New Roman" w:eastAsia="Times New Roman" w:hAnsi="Times New Roman" w:cs="Times New Roman"/>
                <w:color w:val="000000"/>
                <w:sz w:val="16"/>
                <w:szCs w:val="16"/>
              </w:rPr>
            </w:pPr>
            <w:r w:rsidRPr="000D3C1B">
              <w:rPr>
                <w:rFonts w:ascii="Times New Roman" w:eastAsia="Times New Roman" w:hAnsi="Times New Roman" w:cs="Times New Roman"/>
                <w:color w:val="000000"/>
                <w:sz w:val="16"/>
                <w:szCs w:val="16"/>
              </w:rPr>
              <w:t xml:space="preserve">Regulation AB II includes changes to disclosure and reporting protocols, which will impact internal systems that are designed to automate creation </w:t>
            </w:r>
            <w:r w:rsidR="00985761">
              <w:rPr>
                <w:rFonts w:ascii="Times New Roman" w:eastAsia="Times New Roman" w:hAnsi="Times New Roman" w:cs="Times New Roman"/>
                <w:color w:val="000000"/>
                <w:sz w:val="16"/>
                <w:szCs w:val="16"/>
              </w:rPr>
              <w:t xml:space="preserve">of required loan-level fields.  Work is needed by issuers </w:t>
            </w:r>
            <w:r w:rsidRPr="000D3C1B">
              <w:rPr>
                <w:rFonts w:ascii="Times New Roman" w:eastAsia="Times New Roman" w:hAnsi="Times New Roman" w:cs="Times New Roman"/>
                <w:color w:val="000000"/>
                <w:sz w:val="16"/>
                <w:szCs w:val="16"/>
              </w:rPr>
              <w:t xml:space="preserve">to upgrade systems </w:t>
            </w:r>
            <w:r w:rsidR="00985761">
              <w:rPr>
                <w:rFonts w:ascii="Times New Roman" w:eastAsia="Times New Roman" w:hAnsi="Times New Roman" w:cs="Times New Roman"/>
                <w:color w:val="000000"/>
                <w:sz w:val="16"/>
                <w:szCs w:val="16"/>
              </w:rPr>
              <w:t>to comply</w:t>
            </w:r>
            <w:r w:rsidRPr="000D3C1B">
              <w:rPr>
                <w:rFonts w:ascii="Times New Roman" w:eastAsia="Times New Roman" w:hAnsi="Times New Roman" w:cs="Times New Roman"/>
                <w:color w:val="000000"/>
                <w:sz w:val="16"/>
                <w:szCs w:val="16"/>
              </w:rPr>
              <w:t>.  Manually inputting loan-level information, or outsourcing to third-parties, is not consistent with scalable and efficient funding.</w:t>
            </w:r>
            <w:r w:rsidR="00772088">
              <w:rPr>
                <w:rFonts w:ascii="Times New Roman" w:eastAsia="Times New Roman" w:hAnsi="Times New Roman" w:cs="Times New Roman"/>
                <w:color w:val="000000"/>
                <w:sz w:val="16"/>
                <w:szCs w:val="16"/>
              </w:rPr>
              <w:t xml:space="preserve">  At this juncture, it is unclear if </w:t>
            </w:r>
            <w:r w:rsidR="003502D2">
              <w:rPr>
                <w:rFonts w:ascii="Times New Roman" w:eastAsia="Times New Roman" w:hAnsi="Times New Roman" w:cs="Times New Roman"/>
                <w:color w:val="000000"/>
                <w:sz w:val="16"/>
                <w:szCs w:val="16"/>
              </w:rPr>
              <w:t>issuers</w:t>
            </w:r>
            <w:r w:rsidR="00772088">
              <w:rPr>
                <w:rFonts w:ascii="Times New Roman" w:eastAsia="Times New Roman" w:hAnsi="Times New Roman" w:cs="Times New Roman"/>
                <w:color w:val="000000"/>
                <w:sz w:val="16"/>
                <w:szCs w:val="16"/>
              </w:rPr>
              <w:t xml:space="preserve"> will make the necessary investment in systems without clarity on whether PLS issuance </w:t>
            </w:r>
            <w:r w:rsidR="001F2729">
              <w:rPr>
                <w:rFonts w:ascii="Times New Roman" w:eastAsia="Times New Roman" w:hAnsi="Times New Roman" w:cs="Times New Roman"/>
                <w:color w:val="000000"/>
                <w:sz w:val="16"/>
                <w:szCs w:val="16"/>
              </w:rPr>
              <w:t xml:space="preserve">volumes </w:t>
            </w:r>
            <w:r w:rsidR="00772088">
              <w:rPr>
                <w:rFonts w:ascii="Times New Roman" w:eastAsia="Times New Roman" w:hAnsi="Times New Roman" w:cs="Times New Roman"/>
                <w:color w:val="000000"/>
                <w:sz w:val="16"/>
                <w:szCs w:val="16"/>
              </w:rPr>
              <w:t>will increase.</w:t>
            </w:r>
          </w:p>
        </w:tc>
      </w:tr>
      <w:tr w:rsidR="00BD4B49" w:rsidRPr="00EA26E3" w14:paraId="31BA972F" w14:textId="77777777" w:rsidTr="00D829D2">
        <w:trPr>
          <w:trHeight w:val="593"/>
        </w:trPr>
        <w:tc>
          <w:tcPr>
            <w:tcW w:w="1527" w:type="dxa"/>
            <w:tcBorders>
              <w:top w:val="nil"/>
              <w:left w:val="single" w:sz="8" w:space="0" w:color="auto"/>
              <w:bottom w:val="single" w:sz="4" w:space="0" w:color="auto"/>
              <w:right w:val="single" w:sz="4" w:space="0" w:color="auto"/>
            </w:tcBorders>
            <w:shd w:val="clear" w:color="auto" w:fill="auto"/>
            <w:vAlign w:val="center"/>
            <w:hideMark/>
          </w:tcPr>
          <w:p w14:paraId="77D2C805" w14:textId="77777777" w:rsidR="00BD4B49" w:rsidRPr="00EA26E3" w:rsidRDefault="00BD4B49" w:rsidP="00437FA2">
            <w:pPr>
              <w:spacing w:after="0" w:line="240" w:lineRule="auto"/>
              <w:jc w:val="center"/>
              <w:rPr>
                <w:rFonts w:ascii="Times New Roman" w:eastAsia="Times New Roman" w:hAnsi="Times New Roman" w:cs="Times New Roman"/>
                <w:b/>
                <w:bCs/>
                <w:color w:val="000000"/>
                <w:sz w:val="16"/>
                <w:szCs w:val="16"/>
              </w:rPr>
            </w:pPr>
            <w:r w:rsidRPr="00EA26E3">
              <w:rPr>
                <w:rFonts w:ascii="Times New Roman" w:eastAsia="Times New Roman" w:hAnsi="Times New Roman" w:cs="Times New Roman"/>
                <w:b/>
                <w:bCs/>
                <w:color w:val="000000"/>
                <w:sz w:val="16"/>
                <w:szCs w:val="16"/>
              </w:rPr>
              <w:t>Servicing Standards</w:t>
            </w:r>
          </w:p>
        </w:tc>
        <w:tc>
          <w:tcPr>
            <w:tcW w:w="4043" w:type="dxa"/>
            <w:tcBorders>
              <w:top w:val="nil"/>
              <w:left w:val="nil"/>
              <w:bottom w:val="single" w:sz="4" w:space="0" w:color="auto"/>
              <w:right w:val="single" w:sz="4" w:space="0" w:color="auto"/>
            </w:tcBorders>
            <w:shd w:val="clear" w:color="auto" w:fill="auto"/>
            <w:hideMark/>
          </w:tcPr>
          <w:p w14:paraId="6C50555C" w14:textId="77777777" w:rsidR="00BD4B49" w:rsidRPr="00EA26E3" w:rsidRDefault="00BD4B49" w:rsidP="00437FA2">
            <w:pPr>
              <w:spacing w:after="0" w:line="240" w:lineRule="auto"/>
              <w:rPr>
                <w:rFonts w:ascii="Times New Roman" w:eastAsia="Times New Roman" w:hAnsi="Times New Roman" w:cs="Times New Roman"/>
                <w:color w:val="000000"/>
                <w:sz w:val="16"/>
                <w:szCs w:val="16"/>
              </w:rPr>
            </w:pPr>
            <w:r w:rsidRPr="00EA26E3">
              <w:rPr>
                <w:rFonts w:ascii="Times New Roman" w:eastAsia="Times New Roman" w:hAnsi="Times New Roman" w:cs="Times New Roman"/>
                <w:color w:val="000000"/>
                <w:sz w:val="16"/>
                <w:szCs w:val="16"/>
              </w:rPr>
              <w:t>A general concern that servicers’ interests are not properly aligned with investors and a lack of transparency in servicer loss mitigation processes.</w:t>
            </w:r>
          </w:p>
        </w:tc>
        <w:tc>
          <w:tcPr>
            <w:tcW w:w="4410" w:type="dxa"/>
            <w:tcBorders>
              <w:top w:val="nil"/>
              <w:left w:val="nil"/>
              <w:bottom w:val="single" w:sz="4" w:space="0" w:color="auto"/>
              <w:right w:val="single" w:sz="8" w:space="0" w:color="auto"/>
            </w:tcBorders>
            <w:shd w:val="clear" w:color="auto" w:fill="auto"/>
            <w:hideMark/>
          </w:tcPr>
          <w:p w14:paraId="60E7A53A" w14:textId="77777777" w:rsidR="00BD4B49" w:rsidRPr="00EA26E3" w:rsidRDefault="00BD4B49" w:rsidP="00437FA2">
            <w:pPr>
              <w:spacing w:after="0" w:line="240" w:lineRule="auto"/>
              <w:rPr>
                <w:rFonts w:ascii="Times New Roman" w:eastAsia="Times New Roman" w:hAnsi="Times New Roman" w:cs="Times New Roman"/>
                <w:color w:val="000000"/>
                <w:sz w:val="16"/>
                <w:szCs w:val="16"/>
              </w:rPr>
            </w:pPr>
            <w:r w:rsidRPr="00EA26E3">
              <w:rPr>
                <w:rFonts w:ascii="Times New Roman" w:eastAsia="Times New Roman" w:hAnsi="Times New Roman" w:cs="Times New Roman"/>
                <w:color w:val="000000"/>
                <w:sz w:val="16"/>
                <w:szCs w:val="16"/>
              </w:rPr>
              <w:t>Issuers are unclear as to what servicing standards will exist in the future and whether the recent focus on specialty servicers means that broader changes are on the way.</w:t>
            </w:r>
          </w:p>
        </w:tc>
      </w:tr>
      <w:tr w:rsidR="00BD4B49" w:rsidRPr="00EA26E3" w14:paraId="77C0713B" w14:textId="77777777" w:rsidTr="00D829D2">
        <w:trPr>
          <w:trHeight w:val="1007"/>
        </w:trPr>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6BC3D" w14:textId="77777777" w:rsidR="00BD4B49" w:rsidRPr="00EA26E3" w:rsidRDefault="00BD4B49" w:rsidP="00437FA2">
            <w:pPr>
              <w:spacing w:after="0" w:line="240" w:lineRule="auto"/>
              <w:jc w:val="center"/>
              <w:rPr>
                <w:rFonts w:ascii="Times New Roman" w:eastAsia="Times New Roman" w:hAnsi="Times New Roman" w:cs="Times New Roman"/>
                <w:b/>
                <w:bCs/>
                <w:color w:val="000000"/>
                <w:sz w:val="16"/>
                <w:szCs w:val="16"/>
              </w:rPr>
            </w:pPr>
            <w:r w:rsidRPr="00EA26E3">
              <w:rPr>
                <w:rFonts w:ascii="Times New Roman" w:eastAsia="Times New Roman" w:hAnsi="Times New Roman" w:cs="Times New Roman"/>
                <w:b/>
                <w:bCs/>
                <w:color w:val="000000"/>
                <w:sz w:val="16"/>
                <w:szCs w:val="16"/>
              </w:rPr>
              <w:lastRenderedPageBreak/>
              <w:t>Transaction Parties and Investor Communications</w:t>
            </w:r>
          </w:p>
        </w:tc>
        <w:tc>
          <w:tcPr>
            <w:tcW w:w="4043" w:type="dxa"/>
            <w:tcBorders>
              <w:top w:val="single" w:sz="4" w:space="0" w:color="auto"/>
              <w:left w:val="nil"/>
              <w:bottom w:val="single" w:sz="4" w:space="0" w:color="auto"/>
              <w:right w:val="single" w:sz="4" w:space="0" w:color="auto"/>
            </w:tcBorders>
            <w:shd w:val="clear" w:color="auto" w:fill="auto"/>
            <w:hideMark/>
          </w:tcPr>
          <w:p w14:paraId="5AB06C04" w14:textId="0EC445C3" w:rsidR="00BD4B49" w:rsidRPr="00EA26E3" w:rsidRDefault="00520852" w:rsidP="00437FA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w:t>
            </w:r>
            <w:r w:rsidRPr="00EA26E3">
              <w:rPr>
                <w:rFonts w:ascii="Times New Roman" w:eastAsia="Times New Roman" w:hAnsi="Times New Roman" w:cs="Times New Roman"/>
                <w:color w:val="000000"/>
                <w:sz w:val="16"/>
                <w:szCs w:val="16"/>
              </w:rPr>
              <w:t>ome investors fe</w:t>
            </w:r>
            <w:r>
              <w:rPr>
                <w:rFonts w:ascii="Times New Roman" w:eastAsia="Times New Roman" w:hAnsi="Times New Roman" w:cs="Times New Roman"/>
                <w:color w:val="000000"/>
                <w:sz w:val="16"/>
                <w:szCs w:val="16"/>
              </w:rPr>
              <w:t>el</w:t>
            </w:r>
            <w:r w:rsidRPr="00EA26E3">
              <w:rPr>
                <w:rFonts w:ascii="Times New Roman" w:eastAsia="Times New Roman" w:hAnsi="Times New Roman" w:cs="Times New Roman"/>
                <w:color w:val="000000"/>
                <w:sz w:val="16"/>
                <w:szCs w:val="16"/>
              </w:rPr>
              <w:t xml:space="preserve"> they </w:t>
            </w:r>
            <w:r>
              <w:rPr>
                <w:rFonts w:ascii="Times New Roman" w:eastAsia="Times New Roman" w:hAnsi="Times New Roman" w:cs="Times New Roman"/>
                <w:color w:val="000000"/>
                <w:sz w:val="16"/>
                <w:szCs w:val="16"/>
              </w:rPr>
              <w:t>cannot obtain</w:t>
            </w:r>
            <w:r w:rsidRPr="00EA26E3">
              <w:rPr>
                <w:rFonts w:ascii="Times New Roman" w:eastAsia="Times New Roman" w:hAnsi="Times New Roman" w:cs="Times New Roman"/>
                <w:color w:val="000000"/>
                <w:sz w:val="16"/>
                <w:szCs w:val="16"/>
              </w:rPr>
              <w:t xml:space="preserve"> adequate information</w:t>
            </w:r>
            <w:r>
              <w:rPr>
                <w:rFonts w:ascii="Times New Roman" w:eastAsia="Times New Roman" w:hAnsi="Times New Roman" w:cs="Times New Roman"/>
                <w:color w:val="000000"/>
                <w:sz w:val="16"/>
                <w:szCs w:val="16"/>
              </w:rPr>
              <w:t xml:space="preserve"> </w:t>
            </w:r>
            <w:r w:rsidRPr="00EA26E3">
              <w:rPr>
                <w:rFonts w:ascii="Times New Roman" w:eastAsia="Times New Roman" w:hAnsi="Times New Roman" w:cs="Times New Roman"/>
                <w:color w:val="000000"/>
                <w:sz w:val="16"/>
                <w:szCs w:val="16"/>
              </w:rPr>
              <w:t>from certain transaction parties</w:t>
            </w:r>
            <w:r>
              <w:rPr>
                <w:rFonts w:ascii="Times New Roman" w:eastAsia="Times New Roman" w:hAnsi="Times New Roman" w:cs="Times New Roman"/>
                <w:color w:val="000000"/>
                <w:sz w:val="16"/>
                <w:szCs w:val="16"/>
              </w:rPr>
              <w:t xml:space="preserve"> either due to difficulties accessing available reporting or the inadequacy of the reporting itself.</w:t>
            </w:r>
          </w:p>
        </w:tc>
        <w:tc>
          <w:tcPr>
            <w:tcW w:w="4410" w:type="dxa"/>
            <w:tcBorders>
              <w:top w:val="single" w:sz="4" w:space="0" w:color="auto"/>
              <w:left w:val="nil"/>
              <w:bottom w:val="single" w:sz="4" w:space="0" w:color="auto"/>
              <w:right w:val="single" w:sz="4" w:space="0" w:color="auto"/>
            </w:tcBorders>
            <w:shd w:val="clear" w:color="auto" w:fill="auto"/>
            <w:hideMark/>
          </w:tcPr>
          <w:p w14:paraId="3D2CB8F5" w14:textId="77777777" w:rsidR="00BD4B49" w:rsidRPr="00EA26E3" w:rsidRDefault="00BD4B49" w:rsidP="00437FA2">
            <w:pPr>
              <w:spacing w:after="0" w:line="240" w:lineRule="auto"/>
              <w:rPr>
                <w:rFonts w:ascii="Times New Roman" w:eastAsia="Times New Roman" w:hAnsi="Times New Roman" w:cs="Times New Roman"/>
                <w:color w:val="000000"/>
                <w:sz w:val="16"/>
                <w:szCs w:val="16"/>
              </w:rPr>
            </w:pPr>
            <w:r w:rsidRPr="00EA26E3">
              <w:rPr>
                <w:rFonts w:ascii="Times New Roman" w:eastAsia="Times New Roman" w:hAnsi="Times New Roman" w:cs="Times New Roman"/>
                <w:color w:val="000000"/>
                <w:sz w:val="16"/>
                <w:szCs w:val="16"/>
              </w:rPr>
              <w:t> </w:t>
            </w:r>
          </w:p>
        </w:tc>
      </w:tr>
      <w:tr w:rsidR="00BD4B49" w:rsidRPr="00EA26E3" w14:paraId="5883DC26" w14:textId="77777777" w:rsidTr="00437FA2">
        <w:trPr>
          <w:trHeight w:val="980"/>
        </w:trPr>
        <w:tc>
          <w:tcPr>
            <w:tcW w:w="1527" w:type="dxa"/>
            <w:tcBorders>
              <w:top w:val="nil"/>
              <w:left w:val="single" w:sz="8" w:space="0" w:color="auto"/>
              <w:bottom w:val="single" w:sz="4" w:space="0" w:color="auto"/>
              <w:right w:val="single" w:sz="4" w:space="0" w:color="auto"/>
            </w:tcBorders>
            <w:shd w:val="clear" w:color="auto" w:fill="auto"/>
            <w:vAlign w:val="center"/>
            <w:hideMark/>
          </w:tcPr>
          <w:p w14:paraId="2CC4E9A8" w14:textId="77777777" w:rsidR="00BD4B49" w:rsidRPr="00EA26E3" w:rsidRDefault="00BD4B49" w:rsidP="00437FA2">
            <w:pPr>
              <w:spacing w:after="0" w:line="240" w:lineRule="auto"/>
              <w:jc w:val="center"/>
              <w:rPr>
                <w:rFonts w:ascii="Times New Roman" w:eastAsia="Times New Roman" w:hAnsi="Times New Roman" w:cs="Times New Roman"/>
                <w:b/>
                <w:bCs/>
                <w:color w:val="000000"/>
                <w:sz w:val="16"/>
                <w:szCs w:val="16"/>
              </w:rPr>
            </w:pPr>
            <w:r w:rsidRPr="00EA26E3">
              <w:rPr>
                <w:rFonts w:ascii="Times New Roman" w:eastAsia="Times New Roman" w:hAnsi="Times New Roman" w:cs="Times New Roman"/>
                <w:b/>
                <w:bCs/>
                <w:color w:val="000000"/>
                <w:sz w:val="16"/>
                <w:szCs w:val="16"/>
              </w:rPr>
              <w:t>Representations, Warranties, and Repurchase Governance</w:t>
            </w:r>
          </w:p>
        </w:tc>
        <w:tc>
          <w:tcPr>
            <w:tcW w:w="4043" w:type="dxa"/>
            <w:tcBorders>
              <w:top w:val="nil"/>
              <w:left w:val="nil"/>
              <w:bottom w:val="single" w:sz="4" w:space="0" w:color="auto"/>
              <w:right w:val="single" w:sz="4" w:space="0" w:color="auto"/>
            </w:tcBorders>
            <w:shd w:val="clear" w:color="auto" w:fill="auto"/>
            <w:hideMark/>
          </w:tcPr>
          <w:p w14:paraId="1944AA60" w14:textId="77777777" w:rsidR="00BD4B49" w:rsidRPr="00EA26E3" w:rsidRDefault="00BD4B49" w:rsidP="00437FA2">
            <w:pPr>
              <w:spacing w:after="0" w:line="240" w:lineRule="auto"/>
              <w:rPr>
                <w:rFonts w:ascii="Times New Roman" w:eastAsia="Times New Roman" w:hAnsi="Times New Roman" w:cs="Times New Roman"/>
                <w:color w:val="000000"/>
                <w:sz w:val="16"/>
                <w:szCs w:val="16"/>
              </w:rPr>
            </w:pPr>
            <w:r w:rsidRPr="00EA26E3">
              <w:rPr>
                <w:rFonts w:ascii="Times New Roman" w:eastAsia="Times New Roman" w:hAnsi="Times New Roman" w:cs="Times New Roman"/>
                <w:color w:val="000000"/>
                <w:sz w:val="16"/>
                <w:szCs w:val="16"/>
              </w:rPr>
              <w:t xml:space="preserve">Investors have indicated that a mechanism to solve issues related to representations and warranties is a pre-requisite to returning to the market.  </w:t>
            </w:r>
          </w:p>
        </w:tc>
        <w:tc>
          <w:tcPr>
            <w:tcW w:w="4410" w:type="dxa"/>
            <w:tcBorders>
              <w:top w:val="nil"/>
              <w:left w:val="nil"/>
              <w:bottom w:val="single" w:sz="4" w:space="0" w:color="auto"/>
              <w:right w:val="single" w:sz="8" w:space="0" w:color="auto"/>
            </w:tcBorders>
            <w:shd w:val="clear" w:color="auto" w:fill="auto"/>
            <w:hideMark/>
          </w:tcPr>
          <w:p w14:paraId="7A48DE44" w14:textId="77777777" w:rsidR="00BD4B49" w:rsidRPr="00EA26E3" w:rsidRDefault="00BD4B49" w:rsidP="00437FA2">
            <w:pPr>
              <w:spacing w:after="0" w:line="240" w:lineRule="auto"/>
              <w:rPr>
                <w:rFonts w:ascii="Times New Roman" w:eastAsia="Times New Roman" w:hAnsi="Times New Roman" w:cs="Times New Roman"/>
                <w:color w:val="000000"/>
                <w:sz w:val="16"/>
                <w:szCs w:val="16"/>
              </w:rPr>
            </w:pPr>
            <w:r w:rsidRPr="00EA26E3">
              <w:rPr>
                <w:rFonts w:ascii="Times New Roman" w:eastAsia="Times New Roman" w:hAnsi="Times New Roman" w:cs="Times New Roman"/>
                <w:color w:val="000000"/>
                <w:sz w:val="16"/>
                <w:szCs w:val="16"/>
              </w:rPr>
              <w:t xml:space="preserve">Issuers continue to explore frameworks that provide appropriate breach determination features while also offering certainty that a breach claim stems from a material loan defect rather than a borrower life or credit event.  Additionally, rating agencies tend to have differing views on how to develop these frameworks.  </w:t>
            </w:r>
          </w:p>
        </w:tc>
      </w:tr>
      <w:tr w:rsidR="00BD4B49" w:rsidRPr="00EA26E3" w14:paraId="53B54E23" w14:textId="77777777" w:rsidTr="00437FA2">
        <w:trPr>
          <w:trHeight w:val="1007"/>
        </w:trPr>
        <w:tc>
          <w:tcPr>
            <w:tcW w:w="1527" w:type="dxa"/>
            <w:tcBorders>
              <w:top w:val="nil"/>
              <w:left w:val="single" w:sz="8" w:space="0" w:color="auto"/>
              <w:bottom w:val="single" w:sz="4" w:space="0" w:color="auto"/>
              <w:right w:val="single" w:sz="4" w:space="0" w:color="auto"/>
            </w:tcBorders>
            <w:shd w:val="clear" w:color="auto" w:fill="auto"/>
            <w:vAlign w:val="center"/>
            <w:hideMark/>
          </w:tcPr>
          <w:p w14:paraId="55A18AF9" w14:textId="77777777" w:rsidR="00BD4B49" w:rsidRPr="00EA26E3" w:rsidRDefault="00BD4B49" w:rsidP="00437FA2">
            <w:pPr>
              <w:spacing w:after="0" w:line="240" w:lineRule="auto"/>
              <w:jc w:val="center"/>
              <w:rPr>
                <w:rFonts w:ascii="Times New Roman" w:eastAsia="Times New Roman" w:hAnsi="Times New Roman" w:cs="Times New Roman"/>
                <w:b/>
                <w:bCs/>
                <w:color w:val="000000"/>
                <w:sz w:val="16"/>
                <w:szCs w:val="16"/>
              </w:rPr>
            </w:pPr>
            <w:r w:rsidRPr="00EA26E3">
              <w:rPr>
                <w:rFonts w:ascii="Times New Roman" w:eastAsia="Times New Roman" w:hAnsi="Times New Roman" w:cs="Times New Roman"/>
                <w:b/>
                <w:bCs/>
                <w:color w:val="000000"/>
                <w:sz w:val="16"/>
                <w:szCs w:val="16"/>
              </w:rPr>
              <w:t>Substantial Due Diligence</w:t>
            </w:r>
          </w:p>
        </w:tc>
        <w:tc>
          <w:tcPr>
            <w:tcW w:w="4043" w:type="dxa"/>
            <w:tcBorders>
              <w:top w:val="nil"/>
              <w:left w:val="nil"/>
              <w:bottom w:val="single" w:sz="4" w:space="0" w:color="auto"/>
              <w:right w:val="single" w:sz="4" w:space="0" w:color="auto"/>
            </w:tcBorders>
            <w:shd w:val="clear" w:color="auto" w:fill="auto"/>
            <w:hideMark/>
          </w:tcPr>
          <w:p w14:paraId="315D6540" w14:textId="1732503C" w:rsidR="00BD4B49" w:rsidRPr="00EA26E3" w:rsidRDefault="00BD4B49" w:rsidP="0039754B">
            <w:pPr>
              <w:spacing w:after="0" w:line="240" w:lineRule="auto"/>
              <w:rPr>
                <w:rFonts w:ascii="Times New Roman" w:eastAsia="Times New Roman" w:hAnsi="Times New Roman" w:cs="Times New Roman"/>
                <w:color w:val="000000"/>
                <w:sz w:val="16"/>
                <w:szCs w:val="16"/>
              </w:rPr>
            </w:pPr>
            <w:r w:rsidRPr="00EA26E3">
              <w:rPr>
                <w:rFonts w:ascii="Times New Roman" w:eastAsia="Times New Roman" w:hAnsi="Times New Roman" w:cs="Times New Roman"/>
                <w:color w:val="000000"/>
                <w:sz w:val="16"/>
                <w:szCs w:val="16"/>
              </w:rPr>
              <w:t xml:space="preserve">Investors are further concerned about the inability to rely on rating agencies to the same degree as prior to the </w:t>
            </w:r>
            <w:r w:rsidR="0039754B">
              <w:rPr>
                <w:rFonts w:ascii="Times New Roman" w:eastAsia="Times New Roman" w:hAnsi="Times New Roman" w:cs="Times New Roman"/>
                <w:color w:val="000000"/>
                <w:sz w:val="16"/>
                <w:szCs w:val="16"/>
              </w:rPr>
              <w:t>c</w:t>
            </w:r>
            <w:r w:rsidRPr="00EA26E3">
              <w:rPr>
                <w:rFonts w:ascii="Times New Roman" w:eastAsia="Times New Roman" w:hAnsi="Times New Roman" w:cs="Times New Roman"/>
                <w:color w:val="000000"/>
                <w:sz w:val="16"/>
                <w:szCs w:val="16"/>
              </w:rPr>
              <w:t xml:space="preserve">redit </w:t>
            </w:r>
            <w:r w:rsidR="0039754B">
              <w:rPr>
                <w:rFonts w:ascii="Times New Roman" w:eastAsia="Times New Roman" w:hAnsi="Times New Roman" w:cs="Times New Roman"/>
                <w:color w:val="000000"/>
                <w:sz w:val="16"/>
                <w:szCs w:val="16"/>
              </w:rPr>
              <w:t>c</w:t>
            </w:r>
            <w:r w:rsidRPr="00EA26E3">
              <w:rPr>
                <w:rFonts w:ascii="Times New Roman" w:eastAsia="Times New Roman" w:hAnsi="Times New Roman" w:cs="Times New Roman"/>
                <w:color w:val="000000"/>
                <w:sz w:val="16"/>
                <w:szCs w:val="16"/>
              </w:rPr>
              <w:t>risis.  For investors to purchase securities, a substantial amount of due diligence is required which is costly and impacts profitability of an investment.</w:t>
            </w:r>
          </w:p>
        </w:tc>
        <w:tc>
          <w:tcPr>
            <w:tcW w:w="4410" w:type="dxa"/>
            <w:tcBorders>
              <w:top w:val="nil"/>
              <w:left w:val="nil"/>
              <w:bottom w:val="single" w:sz="4" w:space="0" w:color="auto"/>
              <w:right w:val="single" w:sz="8" w:space="0" w:color="auto"/>
            </w:tcBorders>
            <w:shd w:val="clear" w:color="auto" w:fill="auto"/>
            <w:hideMark/>
          </w:tcPr>
          <w:p w14:paraId="67020637" w14:textId="77777777" w:rsidR="00BD4B49" w:rsidRPr="00EA26E3" w:rsidRDefault="00BD4B49" w:rsidP="00437FA2">
            <w:pPr>
              <w:spacing w:after="0" w:line="240" w:lineRule="auto"/>
              <w:rPr>
                <w:rFonts w:ascii="Times New Roman" w:eastAsia="Times New Roman" w:hAnsi="Times New Roman" w:cs="Times New Roman"/>
                <w:color w:val="000000"/>
                <w:sz w:val="16"/>
                <w:szCs w:val="16"/>
              </w:rPr>
            </w:pPr>
            <w:r w:rsidRPr="00EA26E3">
              <w:rPr>
                <w:rFonts w:ascii="Times New Roman" w:eastAsia="Times New Roman" w:hAnsi="Times New Roman" w:cs="Times New Roman"/>
                <w:color w:val="000000"/>
                <w:sz w:val="16"/>
                <w:szCs w:val="16"/>
              </w:rPr>
              <w:t xml:space="preserve">Presently, 100% due diligence is generally required by investors and rating agencies prior to engaging in private-label securities transactions, which is not an operationally scalable and sustainable model for large volume, periodic issuers. </w:t>
            </w:r>
          </w:p>
        </w:tc>
      </w:tr>
      <w:tr w:rsidR="00BD4B49" w:rsidRPr="00EA26E3" w14:paraId="19672F1B" w14:textId="77777777" w:rsidTr="00437FA2">
        <w:trPr>
          <w:trHeight w:val="998"/>
        </w:trPr>
        <w:tc>
          <w:tcPr>
            <w:tcW w:w="1527" w:type="dxa"/>
            <w:tcBorders>
              <w:top w:val="nil"/>
              <w:left w:val="single" w:sz="8" w:space="0" w:color="auto"/>
              <w:bottom w:val="single" w:sz="8" w:space="0" w:color="auto"/>
              <w:right w:val="single" w:sz="4" w:space="0" w:color="auto"/>
            </w:tcBorders>
            <w:shd w:val="clear" w:color="auto" w:fill="auto"/>
            <w:vAlign w:val="center"/>
            <w:hideMark/>
          </w:tcPr>
          <w:p w14:paraId="6D836C9A" w14:textId="77777777" w:rsidR="00BD4B49" w:rsidRPr="00EA26E3" w:rsidRDefault="00BD4B49" w:rsidP="00437FA2">
            <w:pPr>
              <w:spacing w:after="0" w:line="240" w:lineRule="auto"/>
              <w:jc w:val="center"/>
              <w:rPr>
                <w:rFonts w:ascii="Times New Roman" w:eastAsia="Times New Roman" w:hAnsi="Times New Roman" w:cs="Times New Roman"/>
                <w:b/>
                <w:bCs/>
                <w:color w:val="000000"/>
                <w:sz w:val="16"/>
                <w:szCs w:val="16"/>
              </w:rPr>
            </w:pPr>
            <w:r w:rsidRPr="00EA26E3">
              <w:rPr>
                <w:rFonts w:ascii="Times New Roman" w:eastAsia="Times New Roman" w:hAnsi="Times New Roman" w:cs="Times New Roman"/>
                <w:b/>
                <w:bCs/>
                <w:color w:val="000000"/>
                <w:sz w:val="16"/>
                <w:szCs w:val="16"/>
              </w:rPr>
              <w:t>Pricing</w:t>
            </w:r>
          </w:p>
        </w:tc>
        <w:tc>
          <w:tcPr>
            <w:tcW w:w="4043" w:type="dxa"/>
            <w:tcBorders>
              <w:top w:val="nil"/>
              <w:left w:val="nil"/>
              <w:bottom w:val="single" w:sz="8" w:space="0" w:color="auto"/>
              <w:right w:val="single" w:sz="4" w:space="0" w:color="auto"/>
            </w:tcBorders>
            <w:shd w:val="clear" w:color="auto" w:fill="auto"/>
            <w:hideMark/>
          </w:tcPr>
          <w:p w14:paraId="65EA529E" w14:textId="56DB082D" w:rsidR="00BD4B49" w:rsidRPr="00EA26E3" w:rsidRDefault="00877D8D" w:rsidP="00437FA2">
            <w:pPr>
              <w:spacing w:after="0" w:line="240" w:lineRule="auto"/>
              <w:rPr>
                <w:rFonts w:ascii="Times New Roman" w:eastAsia="Times New Roman" w:hAnsi="Times New Roman" w:cs="Times New Roman"/>
                <w:color w:val="000000"/>
                <w:sz w:val="16"/>
                <w:szCs w:val="16"/>
              </w:rPr>
            </w:pPr>
            <w:r w:rsidRPr="00EA26E3">
              <w:rPr>
                <w:rFonts w:ascii="Times New Roman" w:eastAsia="Times New Roman" w:hAnsi="Times New Roman" w:cs="Times New Roman"/>
                <w:color w:val="000000"/>
                <w:sz w:val="16"/>
                <w:szCs w:val="16"/>
              </w:rPr>
              <w:t>Low cost deposits</w:t>
            </w:r>
            <w:r>
              <w:rPr>
                <w:rFonts w:ascii="Times New Roman" w:eastAsia="Times New Roman" w:hAnsi="Times New Roman" w:cs="Times New Roman"/>
                <w:color w:val="000000"/>
                <w:sz w:val="16"/>
                <w:szCs w:val="16"/>
              </w:rPr>
              <w:t xml:space="preserve"> and</w:t>
            </w:r>
            <w:r w:rsidRPr="00EA26E3">
              <w:rPr>
                <w:rFonts w:ascii="Times New Roman" w:eastAsia="Times New Roman" w:hAnsi="Times New Roman" w:cs="Times New Roman"/>
                <w:color w:val="000000"/>
                <w:sz w:val="16"/>
                <w:szCs w:val="16"/>
              </w:rPr>
              <w:t xml:space="preserve"> “easy” access to GSE </w:t>
            </w:r>
            <w:r>
              <w:rPr>
                <w:rFonts w:ascii="Times New Roman" w:eastAsia="Times New Roman" w:hAnsi="Times New Roman" w:cs="Times New Roman"/>
                <w:color w:val="000000"/>
                <w:sz w:val="16"/>
                <w:szCs w:val="16"/>
              </w:rPr>
              <w:t xml:space="preserve">and Federal Home Loan Bank </w:t>
            </w:r>
            <w:r w:rsidRPr="00EA26E3">
              <w:rPr>
                <w:rFonts w:ascii="Times New Roman" w:eastAsia="Times New Roman" w:hAnsi="Times New Roman" w:cs="Times New Roman"/>
                <w:color w:val="000000"/>
                <w:sz w:val="16"/>
                <w:szCs w:val="16"/>
              </w:rPr>
              <w:t xml:space="preserve">funding for issuers </w:t>
            </w:r>
            <w:r>
              <w:rPr>
                <w:rFonts w:ascii="Times New Roman" w:eastAsia="Times New Roman" w:hAnsi="Times New Roman" w:cs="Times New Roman"/>
                <w:color w:val="000000"/>
                <w:sz w:val="16"/>
                <w:szCs w:val="16"/>
              </w:rPr>
              <w:t>has suppressed PLS issuance</w:t>
            </w:r>
            <w:r w:rsidRPr="00EA26E3">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volumes</w:t>
            </w:r>
            <w:r w:rsidRPr="00EA26E3">
              <w:rPr>
                <w:rFonts w:ascii="Times New Roman" w:eastAsia="Times New Roman" w:hAnsi="Times New Roman" w:cs="Times New Roman"/>
                <w:color w:val="000000"/>
                <w:sz w:val="16"/>
                <w:szCs w:val="16"/>
              </w:rPr>
              <w:t xml:space="preserve"> that </w:t>
            </w:r>
            <w:r>
              <w:rPr>
                <w:rFonts w:ascii="Times New Roman" w:eastAsia="Times New Roman" w:hAnsi="Times New Roman" w:cs="Times New Roman"/>
                <w:color w:val="000000"/>
                <w:sz w:val="16"/>
                <w:szCs w:val="16"/>
              </w:rPr>
              <w:t xml:space="preserve">many investors believe </w:t>
            </w:r>
            <w:r w:rsidRPr="00EA26E3">
              <w:rPr>
                <w:rFonts w:ascii="Times New Roman" w:eastAsia="Times New Roman" w:hAnsi="Times New Roman" w:cs="Times New Roman"/>
                <w:color w:val="000000"/>
                <w:sz w:val="16"/>
                <w:szCs w:val="16"/>
              </w:rPr>
              <w:t xml:space="preserve">are required </w:t>
            </w:r>
            <w:r>
              <w:rPr>
                <w:rFonts w:ascii="Times New Roman" w:eastAsia="Times New Roman" w:hAnsi="Times New Roman" w:cs="Times New Roman"/>
                <w:color w:val="000000"/>
                <w:sz w:val="16"/>
                <w:szCs w:val="16"/>
              </w:rPr>
              <w:t>to attract a sufficiently deep and liquid</w:t>
            </w:r>
            <w:r w:rsidRPr="00EA26E3">
              <w:rPr>
                <w:rFonts w:ascii="Times New Roman" w:eastAsia="Times New Roman" w:hAnsi="Times New Roman" w:cs="Times New Roman"/>
                <w:color w:val="000000"/>
                <w:sz w:val="16"/>
                <w:szCs w:val="16"/>
              </w:rPr>
              <w:t xml:space="preserve"> investor</w:t>
            </w:r>
            <w:r>
              <w:rPr>
                <w:rFonts w:ascii="Times New Roman" w:eastAsia="Times New Roman" w:hAnsi="Times New Roman" w:cs="Times New Roman"/>
                <w:color w:val="000000"/>
                <w:sz w:val="16"/>
                <w:szCs w:val="16"/>
              </w:rPr>
              <w:t xml:space="preserve"> base.</w:t>
            </w:r>
          </w:p>
        </w:tc>
        <w:tc>
          <w:tcPr>
            <w:tcW w:w="4410" w:type="dxa"/>
            <w:tcBorders>
              <w:top w:val="nil"/>
              <w:left w:val="nil"/>
              <w:bottom w:val="single" w:sz="8" w:space="0" w:color="auto"/>
              <w:right w:val="single" w:sz="8" w:space="0" w:color="auto"/>
            </w:tcBorders>
            <w:shd w:val="clear" w:color="auto" w:fill="auto"/>
            <w:hideMark/>
          </w:tcPr>
          <w:p w14:paraId="69706F35" w14:textId="392CC4DD" w:rsidR="00BD4B49" w:rsidRPr="00EA26E3" w:rsidRDefault="00BD4B49" w:rsidP="00877D8D">
            <w:pPr>
              <w:spacing w:after="0" w:line="240" w:lineRule="auto"/>
              <w:rPr>
                <w:rFonts w:ascii="Times New Roman" w:eastAsia="Times New Roman" w:hAnsi="Times New Roman" w:cs="Times New Roman"/>
                <w:color w:val="000000"/>
                <w:sz w:val="16"/>
                <w:szCs w:val="16"/>
              </w:rPr>
            </w:pPr>
            <w:r w:rsidRPr="00EA26E3">
              <w:rPr>
                <w:rFonts w:ascii="Times New Roman" w:eastAsia="Times New Roman" w:hAnsi="Times New Roman" w:cs="Times New Roman"/>
                <w:color w:val="000000"/>
                <w:sz w:val="16"/>
                <w:szCs w:val="16"/>
              </w:rPr>
              <w:t xml:space="preserve">Low cost deposits and “easy” access to GSE funding </w:t>
            </w:r>
            <w:r w:rsidR="00877D8D">
              <w:rPr>
                <w:rFonts w:ascii="Times New Roman" w:eastAsia="Times New Roman" w:hAnsi="Times New Roman" w:cs="Times New Roman"/>
                <w:color w:val="000000"/>
                <w:sz w:val="16"/>
                <w:szCs w:val="16"/>
              </w:rPr>
              <w:t xml:space="preserve">and Federal Home Loan Bank funding </w:t>
            </w:r>
            <w:r w:rsidRPr="00EA26E3">
              <w:rPr>
                <w:rFonts w:ascii="Times New Roman" w:eastAsia="Times New Roman" w:hAnsi="Times New Roman" w:cs="Times New Roman"/>
                <w:color w:val="000000"/>
                <w:sz w:val="16"/>
                <w:szCs w:val="16"/>
              </w:rPr>
              <w:t>for issuers do not make</w:t>
            </w:r>
            <w:r w:rsidR="00877D8D">
              <w:rPr>
                <w:rFonts w:ascii="Times New Roman" w:eastAsia="Times New Roman" w:hAnsi="Times New Roman" w:cs="Times New Roman"/>
                <w:color w:val="000000"/>
                <w:sz w:val="16"/>
                <w:szCs w:val="16"/>
              </w:rPr>
              <w:t xml:space="preserve"> PLS</w:t>
            </w:r>
            <w:r w:rsidRPr="00EA26E3">
              <w:rPr>
                <w:rFonts w:ascii="Times New Roman" w:eastAsia="Times New Roman" w:hAnsi="Times New Roman" w:cs="Times New Roman"/>
                <w:color w:val="000000"/>
                <w:sz w:val="16"/>
                <w:szCs w:val="16"/>
              </w:rPr>
              <w:t xml:space="preserve"> issuance</w:t>
            </w:r>
            <w:r w:rsidR="00877D8D">
              <w:rPr>
                <w:rFonts w:ascii="Times New Roman" w:eastAsia="Times New Roman" w:hAnsi="Times New Roman" w:cs="Times New Roman"/>
                <w:color w:val="000000"/>
                <w:sz w:val="16"/>
                <w:szCs w:val="16"/>
              </w:rPr>
              <w:t xml:space="preserve"> a sufficiently</w:t>
            </w:r>
            <w:r w:rsidRPr="00EA26E3">
              <w:rPr>
                <w:rFonts w:ascii="Times New Roman" w:eastAsia="Times New Roman" w:hAnsi="Times New Roman" w:cs="Times New Roman"/>
                <w:color w:val="000000"/>
                <w:sz w:val="16"/>
                <w:szCs w:val="16"/>
              </w:rPr>
              <w:t xml:space="preserve"> attractive </w:t>
            </w:r>
            <w:r w:rsidR="00877D8D">
              <w:rPr>
                <w:rFonts w:ascii="Times New Roman" w:eastAsia="Times New Roman" w:hAnsi="Times New Roman" w:cs="Times New Roman"/>
                <w:color w:val="000000"/>
                <w:sz w:val="16"/>
                <w:szCs w:val="16"/>
              </w:rPr>
              <w:t>funding alternative</w:t>
            </w:r>
            <w:r w:rsidRPr="00EA26E3">
              <w:rPr>
                <w:rFonts w:ascii="Times New Roman" w:eastAsia="Times New Roman" w:hAnsi="Times New Roman" w:cs="Times New Roman"/>
                <w:color w:val="000000"/>
                <w:sz w:val="16"/>
                <w:szCs w:val="16"/>
              </w:rPr>
              <w:t xml:space="preserve">.  </w:t>
            </w:r>
          </w:p>
        </w:tc>
      </w:tr>
    </w:tbl>
    <w:p w14:paraId="35B3C9CC" w14:textId="6B7680CF" w:rsidR="00D326D3" w:rsidRPr="00CF2AF1" w:rsidRDefault="00D326D3" w:rsidP="00972B98">
      <w:pPr>
        <w:spacing w:line="240" w:lineRule="auto"/>
        <w:ind w:left="-270" w:hanging="90"/>
        <w:rPr>
          <w:rFonts w:ascii="Times New Roman" w:hAnsi="Times New Roman" w:cs="Times New Roman"/>
          <w:sz w:val="24"/>
          <w:szCs w:val="24"/>
        </w:rPr>
      </w:pPr>
    </w:p>
    <w:sectPr w:rsidR="00D326D3" w:rsidRPr="00CF2AF1" w:rsidSect="00AE40D2">
      <w:headerReference w:type="default" r:id="rId9"/>
      <w:footerReference w:type="default" r:id="rId10"/>
      <w:pgSz w:w="12240" w:h="15840"/>
      <w:pgMar w:top="1440" w:right="1440" w:bottom="1440" w:left="1440" w:header="50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D5A0D" w14:textId="77777777" w:rsidR="00BC24D1" w:rsidRDefault="00BC24D1" w:rsidP="007E508E">
      <w:pPr>
        <w:spacing w:after="0" w:line="240" w:lineRule="auto"/>
      </w:pPr>
      <w:r>
        <w:separator/>
      </w:r>
    </w:p>
  </w:endnote>
  <w:endnote w:type="continuationSeparator" w:id="0">
    <w:p w14:paraId="047FCCC4" w14:textId="77777777" w:rsidR="00BC24D1" w:rsidRDefault="00BC24D1" w:rsidP="007E5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807086"/>
      <w:docPartObj>
        <w:docPartGallery w:val="Page Numbers (Bottom of Page)"/>
        <w:docPartUnique/>
      </w:docPartObj>
    </w:sdtPr>
    <w:sdtEndPr>
      <w:rPr>
        <w:color w:val="7F7F7F" w:themeColor="background1" w:themeShade="7F"/>
        <w:spacing w:val="60"/>
      </w:rPr>
    </w:sdtEndPr>
    <w:sdtContent>
      <w:p w14:paraId="6F4C4DF1" w14:textId="77777777" w:rsidR="00CD2AEB" w:rsidRDefault="00FD7B94">
        <w:pPr>
          <w:pStyle w:val="Footer"/>
          <w:pBdr>
            <w:top w:val="single" w:sz="4" w:space="1" w:color="D9D9D9" w:themeColor="background1" w:themeShade="D9"/>
          </w:pBdr>
          <w:jc w:val="right"/>
        </w:pPr>
        <w:r>
          <w:fldChar w:fldCharType="begin"/>
        </w:r>
        <w:r w:rsidR="00CD2AEB">
          <w:instrText xml:space="preserve"> PAGE   \* MERGEFORMAT </w:instrText>
        </w:r>
        <w:r>
          <w:fldChar w:fldCharType="separate"/>
        </w:r>
        <w:r w:rsidR="00A16C4A">
          <w:rPr>
            <w:noProof/>
          </w:rPr>
          <w:t>1</w:t>
        </w:r>
        <w:r>
          <w:rPr>
            <w:noProof/>
          </w:rPr>
          <w:fldChar w:fldCharType="end"/>
        </w:r>
        <w:r w:rsidR="00CD2AEB">
          <w:t xml:space="preserve"> | </w:t>
        </w:r>
        <w:r w:rsidR="00CD2AEB">
          <w:rPr>
            <w:color w:val="7F7F7F" w:themeColor="background1" w:themeShade="7F"/>
            <w:spacing w:val="60"/>
          </w:rPr>
          <w:t>Page</w:t>
        </w:r>
      </w:p>
    </w:sdtContent>
  </w:sdt>
  <w:p w14:paraId="5D570358" w14:textId="77777777" w:rsidR="00CD2AEB" w:rsidRDefault="00CD2A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868C8" w14:textId="77777777" w:rsidR="00BC24D1" w:rsidRDefault="00BC24D1" w:rsidP="007E508E">
      <w:pPr>
        <w:spacing w:after="0" w:line="240" w:lineRule="auto"/>
      </w:pPr>
      <w:r>
        <w:separator/>
      </w:r>
    </w:p>
  </w:footnote>
  <w:footnote w:type="continuationSeparator" w:id="0">
    <w:p w14:paraId="049F492B" w14:textId="77777777" w:rsidR="00BC24D1" w:rsidRDefault="00BC24D1" w:rsidP="007E508E">
      <w:pPr>
        <w:spacing w:after="0" w:line="240" w:lineRule="auto"/>
      </w:pPr>
      <w:r>
        <w:continuationSeparator/>
      </w:r>
    </w:p>
  </w:footnote>
  <w:footnote w:id="1">
    <w:p w14:paraId="50F6E4B1" w14:textId="77777777" w:rsidR="00CD2AEB" w:rsidRPr="00590BC5" w:rsidRDefault="003D5D89" w:rsidP="00543345">
      <w:pPr>
        <w:autoSpaceDE w:val="0"/>
        <w:autoSpaceDN w:val="0"/>
        <w:adjustRightInd w:val="0"/>
        <w:spacing w:after="0" w:line="240" w:lineRule="auto"/>
        <w:jc w:val="both"/>
        <w:rPr>
          <w:rFonts w:ascii="Times New Roman" w:hAnsi="Times New Roman" w:cs="Times New Roman"/>
          <w:sz w:val="18"/>
          <w:szCs w:val="18"/>
        </w:rPr>
      </w:pPr>
      <w:r w:rsidRPr="00590BC5">
        <w:rPr>
          <w:rStyle w:val="FootnoteReference"/>
          <w:rFonts w:ascii="Times New Roman" w:hAnsi="Times New Roman" w:cs="Times New Roman"/>
          <w:sz w:val="18"/>
          <w:szCs w:val="18"/>
        </w:rPr>
        <w:footnoteRef/>
      </w:r>
      <w:r w:rsidRPr="00590BC5">
        <w:rPr>
          <w:rFonts w:ascii="Times New Roman" w:hAnsi="Times New Roman" w:cs="Times New Roman"/>
          <w:sz w:val="18"/>
          <w:szCs w:val="18"/>
        </w:rPr>
        <w:t xml:space="preserve"> SFIG is a member-based, trade industry advocacy group focused on improving and strengthening the broader structured finance and securitization market. SFIG provides an inclusive network for securitization professionals to collaborate and, as industry leaders, drive necessary changes, be advocates for the securitization community, share best practices and innovative ideas, and educate industry members through conferences and other programs. Members of SFIG represent all sectors of the securitization market including issuers, investors, financial intermediaries, law firms, accounting firms, technology firms, rating agencies, servicers, and trustees.  Further information can be found at </w:t>
      </w:r>
      <w:hyperlink r:id="rId1" w:history="1">
        <w:r w:rsidR="00B746DA" w:rsidRPr="00E42BD4">
          <w:rPr>
            <w:rStyle w:val="Hyperlink"/>
            <w:rFonts w:ascii="Times New Roman" w:hAnsi="Times New Roman" w:cs="Times New Roman"/>
            <w:sz w:val="18"/>
            <w:szCs w:val="18"/>
          </w:rPr>
          <w:t>www.sfindustry.org</w:t>
        </w:r>
      </w:hyperlink>
      <w:r w:rsidRPr="00590BC5">
        <w:rPr>
          <w:rFonts w:ascii="Times New Roman" w:hAnsi="Times New Roman" w:cs="Times New Roman"/>
          <w:sz w:val="18"/>
          <w:szCs w:val="18"/>
        </w:rPr>
        <w:t>.</w:t>
      </w:r>
      <w:r w:rsidR="00B746DA">
        <w:rPr>
          <w:rFonts w:ascii="Times New Roman" w:hAnsi="Times New Roman" w:cs="Times New Roman"/>
          <w:sz w:val="18"/>
          <w:szCs w:val="18"/>
        </w:rPr>
        <w:t xml:space="preserve"> </w:t>
      </w:r>
    </w:p>
  </w:footnote>
  <w:footnote w:id="2">
    <w:p w14:paraId="2AB04992" w14:textId="77777777" w:rsidR="00C1015D" w:rsidRPr="00590BC5" w:rsidRDefault="003D5D89">
      <w:pPr>
        <w:pStyle w:val="FootnoteText"/>
        <w:rPr>
          <w:rFonts w:ascii="Times New Roman" w:hAnsi="Times New Roman" w:cs="Times New Roman"/>
          <w:sz w:val="18"/>
          <w:szCs w:val="18"/>
        </w:rPr>
      </w:pPr>
      <w:r w:rsidRPr="00590BC5">
        <w:rPr>
          <w:rStyle w:val="FootnoteReference"/>
          <w:rFonts w:ascii="Times New Roman" w:hAnsi="Times New Roman" w:cs="Times New Roman"/>
          <w:sz w:val="18"/>
          <w:szCs w:val="18"/>
        </w:rPr>
        <w:footnoteRef/>
      </w:r>
      <w:r w:rsidRPr="00590BC5">
        <w:rPr>
          <w:rFonts w:ascii="Times New Roman" w:hAnsi="Times New Roman" w:cs="Times New Roman"/>
          <w:sz w:val="18"/>
          <w:szCs w:val="18"/>
        </w:rPr>
        <w:t xml:space="preserve"> While SFIG’s response to FHFA focuses on the short-term impact of amending G-fees, it should be noted that SFIG believes that maintaining the GSEs in conservatorship is not sustainable and meaningful legislative reform is required in order to create a viable and liquid housing finance marketplace.</w:t>
      </w:r>
    </w:p>
  </w:footnote>
  <w:footnote w:id="3">
    <w:p w14:paraId="480335C3" w14:textId="2B4AB838" w:rsidR="00CD2AEB" w:rsidRPr="00590BC5" w:rsidRDefault="003D5D89">
      <w:pPr>
        <w:pStyle w:val="FootnoteText"/>
        <w:rPr>
          <w:rFonts w:ascii="Times New Roman" w:hAnsi="Times New Roman" w:cs="Times New Roman"/>
          <w:sz w:val="18"/>
          <w:szCs w:val="18"/>
        </w:rPr>
      </w:pPr>
      <w:r w:rsidRPr="00590BC5">
        <w:rPr>
          <w:rStyle w:val="FootnoteReference"/>
          <w:rFonts w:ascii="Times New Roman" w:hAnsi="Times New Roman" w:cs="Times New Roman"/>
          <w:sz w:val="18"/>
          <w:szCs w:val="18"/>
        </w:rPr>
        <w:footnoteRef/>
      </w:r>
      <w:r w:rsidRPr="00590BC5">
        <w:rPr>
          <w:rFonts w:ascii="Times New Roman" w:hAnsi="Times New Roman" w:cs="Times New Roman"/>
          <w:sz w:val="18"/>
          <w:szCs w:val="18"/>
        </w:rPr>
        <w:t xml:space="preserve"> The primary avenue to re-introduce the PLS market would be to create a market where the GSEs are not active: non-qualified mortgages and jumbo mortgage loans (loan size above the GSE conforming loan limit).  </w:t>
      </w:r>
      <w:r w:rsidR="00855D1D">
        <w:rPr>
          <w:rFonts w:ascii="Times New Roman" w:hAnsi="Times New Roman" w:cs="Times New Roman"/>
          <w:sz w:val="18"/>
          <w:szCs w:val="18"/>
        </w:rPr>
        <w:t>Adjustable-rate mortgages, which are not eligible for delivery into TBA securities, could also be an area for private capital to participate</w:t>
      </w:r>
      <w:r w:rsidRPr="00590BC5">
        <w:rPr>
          <w:rFonts w:ascii="Times New Roman" w:hAnsi="Times New Roman" w:cs="Times New Roman"/>
          <w:sz w:val="18"/>
          <w:szCs w:val="18"/>
        </w:rPr>
        <w:t>.</w:t>
      </w:r>
    </w:p>
  </w:footnote>
  <w:footnote w:id="4">
    <w:p w14:paraId="3E325DDF" w14:textId="554F6815" w:rsidR="00CD2AEB" w:rsidRDefault="003D5D89">
      <w:pPr>
        <w:pStyle w:val="FootnoteText"/>
      </w:pPr>
      <w:r w:rsidRPr="00590BC5">
        <w:rPr>
          <w:rStyle w:val="FootnoteReference"/>
          <w:rFonts w:ascii="Times New Roman" w:hAnsi="Times New Roman" w:cs="Times New Roman"/>
          <w:sz w:val="18"/>
          <w:szCs w:val="18"/>
        </w:rPr>
        <w:footnoteRef/>
      </w:r>
      <w:r w:rsidRPr="00590BC5">
        <w:rPr>
          <w:rStyle w:val="FootnoteReference"/>
          <w:rFonts w:ascii="Times New Roman" w:hAnsi="Times New Roman" w:cs="Times New Roman"/>
          <w:sz w:val="18"/>
          <w:szCs w:val="18"/>
        </w:rPr>
        <w:t xml:space="preserve"> </w:t>
      </w:r>
      <w:r w:rsidRPr="00590BC5">
        <w:rPr>
          <w:rStyle w:val="FootnoteReference"/>
          <w:rFonts w:ascii="Times New Roman" w:hAnsi="Times New Roman" w:cs="Times New Roman"/>
          <w:sz w:val="18"/>
          <w:szCs w:val="18"/>
          <w:vertAlign w:val="baseline"/>
        </w:rPr>
        <w:t>As SFIG has previously espoused</w:t>
      </w:r>
      <w:r w:rsidRPr="00590BC5">
        <w:rPr>
          <w:rFonts w:ascii="Times New Roman" w:hAnsi="Times New Roman" w:cs="Times New Roman"/>
          <w:sz w:val="18"/>
          <w:szCs w:val="18"/>
        </w:rPr>
        <w:t xml:space="preserve"> </w:t>
      </w:r>
      <w:proofErr w:type="gramStart"/>
      <w:r w:rsidRPr="00590BC5">
        <w:rPr>
          <w:rFonts w:ascii="Times New Roman" w:hAnsi="Times New Roman" w:cs="Times New Roman"/>
          <w:sz w:val="18"/>
          <w:szCs w:val="18"/>
        </w:rPr>
        <w:t>in</w:t>
      </w:r>
      <w:proofErr w:type="gramEnd"/>
      <w:r w:rsidRPr="00590BC5">
        <w:rPr>
          <w:rFonts w:ascii="Times New Roman" w:hAnsi="Times New Roman" w:cs="Times New Roman"/>
          <w:sz w:val="18"/>
          <w:szCs w:val="18"/>
        </w:rPr>
        <w:t xml:space="preserve"> times of exigency, such as during a credit crisis, loan limits can be temporarily increased if governmental support becomes necessary.</w:t>
      </w:r>
      <w:r w:rsidR="00CD2AEB">
        <w:t xml:space="preserve">  </w:t>
      </w:r>
      <w:r w:rsidR="00B2332C">
        <w:t xml:space="preserve">  </w:t>
      </w:r>
    </w:p>
  </w:footnote>
  <w:footnote w:id="5">
    <w:p w14:paraId="2D47FA4C" w14:textId="77777777" w:rsidR="00101A03" w:rsidRPr="00590BC5" w:rsidRDefault="003D5D89">
      <w:pPr>
        <w:pStyle w:val="FootnoteText"/>
        <w:rPr>
          <w:rFonts w:ascii="Times New Roman" w:hAnsi="Times New Roman" w:cs="Times New Roman"/>
          <w:sz w:val="18"/>
          <w:szCs w:val="18"/>
        </w:rPr>
      </w:pPr>
      <w:r w:rsidRPr="00590BC5">
        <w:rPr>
          <w:rStyle w:val="FootnoteReference"/>
          <w:rFonts w:ascii="Times New Roman" w:hAnsi="Times New Roman" w:cs="Times New Roman"/>
          <w:sz w:val="18"/>
          <w:szCs w:val="18"/>
        </w:rPr>
        <w:footnoteRef/>
      </w:r>
      <w:r w:rsidRPr="00590BC5">
        <w:rPr>
          <w:rFonts w:ascii="Times New Roman" w:hAnsi="Times New Roman" w:cs="Times New Roman"/>
          <w:sz w:val="18"/>
          <w:szCs w:val="18"/>
        </w:rPr>
        <w:t xml:space="preserve"> SFIG has testified that Congress should explicitly promote affordable housing through a stand-alone program not linked in any way to the operation of the secondary mortgage market, and should fund that program through separate legislative mechanisms.  </w:t>
      </w:r>
      <w:hyperlink r:id="rId2" w:history="1">
        <w:r w:rsidRPr="00590BC5">
          <w:rPr>
            <w:rStyle w:val="Hyperlink"/>
            <w:rFonts w:ascii="Times New Roman" w:hAnsi="Times New Roman" w:cs="Times New Roman"/>
            <w:sz w:val="18"/>
            <w:szCs w:val="18"/>
          </w:rPr>
          <w:t>http://www.sfindustry.org/uploads/TestHousingReformSenBankCom_09_12_13.pdf</w:t>
        </w:r>
      </w:hyperlink>
      <w:r w:rsidRPr="00590BC5">
        <w:rPr>
          <w:rFonts w:ascii="Times New Roman" w:hAnsi="Times New Roman" w:cs="Times New Roman"/>
          <w:sz w:val="18"/>
          <w:szCs w:val="18"/>
        </w:rPr>
        <w:t>, SFIG testimony before the Senate Committee on Banking, Housing, and Urban Affairs, September, 12, 2103, page 5.</w:t>
      </w:r>
    </w:p>
  </w:footnote>
  <w:footnote w:id="6">
    <w:p w14:paraId="3D59F79F" w14:textId="77777777" w:rsidR="009B2E47" w:rsidRPr="00590BC5" w:rsidRDefault="003D5D89" w:rsidP="009B2E47">
      <w:pPr>
        <w:pStyle w:val="FootnoteText"/>
        <w:rPr>
          <w:rFonts w:ascii="Times New Roman" w:hAnsi="Times New Roman" w:cs="Times New Roman"/>
          <w:sz w:val="18"/>
          <w:szCs w:val="18"/>
        </w:rPr>
      </w:pPr>
      <w:r w:rsidRPr="00590BC5">
        <w:rPr>
          <w:rStyle w:val="FootnoteReference"/>
          <w:rFonts w:ascii="Times New Roman" w:hAnsi="Times New Roman" w:cs="Times New Roman"/>
          <w:sz w:val="18"/>
          <w:szCs w:val="18"/>
        </w:rPr>
        <w:footnoteRef/>
      </w:r>
      <w:r w:rsidRPr="00590BC5">
        <w:rPr>
          <w:rFonts w:ascii="Times New Roman" w:hAnsi="Times New Roman" w:cs="Times New Roman"/>
          <w:sz w:val="18"/>
          <w:szCs w:val="18"/>
        </w:rPr>
        <w:t xml:space="preserve"> </w:t>
      </w:r>
      <w:hyperlink r:id="rId3" w:history="1">
        <w:r w:rsidRPr="00590BC5">
          <w:rPr>
            <w:rStyle w:val="Hyperlink"/>
            <w:rFonts w:ascii="Times New Roman" w:hAnsi="Times New Roman" w:cs="Times New Roman"/>
            <w:sz w:val="18"/>
            <w:szCs w:val="18"/>
          </w:rPr>
          <w:t>http://www.urban.org/UploadedPDF/412935-The-GSE-Reform-Debate-How-Much-Capital-Is-Enough.pdf</w:t>
        </w:r>
      </w:hyperlink>
      <w:r w:rsidRPr="00590BC5">
        <w:rPr>
          <w:rFonts w:ascii="Times New Roman" w:hAnsi="Times New Roman" w:cs="Times New Roman"/>
          <w:sz w:val="18"/>
          <w:szCs w:val="18"/>
        </w:rPr>
        <w:t xml:space="preserve">, The GSE Reform Debate: How Much Capital is </w:t>
      </w:r>
      <w:proofErr w:type="gramStart"/>
      <w:r w:rsidRPr="00590BC5">
        <w:rPr>
          <w:rFonts w:ascii="Times New Roman" w:hAnsi="Times New Roman" w:cs="Times New Roman"/>
          <w:sz w:val="18"/>
          <w:szCs w:val="18"/>
        </w:rPr>
        <w:t>Enough</w:t>
      </w:r>
      <w:proofErr w:type="gramEnd"/>
      <w:r w:rsidRPr="00590BC5">
        <w:rPr>
          <w:rFonts w:ascii="Times New Roman" w:hAnsi="Times New Roman" w:cs="Times New Roman"/>
          <w:sz w:val="18"/>
          <w:szCs w:val="18"/>
        </w:rPr>
        <w:t>? Laurie Goodman and Jun Zhu, Urban Institute, October 24, 2013, page 6.</w:t>
      </w:r>
    </w:p>
  </w:footnote>
  <w:footnote w:id="7">
    <w:p w14:paraId="3F7D6993" w14:textId="77777777" w:rsidR="00333A11" w:rsidRPr="00CF7554" w:rsidRDefault="00333A11">
      <w:pPr>
        <w:pStyle w:val="FootnoteText"/>
        <w:rPr>
          <w:rFonts w:ascii="Times New Roman" w:hAnsi="Times New Roman" w:cs="Times New Roman"/>
          <w:sz w:val="18"/>
          <w:szCs w:val="18"/>
        </w:rPr>
      </w:pPr>
      <w:r w:rsidRPr="00CF7554">
        <w:rPr>
          <w:rStyle w:val="FootnoteReference"/>
          <w:rFonts w:ascii="Times New Roman" w:hAnsi="Times New Roman" w:cs="Times New Roman"/>
          <w:sz w:val="18"/>
          <w:szCs w:val="18"/>
        </w:rPr>
        <w:footnoteRef/>
      </w:r>
      <w:r w:rsidRPr="00CF7554">
        <w:rPr>
          <w:rFonts w:ascii="Times New Roman" w:hAnsi="Times New Roman" w:cs="Times New Roman"/>
          <w:sz w:val="18"/>
          <w:szCs w:val="18"/>
        </w:rPr>
        <w:t xml:space="preserve"> Ability to Repay and Qualified Mortgage Standards </w:t>
      </w:r>
      <w:proofErr w:type="gramStart"/>
      <w:r w:rsidRPr="00CF7554">
        <w:rPr>
          <w:rFonts w:ascii="Times New Roman" w:hAnsi="Times New Roman" w:cs="Times New Roman"/>
          <w:sz w:val="18"/>
          <w:szCs w:val="18"/>
        </w:rPr>
        <w:t>Under</w:t>
      </w:r>
      <w:proofErr w:type="gramEnd"/>
      <w:r w:rsidRPr="00CF7554">
        <w:rPr>
          <w:rFonts w:ascii="Times New Roman" w:hAnsi="Times New Roman" w:cs="Times New Roman"/>
          <w:sz w:val="18"/>
          <w:szCs w:val="18"/>
        </w:rPr>
        <w:t xml:space="preserve"> the Truth in Lending Act (Regulation Z), 12 CFR 1026.</w:t>
      </w:r>
    </w:p>
  </w:footnote>
  <w:footnote w:id="8">
    <w:p w14:paraId="49480BF0" w14:textId="77777777" w:rsidR="00453DA3" w:rsidRPr="00590BC5" w:rsidRDefault="003D5D89">
      <w:pPr>
        <w:pStyle w:val="FootnoteText"/>
        <w:rPr>
          <w:rFonts w:ascii="Times New Roman" w:hAnsi="Times New Roman" w:cs="Times New Roman"/>
          <w:sz w:val="18"/>
          <w:szCs w:val="18"/>
        </w:rPr>
      </w:pPr>
      <w:r w:rsidRPr="00590BC5">
        <w:rPr>
          <w:rStyle w:val="FootnoteReference"/>
          <w:rFonts w:ascii="Times New Roman" w:hAnsi="Times New Roman" w:cs="Times New Roman"/>
          <w:sz w:val="18"/>
          <w:szCs w:val="18"/>
        </w:rPr>
        <w:footnoteRef/>
      </w:r>
      <w:r w:rsidRPr="00590BC5">
        <w:rPr>
          <w:rFonts w:ascii="Times New Roman" w:hAnsi="Times New Roman" w:cs="Times New Roman"/>
          <w:sz w:val="18"/>
          <w:szCs w:val="18"/>
        </w:rPr>
        <w:t xml:space="preserve"> </w:t>
      </w:r>
      <w:hyperlink r:id="rId4" w:history="1">
        <w:r w:rsidRPr="00590BC5">
          <w:rPr>
            <w:rStyle w:val="Hyperlink"/>
            <w:rFonts w:ascii="Times New Roman" w:hAnsi="Times New Roman" w:cs="Times New Roman"/>
            <w:sz w:val="18"/>
            <w:szCs w:val="18"/>
          </w:rPr>
          <w:t>http://www.fhfa.gov/PolicyProgramsResearch/Policy/Documents/PMIERs/PMIERs-Overview.pdf</w:t>
        </w:r>
      </w:hyperlink>
      <w:r w:rsidRPr="00590BC5">
        <w:rPr>
          <w:rFonts w:ascii="Times New Roman" w:hAnsi="Times New Roman" w:cs="Times New Roman"/>
          <w:sz w:val="18"/>
          <w:szCs w:val="18"/>
        </w:rPr>
        <w:t xml:space="preserve">, </w:t>
      </w:r>
      <w:r w:rsidRPr="00590BC5">
        <w:rPr>
          <w:rFonts w:ascii="Times New Roman" w:hAnsi="Times New Roman" w:cs="Times New Roman"/>
          <w:bCs/>
          <w:color w:val="276598"/>
          <w:kern w:val="36"/>
          <w:sz w:val="18"/>
          <w:szCs w:val="18"/>
        </w:rPr>
        <w:t>FHFA Requests Input on Draft Private Mortgage Insurer Eligibility Requirements for Fannie Mae and Freddie Mac Counterparties, July 10, 2014.</w:t>
      </w:r>
    </w:p>
  </w:footnote>
  <w:footnote w:id="9">
    <w:p w14:paraId="02F4B866" w14:textId="279D889D" w:rsidR="00985761" w:rsidRDefault="00985761">
      <w:pPr>
        <w:pStyle w:val="FootnoteText"/>
      </w:pPr>
      <w:r>
        <w:rPr>
          <w:rStyle w:val="FootnoteReference"/>
        </w:rPr>
        <w:footnoteRef/>
      </w:r>
      <w:r>
        <w:t xml:space="preserve"> </w:t>
      </w:r>
      <w:r w:rsidRPr="00C61327">
        <w:rPr>
          <w:rFonts w:ascii="Times New Roman" w:hAnsi="Times New Roman" w:cs="Times New Roman"/>
          <w:sz w:val="18"/>
          <w:szCs w:val="18"/>
        </w:rPr>
        <w:t xml:space="preserve">While Regulation AB II was adopted by the Securities and Exchange Commission (“Commission”) on August 27, 2014, the </w:t>
      </w:r>
      <w:r w:rsidR="001F2729" w:rsidRPr="00C61327">
        <w:rPr>
          <w:rFonts w:ascii="Times New Roman" w:hAnsi="Times New Roman" w:cs="Times New Roman"/>
          <w:sz w:val="18"/>
          <w:szCs w:val="18"/>
        </w:rPr>
        <w:t xml:space="preserve">Commission’s </w:t>
      </w:r>
      <w:r w:rsidRPr="00C61327">
        <w:rPr>
          <w:rFonts w:ascii="Times New Roman" w:hAnsi="Times New Roman" w:cs="Times New Roman"/>
          <w:sz w:val="18"/>
          <w:szCs w:val="18"/>
        </w:rPr>
        <w:t xml:space="preserve">adopting release stated that </w:t>
      </w:r>
      <w:r w:rsidR="00C21C51" w:rsidRPr="00C61327">
        <w:rPr>
          <w:rFonts w:ascii="Times New Roman" w:hAnsi="Times New Roman" w:cs="Times New Roman"/>
          <w:sz w:val="18"/>
          <w:szCs w:val="18"/>
        </w:rPr>
        <w:t xml:space="preserve">several proposals remain outstanding.  For example, one </w:t>
      </w:r>
      <w:r w:rsidR="001F2729" w:rsidRPr="00C61327">
        <w:rPr>
          <w:rFonts w:ascii="Times New Roman" w:hAnsi="Times New Roman" w:cs="Times New Roman"/>
          <w:sz w:val="18"/>
          <w:szCs w:val="18"/>
        </w:rPr>
        <w:t xml:space="preserve">remaining </w:t>
      </w:r>
      <w:r w:rsidR="00C21C51" w:rsidRPr="00C61327">
        <w:rPr>
          <w:rFonts w:ascii="Times New Roman" w:hAnsi="Times New Roman" w:cs="Times New Roman"/>
          <w:sz w:val="18"/>
          <w:szCs w:val="18"/>
        </w:rPr>
        <w:t xml:space="preserve">question is whether the rule will apply to Rule 144A transactions.  There is no indication as to when these proposals will ever be further acted upon.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9617A" w14:textId="77777777" w:rsidR="00CD2AEB" w:rsidRDefault="00CD2AEB">
    <w:pPr>
      <w:pStyle w:val="Header"/>
    </w:pPr>
    <w:r>
      <w:rPr>
        <w:noProof/>
      </w:rPr>
      <w:drawing>
        <wp:inline distT="0" distB="0" distL="0" distR="0" wp14:anchorId="29855101" wp14:editId="7A81646F">
          <wp:extent cx="1347756" cy="72898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708" cy="72949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904CE"/>
    <w:multiLevelType w:val="multilevel"/>
    <w:tmpl w:val="10C23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9370FA3"/>
    <w:multiLevelType w:val="multilevel"/>
    <w:tmpl w:val="35568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96619A4"/>
    <w:multiLevelType w:val="multilevel"/>
    <w:tmpl w:val="C3EA6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0DA7AD3"/>
    <w:multiLevelType w:val="hybridMultilevel"/>
    <w:tmpl w:val="DBA4B6E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3D841E4"/>
    <w:multiLevelType w:val="hybridMultilevel"/>
    <w:tmpl w:val="FF52B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487138"/>
    <w:multiLevelType w:val="hybridMultilevel"/>
    <w:tmpl w:val="3E3AA8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3D3C4F"/>
    <w:multiLevelType w:val="hybridMultilevel"/>
    <w:tmpl w:val="7A1AA66C"/>
    <w:lvl w:ilvl="0" w:tplc="3AF666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F96FE3"/>
    <w:multiLevelType w:val="hybridMultilevel"/>
    <w:tmpl w:val="45FE8890"/>
    <w:lvl w:ilvl="0" w:tplc="04090005">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nsid w:val="3FD504C2"/>
    <w:multiLevelType w:val="multilevel"/>
    <w:tmpl w:val="90626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0E60C53"/>
    <w:multiLevelType w:val="hybridMultilevel"/>
    <w:tmpl w:val="465EE3DE"/>
    <w:lvl w:ilvl="0" w:tplc="1444B5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EA5FFE"/>
    <w:multiLevelType w:val="multilevel"/>
    <w:tmpl w:val="C1E62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3C73441"/>
    <w:multiLevelType w:val="hybridMultilevel"/>
    <w:tmpl w:val="73306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0D5D60"/>
    <w:multiLevelType w:val="multilevel"/>
    <w:tmpl w:val="D93C5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4821A90"/>
    <w:multiLevelType w:val="hybridMultilevel"/>
    <w:tmpl w:val="E1E0C86C"/>
    <w:lvl w:ilvl="0" w:tplc="61043C70">
      <w:start w:val="1"/>
      <w:numFmt w:val="decimal"/>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935131"/>
    <w:multiLevelType w:val="hybridMultilevel"/>
    <w:tmpl w:val="F1D29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D0D5B2C"/>
    <w:multiLevelType w:val="multilevel"/>
    <w:tmpl w:val="C8E21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7DC148C"/>
    <w:multiLevelType w:val="hybridMultilevel"/>
    <w:tmpl w:val="681EB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E9425F"/>
    <w:multiLevelType w:val="multilevel"/>
    <w:tmpl w:val="E3A26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7F5E7C75"/>
    <w:multiLevelType w:val="hybridMultilevel"/>
    <w:tmpl w:val="9E4C37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2"/>
  </w:num>
  <w:num w:numId="4">
    <w:abstractNumId w:val="1"/>
  </w:num>
  <w:num w:numId="5">
    <w:abstractNumId w:val="12"/>
  </w:num>
  <w:num w:numId="6">
    <w:abstractNumId w:val="10"/>
  </w:num>
  <w:num w:numId="7">
    <w:abstractNumId w:val="15"/>
  </w:num>
  <w:num w:numId="8">
    <w:abstractNumId w:val="8"/>
  </w:num>
  <w:num w:numId="9">
    <w:abstractNumId w:val="11"/>
  </w:num>
  <w:num w:numId="10">
    <w:abstractNumId w:val="9"/>
  </w:num>
  <w:num w:numId="11">
    <w:abstractNumId w:val="16"/>
  </w:num>
  <w:num w:numId="12">
    <w:abstractNumId w:val="13"/>
  </w:num>
  <w:num w:numId="1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8"/>
  </w:num>
  <w:num w:numId="16">
    <w:abstractNumId w:val="4"/>
  </w:num>
  <w:num w:numId="17">
    <w:abstractNumId w:val="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DCC"/>
    <w:rsid w:val="00001EB1"/>
    <w:rsid w:val="000114D7"/>
    <w:rsid w:val="00020BC7"/>
    <w:rsid w:val="00022A32"/>
    <w:rsid w:val="000238F1"/>
    <w:rsid w:val="0002649A"/>
    <w:rsid w:val="00030119"/>
    <w:rsid w:val="00030349"/>
    <w:rsid w:val="00031693"/>
    <w:rsid w:val="00032B13"/>
    <w:rsid w:val="0003301A"/>
    <w:rsid w:val="000426E1"/>
    <w:rsid w:val="00042D43"/>
    <w:rsid w:val="0004367E"/>
    <w:rsid w:val="0004670E"/>
    <w:rsid w:val="0004707A"/>
    <w:rsid w:val="000478E8"/>
    <w:rsid w:val="000500EA"/>
    <w:rsid w:val="000516A6"/>
    <w:rsid w:val="00061D50"/>
    <w:rsid w:val="00063680"/>
    <w:rsid w:val="000644E4"/>
    <w:rsid w:val="000709E7"/>
    <w:rsid w:val="00071039"/>
    <w:rsid w:val="00073995"/>
    <w:rsid w:val="00075E1B"/>
    <w:rsid w:val="00080F92"/>
    <w:rsid w:val="0008107A"/>
    <w:rsid w:val="000863B2"/>
    <w:rsid w:val="00091102"/>
    <w:rsid w:val="00092842"/>
    <w:rsid w:val="000977D9"/>
    <w:rsid w:val="000A475C"/>
    <w:rsid w:val="000A64EC"/>
    <w:rsid w:val="000B0A5E"/>
    <w:rsid w:val="000B4790"/>
    <w:rsid w:val="000C0249"/>
    <w:rsid w:val="000C0355"/>
    <w:rsid w:val="000C6230"/>
    <w:rsid w:val="000D4DAB"/>
    <w:rsid w:val="000D6D52"/>
    <w:rsid w:val="000E0223"/>
    <w:rsid w:val="000E2BA2"/>
    <w:rsid w:val="000F16BC"/>
    <w:rsid w:val="000F274F"/>
    <w:rsid w:val="000F666F"/>
    <w:rsid w:val="00101A03"/>
    <w:rsid w:val="0010266C"/>
    <w:rsid w:val="00117A8D"/>
    <w:rsid w:val="00117BE3"/>
    <w:rsid w:val="00120C97"/>
    <w:rsid w:val="00133F79"/>
    <w:rsid w:val="00133F87"/>
    <w:rsid w:val="001351F0"/>
    <w:rsid w:val="00143147"/>
    <w:rsid w:val="001432D8"/>
    <w:rsid w:val="00143ACA"/>
    <w:rsid w:val="00143F0B"/>
    <w:rsid w:val="00146DAC"/>
    <w:rsid w:val="001473F2"/>
    <w:rsid w:val="00147865"/>
    <w:rsid w:val="00156240"/>
    <w:rsid w:val="00157F7E"/>
    <w:rsid w:val="00162938"/>
    <w:rsid w:val="00163D75"/>
    <w:rsid w:val="001643CF"/>
    <w:rsid w:val="00165097"/>
    <w:rsid w:val="00165CCB"/>
    <w:rsid w:val="00172540"/>
    <w:rsid w:val="0017382A"/>
    <w:rsid w:val="00174CFF"/>
    <w:rsid w:val="00175A3F"/>
    <w:rsid w:val="00177B41"/>
    <w:rsid w:val="00181132"/>
    <w:rsid w:val="001824FA"/>
    <w:rsid w:val="00182606"/>
    <w:rsid w:val="00183B39"/>
    <w:rsid w:val="00194E06"/>
    <w:rsid w:val="00195419"/>
    <w:rsid w:val="00197714"/>
    <w:rsid w:val="001A1C1A"/>
    <w:rsid w:val="001A2450"/>
    <w:rsid w:val="001B4E88"/>
    <w:rsid w:val="001B5CA7"/>
    <w:rsid w:val="001C2EA9"/>
    <w:rsid w:val="001C4659"/>
    <w:rsid w:val="001D0C29"/>
    <w:rsid w:val="001D2A91"/>
    <w:rsid w:val="001E037B"/>
    <w:rsid w:val="001E2FC5"/>
    <w:rsid w:val="001E4561"/>
    <w:rsid w:val="001E6DF9"/>
    <w:rsid w:val="001F2729"/>
    <w:rsid w:val="001F2E83"/>
    <w:rsid w:val="001F50DC"/>
    <w:rsid w:val="001F56CC"/>
    <w:rsid w:val="001F60D0"/>
    <w:rsid w:val="001F64E6"/>
    <w:rsid w:val="00200312"/>
    <w:rsid w:val="00201865"/>
    <w:rsid w:val="0020371D"/>
    <w:rsid w:val="00204215"/>
    <w:rsid w:val="00204D3F"/>
    <w:rsid w:val="00224B6A"/>
    <w:rsid w:val="00226A26"/>
    <w:rsid w:val="00233081"/>
    <w:rsid w:val="002357EC"/>
    <w:rsid w:val="00236138"/>
    <w:rsid w:val="00241E3D"/>
    <w:rsid w:val="002426E6"/>
    <w:rsid w:val="00246835"/>
    <w:rsid w:val="00253D34"/>
    <w:rsid w:val="00255BBD"/>
    <w:rsid w:val="00267A2C"/>
    <w:rsid w:val="00267BB2"/>
    <w:rsid w:val="002725B1"/>
    <w:rsid w:val="00273D8A"/>
    <w:rsid w:val="00281380"/>
    <w:rsid w:val="00281E90"/>
    <w:rsid w:val="002824E3"/>
    <w:rsid w:val="0028268D"/>
    <w:rsid w:val="002A1C5C"/>
    <w:rsid w:val="002A7E06"/>
    <w:rsid w:val="002B2400"/>
    <w:rsid w:val="002B5E37"/>
    <w:rsid w:val="002B6177"/>
    <w:rsid w:val="002C5139"/>
    <w:rsid w:val="002C5EA3"/>
    <w:rsid w:val="002D52E7"/>
    <w:rsid w:val="002D6657"/>
    <w:rsid w:val="002E099D"/>
    <w:rsid w:val="002E2C99"/>
    <w:rsid w:val="002F0652"/>
    <w:rsid w:val="002F2F97"/>
    <w:rsid w:val="0030302F"/>
    <w:rsid w:val="00305C31"/>
    <w:rsid w:val="0031193B"/>
    <w:rsid w:val="00322BBC"/>
    <w:rsid w:val="00323AAE"/>
    <w:rsid w:val="00333A11"/>
    <w:rsid w:val="00336363"/>
    <w:rsid w:val="003502D2"/>
    <w:rsid w:val="0035177B"/>
    <w:rsid w:val="00353B01"/>
    <w:rsid w:val="003569D6"/>
    <w:rsid w:val="00357625"/>
    <w:rsid w:val="00370E42"/>
    <w:rsid w:val="003837A6"/>
    <w:rsid w:val="0039418F"/>
    <w:rsid w:val="0039754B"/>
    <w:rsid w:val="003A596F"/>
    <w:rsid w:val="003A6BF3"/>
    <w:rsid w:val="003A7C3F"/>
    <w:rsid w:val="003B07C4"/>
    <w:rsid w:val="003B430F"/>
    <w:rsid w:val="003B6650"/>
    <w:rsid w:val="003C63EC"/>
    <w:rsid w:val="003C72CF"/>
    <w:rsid w:val="003D1E45"/>
    <w:rsid w:val="003D2D13"/>
    <w:rsid w:val="003D5608"/>
    <w:rsid w:val="003D5D89"/>
    <w:rsid w:val="003E11EB"/>
    <w:rsid w:val="003E4394"/>
    <w:rsid w:val="003E5BFF"/>
    <w:rsid w:val="003E5FEA"/>
    <w:rsid w:val="003E743A"/>
    <w:rsid w:val="003F3A82"/>
    <w:rsid w:val="003F6BA7"/>
    <w:rsid w:val="004004CE"/>
    <w:rsid w:val="00400C76"/>
    <w:rsid w:val="00402E5A"/>
    <w:rsid w:val="0041521C"/>
    <w:rsid w:val="00415562"/>
    <w:rsid w:val="004216C2"/>
    <w:rsid w:val="00422E9D"/>
    <w:rsid w:val="00424A42"/>
    <w:rsid w:val="004408F8"/>
    <w:rsid w:val="004425A5"/>
    <w:rsid w:val="00445D73"/>
    <w:rsid w:val="004463EC"/>
    <w:rsid w:val="004535FA"/>
    <w:rsid w:val="00453DA3"/>
    <w:rsid w:val="004547AE"/>
    <w:rsid w:val="004622A6"/>
    <w:rsid w:val="004672B0"/>
    <w:rsid w:val="00472F19"/>
    <w:rsid w:val="00474F76"/>
    <w:rsid w:val="00480E37"/>
    <w:rsid w:val="0048384D"/>
    <w:rsid w:val="00485620"/>
    <w:rsid w:val="00487846"/>
    <w:rsid w:val="004A1476"/>
    <w:rsid w:val="004A3BE7"/>
    <w:rsid w:val="004A7F64"/>
    <w:rsid w:val="004B0713"/>
    <w:rsid w:val="004B1E51"/>
    <w:rsid w:val="004B25D3"/>
    <w:rsid w:val="004B2F2A"/>
    <w:rsid w:val="004B3043"/>
    <w:rsid w:val="004B4402"/>
    <w:rsid w:val="004B49AF"/>
    <w:rsid w:val="004B580F"/>
    <w:rsid w:val="004B696C"/>
    <w:rsid w:val="004C064C"/>
    <w:rsid w:val="004C27C0"/>
    <w:rsid w:val="004C355B"/>
    <w:rsid w:val="004C4E41"/>
    <w:rsid w:val="004C565F"/>
    <w:rsid w:val="004D1640"/>
    <w:rsid w:val="004D3877"/>
    <w:rsid w:val="004D79B7"/>
    <w:rsid w:val="004E3ACE"/>
    <w:rsid w:val="004F0872"/>
    <w:rsid w:val="004F2E71"/>
    <w:rsid w:val="004F527D"/>
    <w:rsid w:val="00500B26"/>
    <w:rsid w:val="005039BE"/>
    <w:rsid w:val="00506126"/>
    <w:rsid w:val="00516EBF"/>
    <w:rsid w:val="00517897"/>
    <w:rsid w:val="00520852"/>
    <w:rsid w:val="00521789"/>
    <w:rsid w:val="0052346C"/>
    <w:rsid w:val="00525204"/>
    <w:rsid w:val="00526DD5"/>
    <w:rsid w:val="00530B4D"/>
    <w:rsid w:val="00533107"/>
    <w:rsid w:val="00534967"/>
    <w:rsid w:val="00536AB4"/>
    <w:rsid w:val="00543345"/>
    <w:rsid w:val="00543CA2"/>
    <w:rsid w:val="00543EAD"/>
    <w:rsid w:val="00550164"/>
    <w:rsid w:val="0055205B"/>
    <w:rsid w:val="0055462E"/>
    <w:rsid w:val="00555725"/>
    <w:rsid w:val="00556914"/>
    <w:rsid w:val="00556A04"/>
    <w:rsid w:val="00561E9A"/>
    <w:rsid w:val="0056262A"/>
    <w:rsid w:val="005634F7"/>
    <w:rsid w:val="005723F7"/>
    <w:rsid w:val="00576B46"/>
    <w:rsid w:val="00577AE1"/>
    <w:rsid w:val="0058033A"/>
    <w:rsid w:val="005805A9"/>
    <w:rsid w:val="00590BC5"/>
    <w:rsid w:val="00590EFE"/>
    <w:rsid w:val="0059100D"/>
    <w:rsid w:val="005920A6"/>
    <w:rsid w:val="0059384C"/>
    <w:rsid w:val="005942C7"/>
    <w:rsid w:val="005963E9"/>
    <w:rsid w:val="005964C5"/>
    <w:rsid w:val="005968C1"/>
    <w:rsid w:val="005A4EC1"/>
    <w:rsid w:val="005B0557"/>
    <w:rsid w:val="005B3234"/>
    <w:rsid w:val="005B3743"/>
    <w:rsid w:val="005B3FF0"/>
    <w:rsid w:val="005C284C"/>
    <w:rsid w:val="005C4FE8"/>
    <w:rsid w:val="005C5AA1"/>
    <w:rsid w:val="005C614F"/>
    <w:rsid w:val="005D47D0"/>
    <w:rsid w:val="005D5BCA"/>
    <w:rsid w:val="005F284F"/>
    <w:rsid w:val="005F5BFD"/>
    <w:rsid w:val="00601051"/>
    <w:rsid w:val="00602291"/>
    <w:rsid w:val="00604663"/>
    <w:rsid w:val="00605EA3"/>
    <w:rsid w:val="00606A6D"/>
    <w:rsid w:val="00607757"/>
    <w:rsid w:val="0061549D"/>
    <w:rsid w:val="00620E57"/>
    <w:rsid w:val="0062690C"/>
    <w:rsid w:val="00630598"/>
    <w:rsid w:val="00631707"/>
    <w:rsid w:val="00631DCC"/>
    <w:rsid w:val="006328CE"/>
    <w:rsid w:val="00633748"/>
    <w:rsid w:val="00633B38"/>
    <w:rsid w:val="0063433B"/>
    <w:rsid w:val="00634360"/>
    <w:rsid w:val="00637969"/>
    <w:rsid w:val="00640101"/>
    <w:rsid w:val="00641FA4"/>
    <w:rsid w:val="006431B9"/>
    <w:rsid w:val="006440B1"/>
    <w:rsid w:val="00652692"/>
    <w:rsid w:val="006541AA"/>
    <w:rsid w:val="00662417"/>
    <w:rsid w:val="0066561F"/>
    <w:rsid w:val="0066679E"/>
    <w:rsid w:val="00670F09"/>
    <w:rsid w:val="00674052"/>
    <w:rsid w:val="00677675"/>
    <w:rsid w:val="00680520"/>
    <w:rsid w:val="0068063B"/>
    <w:rsid w:val="0068709B"/>
    <w:rsid w:val="00691F99"/>
    <w:rsid w:val="00691FDB"/>
    <w:rsid w:val="00693EC1"/>
    <w:rsid w:val="006971C0"/>
    <w:rsid w:val="006A090A"/>
    <w:rsid w:val="006A26AD"/>
    <w:rsid w:val="006A27CD"/>
    <w:rsid w:val="006A30F8"/>
    <w:rsid w:val="006A4FB7"/>
    <w:rsid w:val="006A66C7"/>
    <w:rsid w:val="006A6E44"/>
    <w:rsid w:val="006A7403"/>
    <w:rsid w:val="006A7D05"/>
    <w:rsid w:val="006B139E"/>
    <w:rsid w:val="006B2211"/>
    <w:rsid w:val="006B7A0B"/>
    <w:rsid w:val="006B7B21"/>
    <w:rsid w:val="006C2328"/>
    <w:rsid w:val="006C5682"/>
    <w:rsid w:val="006C5FA1"/>
    <w:rsid w:val="006E6EE7"/>
    <w:rsid w:val="006F4981"/>
    <w:rsid w:val="006F5D97"/>
    <w:rsid w:val="006F7D38"/>
    <w:rsid w:val="00702D83"/>
    <w:rsid w:val="00703A48"/>
    <w:rsid w:val="00707E63"/>
    <w:rsid w:val="00712562"/>
    <w:rsid w:val="007138C2"/>
    <w:rsid w:val="00722BE5"/>
    <w:rsid w:val="007252C2"/>
    <w:rsid w:val="00725C28"/>
    <w:rsid w:val="007338F6"/>
    <w:rsid w:val="007355BC"/>
    <w:rsid w:val="007407B5"/>
    <w:rsid w:val="00742E4A"/>
    <w:rsid w:val="00745E90"/>
    <w:rsid w:val="00746823"/>
    <w:rsid w:val="00747871"/>
    <w:rsid w:val="007529B7"/>
    <w:rsid w:val="00752BAA"/>
    <w:rsid w:val="0075621F"/>
    <w:rsid w:val="0075770E"/>
    <w:rsid w:val="00766948"/>
    <w:rsid w:val="0077165E"/>
    <w:rsid w:val="00772088"/>
    <w:rsid w:val="00774FDA"/>
    <w:rsid w:val="007755EF"/>
    <w:rsid w:val="007768EE"/>
    <w:rsid w:val="0078061D"/>
    <w:rsid w:val="00784647"/>
    <w:rsid w:val="00786C6F"/>
    <w:rsid w:val="00787167"/>
    <w:rsid w:val="00790669"/>
    <w:rsid w:val="0079127F"/>
    <w:rsid w:val="007942DA"/>
    <w:rsid w:val="0079572F"/>
    <w:rsid w:val="00796EA4"/>
    <w:rsid w:val="00797258"/>
    <w:rsid w:val="007A010C"/>
    <w:rsid w:val="007A0BF7"/>
    <w:rsid w:val="007A631F"/>
    <w:rsid w:val="007B0C08"/>
    <w:rsid w:val="007B2CF2"/>
    <w:rsid w:val="007B58F1"/>
    <w:rsid w:val="007B6483"/>
    <w:rsid w:val="007B74F5"/>
    <w:rsid w:val="007C1C38"/>
    <w:rsid w:val="007D0022"/>
    <w:rsid w:val="007D2B40"/>
    <w:rsid w:val="007D493B"/>
    <w:rsid w:val="007D69B8"/>
    <w:rsid w:val="007E01C3"/>
    <w:rsid w:val="007E0CB5"/>
    <w:rsid w:val="007E23BB"/>
    <w:rsid w:val="007E3B08"/>
    <w:rsid w:val="007E508E"/>
    <w:rsid w:val="007F6011"/>
    <w:rsid w:val="0080398C"/>
    <w:rsid w:val="00807AB9"/>
    <w:rsid w:val="00812E7C"/>
    <w:rsid w:val="00814D5A"/>
    <w:rsid w:val="0081548E"/>
    <w:rsid w:val="008166A7"/>
    <w:rsid w:val="00822AE2"/>
    <w:rsid w:val="00827A40"/>
    <w:rsid w:val="00833DCF"/>
    <w:rsid w:val="008342B3"/>
    <w:rsid w:val="0083468A"/>
    <w:rsid w:val="00841EFE"/>
    <w:rsid w:val="008508D3"/>
    <w:rsid w:val="00855168"/>
    <w:rsid w:val="00855D1D"/>
    <w:rsid w:val="008567F0"/>
    <w:rsid w:val="00865EFA"/>
    <w:rsid w:val="0087010B"/>
    <w:rsid w:val="00870575"/>
    <w:rsid w:val="008709AC"/>
    <w:rsid w:val="008719C1"/>
    <w:rsid w:val="00877A4B"/>
    <w:rsid w:val="00877D8D"/>
    <w:rsid w:val="008871F2"/>
    <w:rsid w:val="00887C69"/>
    <w:rsid w:val="0089272F"/>
    <w:rsid w:val="00892E98"/>
    <w:rsid w:val="00894C97"/>
    <w:rsid w:val="00897FA3"/>
    <w:rsid w:val="008A00FA"/>
    <w:rsid w:val="008A56F2"/>
    <w:rsid w:val="008A575A"/>
    <w:rsid w:val="008B4157"/>
    <w:rsid w:val="008B4942"/>
    <w:rsid w:val="008B4EFF"/>
    <w:rsid w:val="008B7402"/>
    <w:rsid w:val="008C367F"/>
    <w:rsid w:val="008D206E"/>
    <w:rsid w:val="008D25C6"/>
    <w:rsid w:val="008D3A43"/>
    <w:rsid w:val="008D776F"/>
    <w:rsid w:val="008E002E"/>
    <w:rsid w:val="008E3913"/>
    <w:rsid w:val="008E6D61"/>
    <w:rsid w:val="008F5996"/>
    <w:rsid w:val="008F7262"/>
    <w:rsid w:val="00900BD4"/>
    <w:rsid w:val="00901DA1"/>
    <w:rsid w:val="0090476E"/>
    <w:rsid w:val="00905810"/>
    <w:rsid w:val="009059F7"/>
    <w:rsid w:val="00906D8A"/>
    <w:rsid w:val="00913722"/>
    <w:rsid w:val="00924089"/>
    <w:rsid w:val="00924966"/>
    <w:rsid w:val="00925473"/>
    <w:rsid w:val="00940410"/>
    <w:rsid w:val="0094080F"/>
    <w:rsid w:val="00943921"/>
    <w:rsid w:val="0094516D"/>
    <w:rsid w:val="00945EE1"/>
    <w:rsid w:val="00947A75"/>
    <w:rsid w:val="00954B11"/>
    <w:rsid w:val="00954F41"/>
    <w:rsid w:val="0096244D"/>
    <w:rsid w:val="0096369E"/>
    <w:rsid w:val="00966140"/>
    <w:rsid w:val="00972B98"/>
    <w:rsid w:val="009753EB"/>
    <w:rsid w:val="00985761"/>
    <w:rsid w:val="00985F12"/>
    <w:rsid w:val="00987739"/>
    <w:rsid w:val="00987931"/>
    <w:rsid w:val="00990310"/>
    <w:rsid w:val="009920B5"/>
    <w:rsid w:val="009A3301"/>
    <w:rsid w:val="009A47AF"/>
    <w:rsid w:val="009A797F"/>
    <w:rsid w:val="009B25FA"/>
    <w:rsid w:val="009B2E47"/>
    <w:rsid w:val="009B468C"/>
    <w:rsid w:val="009B6CF0"/>
    <w:rsid w:val="009C058B"/>
    <w:rsid w:val="009C3F5B"/>
    <w:rsid w:val="009C4D30"/>
    <w:rsid w:val="009C5B82"/>
    <w:rsid w:val="009C62FB"/>
    <w:rsid w:val="009D7723"/>
    <w:rsid w:val="009F03D0"/>
    <w:rsid w:val="009F315C"/>
    <w:rsid w:val="009F52F4"/>
    <w:rsid w:val="00A16C4A"/>
    <w:rsid w:val="00A24669"/>
    <w:rsid w:val="00A24E11"/>
    <w:rsid w:val="00A27F3B"/>
    <w:rsid w:val="00A31874"/>
    <w:rsid w:val="00A35FC1"/>
    <w:rsid w:val="00A416F0"/>
    <w:rsid w:val="00A42B02"/>
    <w:rsid w:val="00A45768"/>
    <w:rsid w:val="00A47568"/>
    <w:rsid w:val="00A555EA"/>
    <w:rsid w:val="00A6689B"/>
    <w:rsid w:val="00A71E55"/>
    <w:rsid w:val="00A72EFB"/>
    <w:rsid w:val="00A733E6"/>
    <w:rsid w:val="00A75161"/>
    <w:rsid w:val="00A77066"/>
    <w:rsid w:val="00A809D0"/>
    <w:rsid w:val="00A83224"/>
    <w:rsid w:val="00A83CD0"/>
    <w:rsid w:val="00A84096"/>
    <w:rsid w:val="00A91302"/>
    <w:rsid w:val="00A958EE"/>
    <w:rsid w:val="00A97E81"/>
    <w:rsid w:val="00AA0FEF"/>
    <w:rsid w:val="00AA503F"/>
    <w:rsid w:val="00AB13D8"/>
    <w:rsid w:val="00AB1E08"/>
    <w:rsid w:val="00AB6318"/>
    <w:rsid w:val="00AB71FF"/>
    <w:rsid w:val="00AC2820"/>
    <w:rsid w:val="00AC3A63"/>
    <w:rsid w:val="00AC5853"/>
    <w:rsid w:val="00AC7F71"/>
    <w:rsid w:val="00AD11B8"/>
    <w:rsid w:val="00AD226C"/>
    <w:rsid w:val="00AD29C7"/>
    <w:rsid w:val="00AE19A7"/>
    <w:rsid w:val="00AE19EB"/>
    <w:rsid w:val="00AE3549"/>
    <w:rsid w:val="00AE40D2"/>
    <w:rsid w:val="00AF105B"/>
    <w:rsid w:val="00AF283D"/>
    <w:rsid w:val="00AF335A"/>
    <w:rsid w:val="00AF61FD"/>
    <w:rsid w:val="00AF7967"/>
    <w:rsid w:val="00B01765"/>
    <w:rsid w:val="00B02148"/>
    <w:rsid w:val="00B10A89"/>
    <w:rsid w:val="00B11407"/>
    <w:rsid w:val="00B14570"/>
    <w:rsid w:val="00B2332C"/>
    <w:rsid w:val="00B23437"/>
    <w:rsid w:val="00B2372F"/>
    <w:rsid w:val="00B26854"/>
    <w:rsid w:val="00B30822"/>
    <w:rsid w:val="00B34424"/>
    <w:rsid w:val="00B363FA"/>
    <w:rsid w:val="00B40DDF"/>
    <w:rsid w:val="00B563A8"/>
    <w:rsid w:val="00B616BA"/>
    <w:rsid w:val="00B73F9A"/>
    <w:rsid w:val="00B746DA"/>
    <w:rsid w:val="00B81557"/>
    <w:rsid w:val="00B81A3C"/>
    <w:rsid w:val="00B8479F"/>
    <w:rsid w:val="00B87754"/>
    <w:rsid w:val="00B87D41"/>
    <w:rsid w:val="00B91584"/>
    <w:rsid w:val="00BA3B71"/>
    <w:rsid w:val="00BA79F0"/>
    <w:rsid w:val="00BC2012"/>
    <w:rsid w:val="00BC24D1"/>
    <w:rsid w:val="00BC4A2B"/>
    <w:rsid w:val="00BD1BF1"/>
    <w:rsid w:val="00BD26E0"/>
    <w:rsid w:val="00BD29C2"/>
    <w:rsid w:val="00BD4B49"/>
    <w:rsid w:val="00BD65B6"/>
    <w:rsid w:val="00BD7C36"/>
    <w:rsid w:val="00BE23BB"/>
    <w:rsid w:val="00BE3419"/>
    <w:rsid w:val="00BF0B71"/>
    <w:rsid w:val="00BF504D"/>
    <w:rsid w:val="00C01941"/>
    <w:rsid w:val="00C1015D"/>
    <w:rsid w:val="00C16D97"/>
    <w:rsid w:val="00C20FC5"/>
    <w:rsid w:val="00C21916"/>
    <w:rsid w:val="00C21C51"/>
    <w:rsid w:val="00C24109"/>
    <w:rsid w:val="00C2430E"/>
    <w:rsid w:val="00C41EB0"/>
    <w:rsid w:val="00C420DC"/>
    <w:rsid w:val="00C424D5"/>
    <w:rsid w:val="00C42DF7"/>
    <w:rsid w:val="00C43967"/>
    <w:rsid w:val="00C44E26"/>
    <w:rsid w:val="00C45912"/>
    <w:rsid w:val="00C475CA"/>
    <w:rsid w:val="00C529DC"/>
    <w:rsid w:val="00C52A8A"/>
    <w:rsid w:val="00C54040"/>
    <w:rsid w:val="00C542CB"/>
    <w:rsid w:val="00C602E5"/>
    <w:rsid w:val="00C61327"/>
    <w:rsid w:val="00C61A19"/>
    <w:rsid w:val="00C629A0"/>
    <w:rsid w:val="00C63DDC"/>
    <w:rsid w:val="00C65114"/>
    <w:rsid w:val="00C673B2"/>
    <w:rsid w:val="00C71106"/>
    <w:rsid w:val="00C72533"/>
    <w:rsid w:val="00C762D7"/>
    <w:rsid w:val="00C8190C"/>
    <w:rsid w:val="00C819A3"/>
    <w:rsid w:val="00C83571"/>
    <w:rsid w:val="00C90A77"/>
    <w:rsid w:val="00C954D7"/>
    <w:rsid w:val="00CA092D"/>
    <w:rsid w:val="00CA6254"/>
    <w:rsid w:val="00CB2BC1"/>
    <w:rsid w:val="00CB4E70"/>
    <w:rsid w:val="00CC38EE"/>
    <w:rsid w:val="00CD2AEB"/>
    <w:rsid w:val="00CD3696"/>
    <w:rsid w:val="00CD389D"/>
    <w:rsid w:val="00CD505E"/>
    <w:rsid w:val="00CE712C"/>
    <w:rsid w:val="00CF2AF1"/>
    <w:rsid w:val="00CF30BF"/>
    <w:rsid w:val="00CF5C38"/>
    <w:rsid w:val="00CF7554"/>
    <w:rsid w:val="00CF7C24"/>
    <w:rsid w:val="00D0104F"/>
    <w:rsid w:val="00D01558"/>
    <w:rsid w:val="00D0206E"/>
    <w:rsid w:val="00D0344D"/>
    <w:rsid w:val="00D04332"/>
    <w:rsid w:val="00D07A5C"/>
    <w:rsid w:val="00D10754"/>
    <w:rsid w:val="00D22FAC"/>
    <w:rsid w:val="00D31B5B"/>
    <w:rsid w:val="00D326D3"/>
    <w:rsid w:val="00D334A7"/>
    <w:rsid w:val="00D433DF"/>
    <w:rsid w:val="00D43573"/>
    <w:rsid w:val="00D47018"/>
    <w:rsid w:val="00D47C78"/>
    <w:rsid w:val="00D5721E"/>
    <w:rsid w:val="00D6359E"/>
    <w:rsid w:val="00D65CE4"/>
    <w:rsid w:val="00D66085"/>
    <w:rsid w:val="00D6722B"/>
    <w:rsid w:val="00D67C4F"/>
    <w:rsid w:val="00D67D2A"/>
    <w:rsid w:val="00D67E8A"/>
    <w:rsid w:val="00D70E90"/>
    <w:rsid w:val="00D73DA0"/>
    <w:rsid w:val="00D74DA3"/>
    <w:rsid w:val="00D76DAF"/>
    <w:rsid w:val="00D80E3E"/>
    <w:rsid w:val="00D8164D"/>
    <w:rsid w:val="00D829D2"/>
    <w:rsid w:val="00D83C4E"/>
    <w:rsid w:val="00D929BA"/>
    <w:rsid w:val="00D97B80"/>
    <w:rsid w:val="00DA4005"/>
    <w:rsid w:val="00DB24E1"/>
    <w:rsid w:val="00DB33D9"/>
    <w:rsid w:val="00DB4B3C"/>
    <w:rsid w:val="00DB7796"/>
    <w:rsid w:val="00DD2AD9"/>
    <w:rsid w:val="00DD403A"/>
    <w:rsid w:val="00DE0045"/>
    <w:rsid w:val="00DE1BB0"/>
    <w:rsid w:val="00DE2B7F"/>
    <w:rsid w:val="00DE3CBD"/>
    <w:rsid w:val="00DE702B"/>
    <w:rsid w:val="00DF07B8"/>
    <w:rsid w:val="00DF37ED"/>
    <w:rsid w:val="00DF4512"/>
    <w:rsid w:val="00DF62BC"/>
    <w:rsid w:val="00E048A7"/>
    <w:rsid w:val="00E07422"/>
    <w:rsid w:val="00E10F1D"/>
    <w:rsid w:val="00E11BBA"/>
    <w:rsid w:val="00E14D25"/>
    <w:rsid w:val="00E253B0"/>
    <w:rsid w:val="00E360B5"/>
    <w:rsid w:val="00E36D58"/>
    <w:rsid w:val="00E36E47"/>
    <w:rsid w:val="00E4346D"/>
    <w:rsid w:val="00E444D4"/>
    <w:rsid w:val="00E447D8"/>
    <w:rsid w:val="00E460F3"/>
    <w:rsid w:val="00E46E16"/>
    <w:rsid w:val="00E50199"/>
    <w:rsid w:val="00E5031A"/>
    <w:rsid w:val="00E52775"/>
    <w:rsid w:val="00E52D1A"/>
    <w:rsid w:val="00E557E5"/>
    <w:rsid w:val="00E570E7"/>
    <w:rsid w:val="00E57401"/>
    <w:rsid w:val="00E6275C"/>
    <w:rsid w:val="00E6363E"/>
    <w:rsid w:val="00E63A91"/>
    <w:rsid w:val="00E67C89"/>
    <w:rsid w:val="00E70CE2"/>
    <w:rsid w:val="00E72323"/>
    <w:rsid w:val="00E80D88"/>
    <w:rsid w:val="00E81887"/>
    <w:rsid w:val="00E82946"/>
    <w:rsid w:val="00E8403C"/>
    <w:rsid w:val="00E864A5"/>
    <w:rsid w:val="00E929FC"/>
    <w:rsid w:val="00E933A9"/>
    <w:rsid w:val="00E9465A"/>
    <w:rsid w:val="00E97E07"/>
    <w:rsid w:val="00EB385E"/>
    <w:rsid w:val="00EC3904"/>
    <w:rsid w:val="00EC3ACD"/>
    <w:rsid w:val="00EC58C3"/>
    <w:rsid w:val="00ED4D06"/>
    <w:rsid w:val="00ED6D77"/>
    <w:rsid w:val="00EF2CEC"/>
    <w:rsid w:val="00EF32D2"/>
    <w:rsid w:val="00EF7D07"/>
    <w:rsid w:val="00F01F36"/>
    <w:rsid w:val="00F0557F"/>
    <w:rsid w:val="00F11DDD"/>
    <w:rsid w:val="00F11E8D"/>
    <w:rsid w:val="00F14C7F"/>
    <w:rsid w:val="00F16C3D"/>
    <w:rsid w:val="00F25662"/>
    <w:rsid w:val="00F27BF8"/>
    <w:rsid w:val="00F367E5"/>
    <w:rsid w:val="00F41EAC"/>
    <w:rsid w:val="00F451B5"/>
    <w:rsid w:val="00F5082C"/>
    <w:rsid w:val="00F5526E"/>
    <w:rsid w:val="00F560FB"/>
    <w:rsid w:val="00F6255D"/>
    <w:rsid w:val="00F63096"/>
    <w:rsid w:val="00F652DA"/>
    <w:rsid w:val="00F7043E"/>
    <w:rsid w:val="00F76740"/>
    <w:rsid w:val="00F767D8"/>
    <w:rsid w:val="00F83DFF"/>
    <w:rsid w:val="00F93988"/>
    <w:rsid w:val="00F949FF"/>
    <w:rsid w:val="00FA219F"/>
    <w:rsid w:val="00FA2296"/>
    <w:rsid w:val="00FA7CBE"/>
    <w:rsid w:val="00FB1F92"/>
    <w:rsid w:val="00FB40F9"/>
    <w:rsid w:val="00FC0DB5"/>
    <w:rsid w:val="00FC592F"/>
    <w:rsid w:val="00FC6101"/>
    <w:rsid w:val="00FC6DBD"/>
    <w:rsid w:val="00FD41EC"/>
    <w:rsid w:val="00FD4428"/>
    <w:rsid w:val="00FD7B94"/>
    <w:rsid w:val="00FE08DD"/>
    <w:rsid w:val="00FE0E49"/>
    <w:rsid w:val="00FE1CF9"/>
    <w:rsid w:val="00FE5879"/>
    <w:rsid w:val="00FF0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8D8C7"/>
  <w15:docId w15:val="{C7E73F9C-E9BA-4ACE-8DD7-7707D51D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D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1DC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7E508E"/>
    <w:pPr>
      <w:spacing w:after="0" w:line="240" w:lineRule="auto"/>
    </w:pPr>
    <w:rPr>
      <w:sz w:val="20"/>
      <w:szCs w:val="20"/>
    </w:rPr>
  </w:style>
  <w:style w:type="character" w:customStyle="1" w:styleId="FootnoteTextChar">
    <w:name w:val="Footnote Text Char"/>
    <w:basedOn w:val="DefaultParagraphFont"/>
    <w:link w:val="FootnoteText"/>
    <w:uiPriority w:val="99"/>
    <w:rsid w:val="007E508E"/>
    <w:rPr>
      <w:sz w:val="20"/>
      <w:szCs w:val="20"/>
    </w:rPr>
  </w:style>
  <w:style w:type="character" w:styleId="FootnoteReference">
    <w:name w:val="footnote reference"/>
    <w:basedOn w:val="DefaultParagraphFont"/>
    <w:uiPriority w:val="99"/>
    <w:semiHidden/>
    <w:unhideWhenUsed/>
    <w:rsid w:val="007E508E"/>
    <w:rPr>
      <w:vertAlign w:val="superscript"/>
    </w:rPr>
  </w:style>
  <w:style w:type="paragraph" w:styleId="ListParagraph">
    <w:name w:val="List Paragraph"/>
    <w:basedOn w:val="Normal"/>
    <w:uiPriority w:val="34"/>
    <w:qFormat/>
    <w:rsid w:val="008D25C6"/>
    <w:pPr>
      <w:spacing w:line="256" w:lineRule="auto"/>
      <w:ind w:left="720"/>
      <w:contextualSpacing/>
    </w:pPr>
  </w:style>
  <w:style w:type="table" w:styleId="TableGrid">
    <w:name w:val="Table Grid"/>
    <w:basedOn w:val="TableNormal"/>
    <w:uiPriority w:val="39"/>
    <w:rsid w:val="008D2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66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79E"/>
  </w:style>
  <w:style w:type="paragraph" w:styleId="Footer">
    <w:name w:val="footer"/>
    <w:basedOn w:val="Normal"/>
    <w:link w:val="FooterChar"/>
    <w:uiPriority w:val="99"/>
    <w:unhideWhenUsed/>
    <w:rsid w:val="00666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79E"/>
  </w:style>
  <w:style w:type="paragraph" w:styleId="EndnoteText">
    <w:name w:val="endnote text"/>
    <w:basedOn w:val="Normal"/>
    <w:link w:val="EndnoteTextChar"/>
    <w:uiPriority w:val="99"/>
    <w:semiHidden/>
    <w:unhideWhenUsed/>
    <w:rsid w:val="001D2A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2A91"/>
    <w:rPr>
      <w:sz w:val="20"/>
      <w:szCs w:val="20"/>
    </w:rPr>
  </w:style>
  <w:style w:type="character" w:styleId="EndnoteReference">
    <w:name w:val="endnote reference"/>
    <w:basedOn w:val="DefaultParagraphFont"/>
    <w:uiPriority w:val="99"/>
    <w:semiHidden/>
    <w:unhideWhenUsed/>
    <w:rsid w:val="001D2A91"/>
    <w:rPr>
      <w:vertAlign w:val="superscript"/>
    </w:rPr>
  </w:style>
  <w:style w:type="paragraph" w:styleId="BalloonText">
    <w:name w:val="Balloon Text"/>
    <w:basedOn w:val="Normal"/>
    <w:link w:val="BalloonTextChar"/>
    <w:uiPriority w:val="99"/>
    <w:semiHidden/>
    <w:unhideWhenUsed/>
    <w:rsid w:val="002A1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C5C"/>
    <w:rPr>
      <w:rFonts w:ascii="Segoe UI" w:hAnsi="Segoe UI" w:cs="Segoe UI"/>
      <w:sz w:val="18"/>
      <w:szCs w:val="18"/>
    </w:rPr>
  </w:style>
  <w:style w:type="character" w:styleId="Hyperlink">
    <w:name w:val="Hyperlink"/>
    <w:basedOn w:val="DefaultParagraphFont"/>
    <w:uiPriority w:val="99"/>
    <w:unhideWhenUsed/>
    <w:rsid w:val="0083468A"/>
    <w:rPr>
      <w:color w:val="67AABF" w:themeColor="hyperlink"/>
      <w:u w:val="single"/>
    </w:rPr>
  </w:style>
  <w:style w:type="character" w:styleId="CommentReference">
    <w:name w:val="annotation reference"/>
    <w:basedOn w:val="DefaultParagraphFont"/>
    <w:uiPriority w:val="99"/>
    <w:semiHidden/>
    <w:unhideWhenUsed/>
    <w:rsid w:val="004622A6"/>
    <w:rPr>
      <w:sz w:val="16"/>
      <w:szCs w:val="16"/>
    </w:rPr>
  </w:style>
  <w:style w:type="paragraph" w:styleId="CommentText">
    <w:name w:val="annotation text"/>
    <w:basedOn w:val="Normal"/>
    <w:link w:val="CommentTextChar"/>
    <w:uiPriority w:val="99"/>
    <w:semiHidden/>
    <w:unhideWhenUsed/>
    <w:rsid w:val="004622A6"/>
    <w:pPr>
      <w:spacing w:line="240" w:lineRule="auto"/>
    </w:pPr>
    <w:rPr>
      <w:sz w:val="20"/>
      <w:szCs w:val="20"/>
    </w:rPr>
  </w:style>
  <w:style w:type="character" w:customStyle="1" w:styleId="CommentTextChar">
    <w:name w:val="Comment Text Char"/>
    <w:basedOn w:val="DefaultParagraphFont"/>
    <w:link w:val="CommentText"/>
    <w:uiPriority w:val="99"/>
    <w:semiHidden/>
    <w:rsid w:val="004622A6"/>
    <w:rPr>
      <w:sz w:val="20"/>
      <w:szCs w:val="20"/>
    </w:rPr>
  </w:style>
  <w:style w:type="paragraph" w:styleId="CommentSubject">
    <w:name w:val="annotation subject"/>
    <w:basedOn w:val="CommentText"/>
    <w:next w:val="CommentText"/>
    <w:link w:val="CommentSubjectChar"/>
    <w:uiPriority w:val="99"/>
    <w:semiHidden/>
    <w:unhideWhenUsed/>
    <w:rsid w:val="004622A6"/>
    <w:rPr>
      <w:b/>
      <w:bCs/>
    </w:rPr>
  </w:style>
  <w:style w:type="character" w:customStyle="1" w:styleId="CommentSubjectChar">
    <w:name w:val="Comment Subject Char"/>
    <w:basedOn w:val="CommentTextChar"/>
    <w:link w:val="CommentSubject"/>
    <w:uiPriority w:val="99"/>
    <w:semiHidden/>
    <w:rsid w:val="004622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68081">
      <w:bodyDiv w:val="1"/>
      <w:marLeft w:val="0"/>
      <w:marRight w:val="0"/>
      <w:marTop w:val="0"/>
      <w:marBottom w:val="0"/>
      <w:divBdr>
        <w:top w:val="none" w:sz="0" w:space="0" w:color="auto"/>
        <w:left w:val="none" w:sz="0" w:space="0" w:color="auto"/>
        <w:bottom w:val="none" w:sz="0" w:space="0" w:color="auto"/>
        <w:right w:val="none" w:sz="0" w:space="0" w:color="auto"/>
      </w:divBdr>
    </w:div>
    <w:div w:id="471213007">
      <w:bodyDiv w:val="1"/>
      <w:marLeft w:val="0"/>
      <w:marRight w:val="0"/>
      <w:marTop w:val="0"/>
      <w:marBottom w:val="0"/>
      <w:divBdr>
        <w:top w:val="none" w:sz="0" w:space="0" w:color="auto"/>
        <w:left w:val="none" w:sz="0" w:space="0" w:color="auto"/>
        <w:bottom w:val="none" w:sz="0" w:space="0" w:color="auto"/>
        <w:right w:val="none" w:sz="0" w:space="0" w:color="auto"/>
      </w:divBdr>
    </w:div>
    <w:div w:id="1566451020">
      <w:bodyDiv w:val="1"/>
      <w:marLeft w:val="0"/>
      <w:marRight w:val="0"/>
      <w:marTop w:val="0"/>
      <w:marBottom w:val="0"/>
      <w:divBdr>
        <w:top w:val="none" w:sz="0" w:space="0" w:color="auto"/>
        <w:left w:val="none" w:sz="0" w:space="0" w:color="auto"/>
        <w:bottom w:val="none" w:sz="0" w:space="0" w:color="auto"/>
        <w:right w:val="none" w:sz="0" w:space="0" w:color="auto"/>
      </w:divBdr>
    </w:div>
    <w:div w:id="2013025959">
      <w:bodyDiv w:val="1"/>
      <w:marLeft w:val="0"/>
      <w:marRight w:val="0"/>
      <w:marTop w:val="0"/>
      <w:marBottom w:val="0"/>
      <w:divBdr>
        <w:top w:val="none" w:sz="0" w:space="0" w:color="auto"/>
        <w:left w:val="none" w:sz="0" w:space="0" w:color="auto"/>
        <w:bottom w:val="none" w:sz="0" w:space="0" w:color="auto"/>
        <w:right w:val="none" w:sz="0" w:space="0" w:color="auto"/>
      </w:divBdr>
    </w:div>
    <w:div w:id="2046638949">
      <w:bodyDiv w:val="1"/>
      <w:marLeft w:val="0"/>
      <w:marRight w:val="0"/>
      <w:marTop w:val="0"/>
      <w:marBottom w:val="0"/>
      <w:divBdr>
        <w:top w:val="none" w:sz="0" w:space="0" w:color="auto"/>
        <w:left w:val="none" w:sz="0" w:space="0" w:color="auto"/>
        <w:bottom w:val="none" w:sz="0" w:space="0" w:color="auto"/>
        <w:right w:val="none" w:sz="0" w:space="0" w:color="auto"/>
      </w:divBdr>
    </w:div>
    <w:div w:id="207442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urban.org/UploadedPDF/412935-The-GSE-Reform-Debate-How-Much-Capital-Is-Enough.pdf" TargetMode="External"/><Relationship Id="rId2" Type="http://schemas.openxmlformats.org/officeDocument/2006/relationships/hyperlink" Target="http://www.sfindustry.org/uploads/TestHousingReformSenBankCom_09_12_13.pdf" TargetMode="External"/><Relationship Id="rId1" Type="http://schemas.openxmlformats.org/officeDocument/2006/relationships/hyperlink" Target="http://www.sfindustry.org" TargetMode="External"/><Relationship Id="rId4" Type="http://schemas.openxmlformats.org/officeDocument/2006/relationships/hyperlink" Target="http://www.int.fhfa.gov/PolicyProgramsResearch/Policy/Documents/PMIERs/PMIERs-Overview.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297AB7-4220-4B6D-8659-1FD13A47E8E4}"/>
</file>

<file path=customXml/itemProps2.xml><?xml version="1.0" encoding="utf-8"?>
<ds:datastoreItem xmlns:ds="http://schemas.openxmlformats.org/officeDocument/2006/customXml" ds:itemID="{BAFF4CE5-9096-476E-AB4E-47D3B631C533}"/>
</file>

<file path=customXml/itemProps3.xml><?xml version="1.0" encoding="utf-8"?>
<ds:datastoreItem xmlns:ds="http://schemas.openxmlformats.org/officeDocument/2006/customXml" ds:itemID="{A11D8CBB-AA66-4659-B9A2-A4F6DC797CFC}"/>
</file>

<file path=customXml/itemProps4.xml><?xml version="1.0" encoding="utf-8"?>
<ds:datastoreItem xmlns:ds="http://schemas.openxmlformats.org/officeDocument/2006/customXml" ds:itemID="{C3B1D771-7417-4FED-A5CD-603F5F6FA246}"/>
</file>

<file path=docProps/app.xml><?xml version="1.0" encoding="utf-8"?>
<Properties xmlns="http://schemas.openxmlformats.org/officeDocument/2006/extended-properties" xmlns:vt="http://schemas.openxmlformats.org/officeDocument/2006/docPropsVTypes">
  <Template>Normal</Template>
  <TotalTime>15</TotalTime>
  <Pages>11</Pages>
  <Words>4372</Words>
  <Characters>24924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Wells Fargo &amp; Co.</Company>
  <LinksUpToDate>false</LinksUpToDate>
  <CharactersWithSpaces>29238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Sonny Abbasi</dc:creator>
  <cp:lastModifiedBy>Sonny Abbasi</cp:lastModifiedBy>
  <cp:revision>13</cp:revision>
  <cp:lastPrinted>2014-09-05T17:33:00Z</cp:lastPrinted>
  <dcterms:created xsi:type="dcterms:W3CDTF">2014-09-05T19:01:00Z</dcterms:created>
  <dcterms:modified xsi:type="dcterms:W3CDTF">2014-09-05T21:13:00Z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