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024" w:rsidRPr="00C82815" w:rsidRDefault="00FC4024" w:rsidP="00FC4024">
      <w:r w:rsidRPr="00C82815">
        <w:t>August 2</w:t>
      </w:r>
      <w:r>
        <w:t>6</w:t>
      </w:r>
      <w:r w:rsidRPr="00C82815">
        <w:t>, 2014</w:t>
      </w:r>
    </w:p>
    <w:p w:rsidR="00FC4024" w:rsidRPr="00C82815" w:rsidRDefault="00FC4024" w:rsidP="00FC4024"/>
    <w:p w:rsidR="00FC4024" w:rsidRDefault="00FC4024" w:rsidP="00FC4024">
      <w:pPr>
        <w:pStyle w:val="NoSpacing"/>
      </w:pPr>
      <w:r>
        <w:t>Mr. Joseph Prendergast</w:t>
      </w:r>
    </w:p>
    <w:p w:rsidR="00FC4024" w:rsidRPr="00C82815" w:rsidRDefault="00FC4024" w:rsidP="00FC4024">
      <w:pPr>
        <w:pStyle w:val="NoSpacing"/>
      </w:pPr>
      <w:r w:rsidRPr="00C82815">
        <w:t>Manager of Policy Research</w:t>
      </w:r>
    </w:p>
    <w:p w:rsidR="00FC4024" w:rsidRPr="00C82815" w:rsidRDefault="00FC4024" w:rsidP="00FC4024">
      <w:pPr>
        <w:pStyle w:val="NoSpacing"/>
      </w:pPr>
      <w:r w:rsidRPr="00C82815">
        <w:t>Federal Housing Finance Agency</w:t>
      </w:r>
    </w:p>
    <w:p w:rsidR="00FC4024" w:rsidRPr="00C82815" w:rsidRDefault="00FC4024" w:rsidP="00FC4024">
      <w:pPr>
        <w:pStyle w:val="NoSpacing"/>
      </w:pPr>
      <w:r w:rsidRPr="00C82815">
        <w:t>Office of Policy Analysis and Research</w:t>
      </w:r>
    </w:p>
    <w:p w:rsidR="00FC4024" w:rsidRPr="00C82815" w:rsidRDefault="00FC4024" w:rsidP="00FC4024">
      <w:pPr>
        <w:pStyle w:val="NoSpacing"/>
      </w:pPr>
      <w:r w:rsidRPr="00C82815">
        <w:t>400 7</w:t>
      </w:r>
      <w:r w:rsidRPr="00C82815">
        <w:rPr>
          <w:vertAlign w:val="superscript"/>
        </w:rPr>
        <w:t>th</w:t>
      </w:r>
      <w:r w:rsidRPr="00C82815">
        <w:t xml:space="preserve"> Street SW, Ninth Floor</w:t>
      </w:r>
    </w:p>
    <w:p w:rsidR="00FC4024" w:rsidRPr="00C82815" w:rsidRDefault="00FC4024" w:rsidP="00FC4024">
      <w:pPr>
        <w:pStyle w:val="NoSpacing"/>
      </w:pPr>
      <w:r w:rsidRPr="00C82815">
        <w:t>Washington, DC 20024</w:t>
      </w:r>
    </w:p>
    <w:p w:rsidR="005B75F7" w:rsidRPr="00C82815" w:rsidRDefault="005B75F7" w:rsidP="005B75F7"/>
    <w:p w:rsidR="005B75F7" w:rsidRPr="00C82815" w:rsidRDefault="005B75F7" w:rsidP="005B75F7"/>
    <w:p w:rsidR="005B75F7" w:rsidRPr="00C82815" w:rsidRDefault="005B75F7" w:rsidP="005B75F7">
      <w:pPr>
        <w:rPr>
          <w:b/>
        </w:rPr>
      </w:pPr>
      <w:r w:rsidRPr="00C82815">
        <w:rPr>
          <w:b/>
        </w:rPr>
        <w:t>Re: Fannie Mae and Freddie Mac Guarantee Fees: Request for Input</w:t>
      </w:r>
    </w:p>
    <w:p w:rsidR="005B75F7" w:rsidRPr="00C82815" w:rsidRDefault="005B75F7" w:rsidP="005B75F7">
      <w:pPr>
        <w:rPr>
          <w:b/>
        </w:rPr>
      </w:pPr>
      <w:r w:rsidRPr="00C82815">
        <w:rPr>
          <w:b/>
          <w:u w:val="single"/>
        </w:rPr>
        <w:t>Introduction</w:t>
      </w:r>
      <w:r w:rsidRPr="00C82815">
        <w:t xml:space="preserve"> </w:t>
      </w:r>
    </w:p>
    <w:p w:rsidR="005B75F7" w:rsidRPr="00C82815" w:rsidRDefault="005B75F7" w:rsidP="005B75F7">
      <w:r w:rsidRPr="00C82815">
        <w:t xml:space="preserve">We are pleased to provide input and share perspectives in response to </w:t>
      </w:r>
      <w:r w:rsidRPr="00C82815">
        <w:rPr>
          <w:i/>
        </w:rPr>
        <w:t>Fannie Mae and Freddie Mac Guarantee Fees: Request for Input.</w:t>
      </w:r>
      <w:r w:rsidRPr="00C82815">
        <w:t xml:space="preserve">  </w:t>
      </w:r>
      <w:r w:rsidRPr="00C82815">
        <w:rPr>
          <w:vertAlign w:val="superscript"/>
        </w:rPr>
        <w:footnoteReference w:id="1"/>
      </w:r>
    </w:p>
    <w:p w:rsidR="005B75F7" w:rsidRPr="00C82815" w:rsidRDefault="005B75F7" w:rsidP="005B75F7">
      <w:r w:rsidRPr="00C82815">
        <w:t>As authors of the letter that follows, Mike Molesky brings many years of risk analytics and modeling and Mark Goldhaber has years of housing and mortgage policy expertise. The ongoing willingness of FHFA to ask both technical and policy questions should ultimately lead to better answers on appropriate methodology and level of guarantee fees; for this FHFA should be commended.</w:t>
      </w:r>
    </w:p>
    <w:p w:rsidR="005B75F7" w:rsidRPr="00C82815" w:rsidRDefault="005B75F7" w:rsidP="005B75F7">
      <w:r w:rsidRPr="00C82815">
        <w:t xml:space="preserve"> Fannie Mae and Freddie Mac were placed in conservatorship on September 7, 2008 almost 6 years ago; there is no legislative consensus on which path should be followed on GSE reform, which makes these and other regulatory determinations currently out for comment even more critical in determining the cost and availability of conventional financing to a broad spectrum of potential homeowners. </w:t>
      </w:r>
    </w:p>
    <w:p w:rsidR="005B75F7" w:rsidRDefault="005B75F7" w:rsidP="005B75F7">
      <w:pPr>
        <w:rPr>
          <w:rFonts w:cs="Arial"/>
        </w:rPr>
      </w:pPr>
      <w:r>
        <w:t xml:space="preserve"> </w:t>
      </w:r>
      <w:r>
        <w:rPr>
          <w:rFonts w:cs="Arial"/>
        </w:rPr>
        <w:t>According to the recently released State of the Nation's Housing 2014,</w:t>
      </w:r>
      <w:r w:rsidRPr="00D70AC3">
        <w:rPr>
          <w:rFonts w:cs="Arial"/>
        </w:rPr>
        <w:t xml:space="preserve"> The average guarantee fee charged by Fannie Mae and Freddie Mac jumped from 22 basis points </w:t>
      </w:r>
      <w:r w:rsidRPr="00D70AC3">
        <w:rPr>
          <w:rFonts w:cs="Arial"/>
        </w:rPr>
        <w:lastRenderedPageBreak/>
        <w:t>in 2009 to 38 basis points in 2012</w:t>
      </w:r>
      <w:r w:rsidR="00FC4024">
        <w:rPr>
          <w:rFonts w:cs="Arial"/>
        </w:rPr>
        <w:t>.</w:t>
      </w:r>
      <w:r>
        <w:rPr>
          <w:rFonts w:cs="Arial"/>
        </w:rPr>
        <w:t xml:space="preserve"> </w:t>
      </w:r>
      <w:r w:rsidRPr="00D70AC3">
        <w:rPr>
          <w:rFonts w:cs="Arial"/>
        </w:rPr>
        <w:t>In 2008, the GSEs also introduced loan level price adjustments (LLPAs) or additional upfront fees paid by lenders based on loan-to-value (LTV) ratios, credit scores, and other risk factors. LLPAs total up to 3.25</w:t>
      </w:r>
      <w:r>
        <w:rPr>
          <w:rFonts w:cs="Arial"/>
        </w:rPr>
        <w:t xml:space="preserve"> </w:t>
      </w:r>
      <w:r w:rsidRPr="00D70AC3">
        <w:rPr>
          <w:rFonts w:cs="Arial"/>
        </w:rPr>
        <w:t>percent of the loan value for riskier borrowers and are paid for through higher</w:t>
      </w:r>
      <w:r>
        <w:rPr>
          <w:rFonts w:cs="Arial"/>
        </w:rPr>
        <w:t xml:space="preserve"> </w:t>
      </w:r>
      <w:r w:rsidRPr="00D70AC3">
        <w:rPr>
          <w:rFonts w:cs="Arial"/>
        </w:rPr>
        <w:t>interest rates on their loans</w:t>
      </w:r>
      <w:r>
        <w:rPr>
          <w:rFonts w:cs="Arial"/>
        </w:rPr>
        <w:t xml:space="preserve">. </w:t>
      </w:r>
      <w:r>
        <w:rPr>
          <w:rStyle w:val="FootnoteReference"/>
          <w:rFonts w:cs="Arial"/>
        </w:rPr>
        <w:footnoteReference w:id="2"/>
      </w:r>
    </w:p>
    <w:p w:rsidR="005B75F7" w:rsidRPr="00C82815" w:rsidRDefault="005B75F7" w:rsidP="005B75F7">
      <w:pPr>
        <w:rPr>
          <w:rFonts w:cs="Arial"/>
        </w:rPr>
      </w:pPr>
      <w:r w:rsidRPr="00C82815">
        <w:t>On December 9, 2013 FHFA announced revisions to the GSE fee structure consisting of the elimination of the stressed market adder fee of 25 bps, but also increasing the upfront delivery fees for most loans with additional risk characteristics charged to lenders. These fees inevitably get passed through to the ultimate homebuyer in increased mortgage costs. Director Watt, as one of his first actions as head of FHFA, put the changes on hold and led to the current request for input.</w:t>
      </w:r>
    </w:p>
    <w:p w:rsidR="005B75F7" w:rsidRPr="00C82815" w:rsidRDefault="005B75F7" w:rsidP="005B75F7">
      <w:r w:rsidRPr="00C82815">
        <w:t>In FHFA’s 2014 strategic plan for the conservatorship of Fannie Mae and Freddie Mac, FHFA drawing on their statutory authority under HERA, struck the appropriate balance for managing the Enterprises to ensure that--</w:t>
      </w:r>
    </w:p>
    <w:p w:rsidR="005B75F7" w:rsidRPr="00C82815" w:rsidRDefault="005B75F7" w:rsidP="005B75F7">
      <w:pPr>
        <w:numPr>
          <w:ilvl w:val="0"/>
          <w:numId w:val="2"/>
        </w:numPr>
      </w:pPr>
      <w:r w:rsidRPr="00C82815">
        <w:t>Each regulated entity operates in a safe and sound manner, including maintenance of adequate capital and internal controls;</w:t>
      </w:r>
    </w:p>
    <w:p w:rsidR="005B75F7" w:rsidRPr="00C82815" w:rsidRDefault="005B75F7" w:rsidP="005B75F7">
      <w:pPr>
        <w:numPr>
          <w:ilvl w:val="0"/>
          <w:numId w:val="2"/>
        </w:numPr>
      </w:pPr>
      <w:r w:rsidRPr="00C82815">
        <w:t>The operations and activities of each regulated entity foster liquid, efficient, competitive, and resilient national housing finance markets (including activities relating to mortgages on housing for low- and moderate-income families involving a reasonable economic return that may be less than the return earned on other activities).</w:t>
      </w:r>
    </w:p>
    <w:p w:rsidR="005B75F7" w:rsidRDefault="005B75F7" w:rsidP="005B75F7">
      <w:r w:rsidRPr="00C82815">
        <w:t>The same balanced approach seems appropriate in restructuring an approach to determining the guarantee fees that are appropriate.</w:t>
      </w:r>
      <w:r>
        <w:t xml:space="preserve"> Th</w:t>
      </w:r>
      <w:r w:rsidR="0007697D">
        <w:t>is</w:t>
      </w:r>
      <w:r>
        <w:t xml:space="preserve"> letter will distinguish the different and significantly better performance of fixed rate purchase loans versus refinance loans and recommended reflecting this difference in pricing. The result should mean significant reductions in g-fees for those consumers who are purchasing the</w:t>
      </w:r>
      <w:r w:rsidR="0007697D">
        <w:t>i</w:t>
      </w:r>
      <w:r>
        <w:t>r first home or a subsequent home.  The GSE's provide critical liquidity for the entire market, but from a policy perspective facilitating first-time homeownership and strengthening the overall purchase market should be the priority. A stronger purchase market would have positive impacts on the overall economy.</w:t>
      </w:r>
    </w:p>
    <w:p w:rsidR="0007697D" w:rsidRPr="00C82815" w:rsidRDefault="005B75F7" w:rsidP="005B75F7">
      <w:r>
        <w:t xml:space="preserve"> </w:t>
      </w:r>
      <w:r w:rsidRPr="00C82815">
        <w:t xml:space="preserve"> The lending construct in today's market reflects a return to traditional underwriting. The passage of Dodd- Frank and the implementation of the qualified mortgage rule fundamentally define a less volatile and lower risk mortgage product, which the Enterprises are now purchasing. Indeed, most of the loans insured by the Enterprises since 2011 have been in the form of qualified mortgages. </w:t>
      </w:r>
      <w:r>
        <w:rPr>
          <w:rFonts w:cs="Arial"/>
        </w:rPr>
        <w:t xml:space="preserve">Based on the information and data that was made available in the FHFA requests; </w:t>
      </w:r>
      <w:r>
        <w:t>i</w:t>
      </w:r>
      <w:r w:rsidRPr="00C82815">
        <w:t>t is not cl</w:t>
      </w:r>
      <w:r>
        <w:t>ear that the proposed guarantee fees and LLPA</w:t>
      </w:r>
      <w:r w:rsidRPr="00C82815">
        <w:t xml:space="preserve"> incorporate all of the new underwriting </w:t>
      </w:r>
      <w:r w:rsidRPr="00C82815">
        <w:lastRenderedPageBreak/>
        <w:t>dictates.</w:t>
      </w:r>
      <w:r>
        <w:t xml:space="preserve"> If FHFA wants to strike the correct balance it is important that the pricing and capital reflect the products</w:t>
      </w:r>
      <w:r w:rsidR="00423B74">
        <w:t xml:space="preserve"> with lower volatility.</w:t>
      </w:r>
      <w:r>
        <w:t xml:space="preserve"> </w:t>
      </w:r>
    </w:p>
    <w:p w:rsidR="0007697D" w:rsidRDefault="005B75F7" w:rsidP="005B75F7">
      <w:r w:rsidRPr="00C82815">
        <w:t>One of the key advantages stemming from the existing structure of both Fannie Mae and Freddie Mac is their unique ability to pool large amounts of mortgages across all geographic locations and over time, providing the potential for a superior reduction in loss volatility, and a greater degree of liquidity than any alternative form of secondary market support, a tremendous benefit to the nation’s mortgage finance system. This benefit, in part, is derived from the fact that there are only two GSEs. Prior to 200</w:t>
      </w:r>
      <w:r>
        <w:t>8</w:t>
      </w:r>
      <w:r w:rsidRPr="00C82815">
        <w:t>, when Fannie Mae and Freddie Mac introduced broad based utilization of LLPA’s, the GSE's had utilized pooling to effectively level the guarantee fees charged. While it may not be possible or appropriate to entirely wind back the clock to</w:t>
      </w:r>
      <w:r>
        <w:t xml:space="preserve"> before</w:t>
      </w:r>
      <w:r w:rsidRPr="00C82815">
        <w:t xml:space="preserve"> 200</w:t>
      </w:r>
      <w:r>
        <w:t>8</w:t>
      </w:r>
      <w:r w:rsidRPr="00C82815">
        <w:t>, there is no reason that the benefits of pooling should not be recognized, along with other factors, to reduce the guarantee fees charged to lenders and passed through to consumers. Without some policy balance, the practical reality is that lenders and consumers in many areas of the country will not have access to a Fannie Mae and Freddie Mac execution. The only avenue will be a FHA/GNMA execution. Low and moderate-income consumers and those neighborhoods should have more than FHA as an option. The Enterprises, with the benefits that they still enjoy, should not build a guarantee fee framework that is based on return maximization and a</w:t>
      </w:r>
      <w:r>
        <w:t>n overly conservative</w:t>
      </w:r>
      <w:r w:rsidRPr="00C82815">
        <w:t xml:space="preserve"> capital framework</w:t>
      </w:r>
      <w:r>
        <w:t xml:space="preserve">. </w:t>
      </w:r>
      <w:r w:rsidRPr="00C82815">
        <w:t>,</w:t>
      </w:r>
      <w:r w:rsidRPr="00273C80">
        <w:t xml:space="preserve"> </w:t>
      </w:r>
      <w:r w:rsidRPr="00C82815">
        <w:t xml:space="preserve">When the G-Fee changes were announced on December 9 and then stopped, the underlying development was initiated at a time when the prevailing attitude was to increase the G-Fee in order to crowd-in private capital and shrink the government footprint. </w:t>
      </w:r>
    </w:p>
    <w:p w:rsidR="005B75F7" w:rsidRPr="00C82815" w:rsidRDefault="005B75F7" w:rsidP="005B75F7">
      <w:r>
        <w:t>While</w:t>
      </w:r>
      <w:r w:rsidRPr="00C82815">
        <w:t xml:space="preserve"> </w:t>
      </w:r>
      <w:r>
        <w:t>s</w:t>
      </w:r>
      <w:r w:rsidRPr="00C82815">
        <w:t xml:space="preserve">hrinking the government footprint is </w:t>
      </w:r>
      <w:r>
        <w:t>an important policy objective</w:t>
      </w:r>
      <w:r w:rsidR="00423B74">
        <w:t>, mainta</w:t>
      </w:r>
      <w:r w:rsidRPr="00C82815">
        <w:t xml:space="preserve">ining </w:t>
      </w:r>
      <w:r w:rsidR="00423B74">
        <w:t>higher than necessary</w:t>
      </w:r>
      <w:r w:rsidRPr="00C82815">
        <w:t xml:space="preserve"> G-fees </w:t>
      </w:r>
      <w:r>
        <w:t xml:space="preserve">and LLPA’s </w:t>
      </w:r>
      <w:r w:rsidRPr="00C82815">
        <w:t xml:space="preserve">will not </w:t>
      </w:r>
      <w:r w:rsidR="00423B74">
        <w:t xml:space="preserve">alone </w:t>
      </w:r>
      <w:r w:rsidRPr="00C82815">
        <w:t xml:space="preserve">restore the private label market. </w:t>
      </w:r>
      <w:r>
        <w:t xml:space="preserve"> It</w:t>
      </w:r>
      <w:r w:rsidRPr="00C82815">
        <w:t xml:space="preserve"> will require the creation of an effective private label securitization infrastructure that investors can once again have confidence in. Standardization of reps and warrants, repurchase enforcement, loan data transparency and accuracy are some of the issues that must be resolved to restore investor confidence. In addition, policymakers will need to reduce the loan limits for FHA and the GSE’s if a meaningful private label market is to develop. The loan limits should </w:t>
      </w:r>
      <w:r>
        <w:t>be reduced</w:t>
      </w:r>
      <w:r w:rsidRPr="00C82815">
        <w:t xml:space="preserve"> in an orderly mann</w:t>
      </w:r>
      <w:r>
        <w:t>er over the next several years</w:t>
      </w:r>
      <w:proofErr w:type="gramStart"/>
      <w:r>
        <w:t>..</w:t>
      </w:r>
      <w:proofErr w:type="gramEnd"/>
      <w:r w:rsidRPr="00C82815">
        <w:t xml:space="preserve"> </w:t>
      </w:r>
      <w:r>
        <w:t xml:space="preserve"> </w:t>
      </w:r>
    </w:p>
    <w:p w:rsidR="005B75F7" w:rsidRPr="00C82815" w:rsidRDefault="005B75F7" w:rsidP="005B75F7">
      <w:r w:rsidRPr="00C82815">
        <w:t xml:space="preserve">There is an old saying “ in asking what time is it, I need to know the time, not how the watch is built” In the case of guaranteed fees and capital assumptions, in fact you do need to understand how the watch is built to assure that you get to the appropriate policy objectives and guarantee fee. For example: </w:t>
      </w:r>
    </w:p>
    <w:p w:rsidR="005B75F7" w:rsidRPr="00C82815" w:rsidRDefault="00312DF5" w:rsidP="005B75F7">
      <w:pPr>
        <w:numPr>
          <w:ilvl w:val="0"/>
          <w:numId w:val="1"/>
        </w:numPr>
      </w:pPr>
      <w:r>
        <w:t xml:space="preserve">Why aren’t </w:t>
      </w:r>
      <w:r w:rsidR="005B75F7">
        <w:t>the</w:t>
      </w:r>
      <w:r w:rsidR="005B75F7" w:rsidRPr="00C82815">
        <w:t xml:space="preserve"> </w:t>
      </w:r>
      <w:r>
        <w:t xml:space="preserve">significant </w:t>
      </w:r>
      <w:r w:rsidR="005B75F7" w:rsidRPr="00C82815">
        <w:t xml:space="preserve">differences </w:t>
      </w:r>
      <w:r>
        <w:t xml:space="preserve">in loss rates recognized </w:t>
      </w:r>
      <w:r w:rsidR="005B75F7" w:rsidRPr="00C82815">
        <w:t>between fixed rate owner-occupied purchase loans and fixed rate owner-occupied rate-and-term refinanced loans</w:t>
      </w:r>
      <w:r w:rsidR="005B75F7">
        <w:t xml:space="preserve"> in determining G-fees and LLPA’s</w:t>
      </w:r>
      <w:r w:rsidR="005B75F7" w:rsidRPr="00C82815" w:rsidDel="00BA214A">
        <w:t xml:space="preserve"> </w:t>
      </w:r>
    </w:p>
    <w:p w:rsidR="005B75F7" w:rsidRPr="00C82815" w:rsidRDefault="005B75F7" w:rsidP="005B75F7">
      <w:pPr>
        <w:numPr>
          <w:ilvl w:val="0"/>
          <w:numId w:val="1"/>
        </w:numPr>
      </w:pPr>
      <w:r w:rsidRPr="00C82815">
        <w:t>Is the targeted ROE justifiable relative to the nature of the net risk exposure and purpose of the enterprise?</w:t>
      </w:r>
      <w:r>
        <w:t xml:space="preserve"> </w:t>
      </w:r>
    </w:p>
    <w:p w:rsidR="005B75F7" w:rsidRDefault="005B75F7" w:rsidP="005B75F7">
      <w:pPr>
        <w:numPr>
          <w:ilvl w:val="0"/>
          <w:numId w:val="1"/>
        </w:numPr>
      </w:pPr>
      <w:r w:rsidRPr="00C82815">
        <w:lastRenderedPageBreak/>
        <w:t>With regards the suggested levels of capital used for pricing purposes, is the calculation done assuming no cross-subsidization between origination years, i.e., is each transaction intended to “stand on its own”? Or is the calculation of capital developed as required for a</w:t>
      </w:r>
      <w:r w:rsidR="00423B74">
        <w:t xml:space="preserve"> portfolio exposure</w:t>
      </w:r>
      <w:r w:rsidRPr="00C82815">
        <w:t xml:space="preserve"> where risk is generally spread across years?</w:t>
      </w:r>
    </w:p>
    <w:p w:rsidR="00FC4024" w:rsidRPr="00C82815" w:rsidRDefault="00FC4024" w:rsidP="00FC4024">
      <w:pPr>
        <w:ind w:left="720"/>
      </w:pPr>
    </w:p>
    <w:p w:rsidR="005B75F7" w:rsidRDefault="005B75F7" w:rsidP="005B75F7">
      <w:r w:rsidRPr="00C82815">
        <w:t>The answers to the questions that follow reflect our best insights and experience based on the information and data that was made available in the FHFA requests for comment.</w:t>
      </w:r>
    </w:p>
    <w:p w:rsidR="0007697D" w:rsidRPr="00C82815" w:rsidRDefault="0007697D" w:rsidP="005B75F7"/>
    <w:p w:rsidR="0007697D" w:rsidRDefault="005B75F7" w:rsidP="005B75F7">
      <w:pPr>
        <w:numPr>
          <w:ilvl w:val="0"/>
          <w:numId w:val="3"/>
        </w:numPr>
      </w:pPr>
      <w:r w:rsidRPr="00C82815">
        <w:t>Are there factors other than those described in section III – expected losses, unexpected losses, and general and administrative expenses that FHFA and the Enterprises should consider in setting g-fees? What goals should FHFA further in setting g-fees?</w:t>
      </w:r>
    </w:p>
    <w:p w:rsidR="00FC4024" w:rsidRDefault="00FC4024" w:rsidP="005B75F7"/>
    <w:p w:rsidR="0007697D" w:rsidRDefault="005B75F7" w:rsidP="005B75F7">
      <w:r w:rsidRPr="00C82815">
        <w:t xml:space="preserve">Clearly the large pricing differences in the various risk buckets have caught the attention of many analysts.  One factor that may have a very beneficial effect in smoothing out some of these pricing differences could be the method used in assigning prepayment speeds. Rather than a general prepayment speed applied to all loans of a specific time period and location, specific prepayment speeds could be estimated for the specific risk buckets. Based on the authors’ long experience with high risk mortgages, we have found that the lower risk mortgages tend to prepay at higher speeds than high risk mortgages under most economic circumstances. Moreover, higher FICO score borrowers also prepay faster than their lower FICO counterparts of a given LTV grouping. That being said, while higher risk borrowers generate higher losses, they also generate longer streams of premium income. Consequently, closer examination of actual prepayment speeds by risk class over long periods of time should be useful in possibly raising some of the low risk fees and lowering some of the high risk fees. </w:t>
      </w:r>
    </w:p>
    <w:p w:rsidR="00312DF5" w:rsidRDefault="00312DF5" w:rsidP="005B75F7"/>
    <w:p w:rsidR="0007697D" w:rsidRDefault="005B75F7" w:rsidP="005B75F7">
      <w:r w:rsidRPr="00C82815">
        <w:t>A primary goal of FHFA in setting g-fees should be that the fees reflect</w:t>
      </w:r>
      <w:r w:rsidR="00312DF5">
        <w:t xml:space="preserve"> </w:t>
      </w:r>
      <w:r w:rsidRPr="00C82815">
        <w:t>all of the unique benefits the GSE structure brings to the table through diversification across all markets and across time. Pricing each transaction as a “stand alone situation” fails to reflect the potential capital efficiencies presented by the GSE structure.</w:t>
      </w:r>
    </w:p>
    <w:p w:rsidR="00312DF5" w:rsidRDefault="00312DF5" w:rsidP="005B75F7"/>
    <w:p w:rsidR="00312DF5" w:rsidRDefault="00312DF5" w:rsidP="005B75F7"/>
    <w:p w:rsidR="00FC4024" w:rsidRDefault="00FC4024" w:rsidP="005B75F7"/>
    <w:p w:rsidR="005B75F7" w:rsidRPr="00C82815" w:rsidRDefault="005B75F7" w:rsidP="005B75F7">
      <w:pPr>
        <w:numPr>
          <w:ilvl w:val="0"/>
          <w:numId w:val="3"/>
        </w:numPr>
      </w:pPr>
      <w:r w:rsidRPr="00C82815">
        <w:lastRenderedPageBreak/>
        <w:t xml:space="preserve"> Risk to the Enterprises increases if the proportion of higher-risk loans increases relative to the proportion of lower-risk loans. This change in mix can occur if lower-risk loans are retained on bank balance sheets instead of being sold to the Enterprises. If more higher–risk loans are sold to the Enterprises, or if the overall mix of originated loans changes, </w:t>
      </w:r>
      <w:proofErr w:type="gramStart"/>
      <w:r w:rsidRPr="00C82815">
        <w:t>What</w:t>
      </w:r>
      <w:proofErr w:type="gramEnd"/>
      <w:r w:rsidRPr="00C82815">
        <w:t xml:space="preserve"> alternatives, other than risk-based pricing, should be considered?</w:t>
      </w:r>
    </w:p>
    <w:p w:rsidR="00FC4024" w:rsidRDefault="00FC4024" w:rsidP="005B75F7"/>
    <w:p w:rsidR="006A6A5A" w:rsidRDefault="0007697D" w:rsidP="005B75F7">
      <w:r>
        <w:t>T</w:t>
      </w:r>
      <w:r w:rsidR="005B75F7" w:rsidRPr="00C82815">
        <w:t>he attractiveness of GSE MBS has been twofold: 1) holding mortgages in the form of guaranteed MBS provides an excellent method of risk diversification not easily achieved by small or even regional banks; 2) holding mortgages in the form of GSE MBS also requires lower capital.  Both advantages however, can be greatly reduced if the costs of packaging and insuring such loans exceed the perceived benefits. In fact portfolio lending has increased in 2013, primarily in larger institutions, and is likely to continue to expand over the near term. The increase in portfolio lending is due in part to the lack of an effective and strong private label security market, which must be reconstituted. With the ongoing expansion of portfolio lending FHFA should in coordination with the Enterprises put tools in place to monitor that lenders are not cherry picking the best loans for their portfolio and subsequently adversely impacting the GSE’s. This is an area where FHFA should coordinate with bank regulators throughout the syste</w:t>
      </w:r>
      <w:r w:rsidR="005B75F7">
        <w:t>m</w:t>
      </w:r>
      <w:r>
        <w:t>.</w:t>
      </w:r>
    </w:p>
    <w:p w:rsidR="0007697D" w:rsidRDefault="0007697D" w:rsidP="005B75F7"/>
    <w:p w:rsidR="0007697D" w:rsidRDefault="0007697D" w:rsidP="005B75F7"/>
    <w:p w:rsidR="005B75F7" w:rsidRPr="005B75F7" w:rsidRDefault="005B75F7" w:rsidP="0007697D">
      <w:pPr>
        <w:pStyle w:val="ListParagraph"/>
        <w:numPr>
          <w:ilvl w:val="0"/>
          <w:numId w:val="3"/>
        </w:numPr>
      </w:pPr>
      <w:r w:rsidRPr="005B75F7">
        <w:t>Currently, target return on capital and the amount of capital largely determine required g-fees. What factors should FH</w:t>
      </w:r>
      <w:r w:rsidR="00423B74">
        <w:t>F</w:t>
      </w:r>
      <w:r w:rsidRPr="005B75F7">
        <w:t>A and the Enterprises consider in setting target return on capital and amount of capital required? How should the Enterprises allocate capital across risk buckets?</w:t>
      </w:r>
      <w:r w:rsidRPr="005B75F7">
        <w:rPr>
          <w:vertAlign w:val="superscript"/>
        </w:rPr>
        <w:footnoteReference w:id="3"/>
      </w:r>
    </w:p>
    <w:p w:rsidR="005B75F7" w:rsidRPr="005B75F7" w:rsidRDefault="005B75F7" w:rsidP="005B75F7"/>
    <w:p w:rsidR="0007697D" w:rsidRDefault="005B75F7" w:rsidP="005B75F7">
      <w:r w:rsidRPr="005B75F7">
        <w:t xml:space="preserve">Setting both the target for return on capital as well as setting the level of capital required by risk bucket are essential to the successful  achievement of the GSE primary goal which is to support a viable liquid, efficient mortgage market in all stages of economic cycles. The GSEs originally benefitted the development of the conventional mortgage market by establishing and maintaining prudent underwriting standards, and giving all markets access to national financing rates. Their Charters give them special privileges, and their national presence gave them both superior geographic diversification and diversification over time to reduce the volatility of their mortgage risk exposure. In this respect, the GSE structure should </w:t>
      </w:r>
      <w:r w:rsidRPr="005B75F7">
        <w:lastRenderedPageBreak/>
        <w:t xml:space="preserve">provide for the most efficient use of capital, and competitive pricing in supporting a viable competitive secondary market. </w:t>
      </w:r>
    </w:p>
    <w:p w:rsidR="00312DF5" w:rsidRDefault="00312DF5" w:rsidP="005B75F7"/>
    <w:p w:rsidR="0007697D" w:rsidRDefault="008B697A" w:rsidP="005B75F7">
      <w:r>
        <w:t>We have three</w:t>
      </w:r>
      <w:r w:rsidR="005B75F7" w:rsidRPr="005B75F7">
        <w:t xml:space="preserve"> main areas of concern regarding the proposed GSE pricing structure: </w:t>
      </w:r>
      <w:r w:rsidR="009B59FA">
        <w:t>1</w:t>
      </w:r>
      <w:r w:rsidR="005B75F7" w:rsidRPr="005B75F7">
        <w:t xml:space="preserve">) the </w:t>
      </w:r>
      <w:r w:rsidR="009B59FA">
        <w:t>combination of fixed rate owner 0ccupied purchase and rate and term refinanced loans as the s</w:t>
      </w:r>
      <w:r w:rsidR="005B75F7" w:rsidRPr="005B75F7">
        <w:t>o-called “base loan” pricing</w:t>
      </w:r>
      <w:r w:rsidR="009B59FA">
        <w:t xml:space="preserve"> which will lead to the over-pricing of purchase loan risk; 2</w:t>
      </w:r>
      <w:r w:rsidR="005B75F7" w:rsidRPr="005B75F7">
        <w:t>) perhaps the most important concern, given the implied levels of stress losses driving the large levels of capital, the apparent approach of using single origination year loss estimates  to set stress losses and capital for pricing purposes, rather than a portfolio approach (or ten or more concurrent origination years) for the purposes of pricing an ongoing guarantee pro</w:t>
      </w:r>
      <w:r w:rsidR="009B59FA">
        <w:t>duct; and 3</w:t>
      </w:r>
      <w:r w:rsidR="005B75F7" w:rsidRPr="005B75F7">
        <w:t>) the choice of targeted ROE, given the significant advantages the GSEs have in terms of geographic diversification, and public purpose. All of these concerns relate directly to FHFA’s stated goals for safety and soundness, and a competitive liquid secondary mortgage market.</w:t>
      </w:r>
    </w:p>
    <w:p w:rsidR="00312DF5" w:rsidRDefault="00312DF5" w:rsidP="005B75F7"/>
    <w:p w:rsidR="005B75F7" w:rsidRDefault="005B75F7" w:rsidP="005B75F7">
      <w:r w:rsidRPr="005B75F7">
        <w:t>To start, it is helpful to first review the relationship between pricing and expected losses by category in terms of the base loan mortgage credit risk. In Table 1 below, we have estimated GSE long-run average losses for 30 year fixed rate owner-occupied purchase loans, using recently released data from FHFA, and other sources, including earlier studies of conventional loan performance. We start with this class of owner-occupied purchase loans because such purchase loans are the key to a healthy housing market. As such, these loans should be the base upon which all other riskier factors should be judged and priced for.</w:t>
      </w:r>
    </w:p>
    <w:p w:rsidR="00116C27" w:rsidRDefault="00116C27" w:rsidP="006E6E2D"/>
    <w:p w:rsidR="00345335" w:rsidRDefault="006E6E2D" w:rsidP="00827E81">
      <w:r w:rsidRPr="005B75F7">
        <w:t xml:space="preserve">The loss estimates for insured high LTV loans are net of assumed standard MI coverage rates.  For ease of illustration, we make the comparisons on loans with specific average FICO scores. Loans with less than or equal 80 LTV had average FICO scores of 745, while high LTV loans averaged between 710 and 725.  These average scores are based on the average of FICOs for loans originated between 1999 and 2010, as given by released GSE data. In addition to the simplifying assumptions regarding FICO, we have also taken the position that MI benefits from private insurers meeting finalized eligibility requirements would not be haircut by the 20-25% adjustment alluded to in the FHFA analytics paper. Had we assumed such haircuts on MI benefits in our analysis as well, the losses to the GSEs after benefit of MI reflected would have been larger than we show in Table 1. </w:t>
      </w:r>
    </w:p>
    <w:p w:rsidR="00345335" w:rsidRDefault="00345335" w:rsidP="00827E81"/>
    <w:p w:rsidR="00312DF5" w:rsidRDefault="00312DF5" w:rsidP="00827E81"/>
    <w:tbl>
      <w:tblPr>
        <w:tblW w:w="10380" w:type="dxa"/>
        <w:tblInd w:w="93" w:type="dxa"/>
        <w:tblLook w:val="04A0" w:firstRow="1" w:lastRow="0" w:firstColumn="1" w:lastColumn="0" w:noHBand="0" w:noVBand="1"/>
      </w:tblPr>
      <w:tblGrid>
        <w:gridCol w:w="1222"/>
        <w:gridCol w:w="1106"/>
        <w:gridCol w:w="901"/>
        <w:gridCol w:w="1112"/>
        <w:gridCol w:w="901"/>
        <w:gridCol w:w="1112"/>
        <w:gridCol w:w="901"/>
        <w:gridCol w:w="1112"/>
        <w:gridCol w:w="901"/>
        <w:gridCol w:w="1112"/>
      </w:tblGrid>
      <w:tr w:rsidR="00345335" w:rsidRPr="00345335" w:rsidTr="00345335">
        <w:trPr>
          <w:trHeight w:val="540"/>
        </w:trPr>
        <w:tc>
          <w:tcPr>
            <w:tcW w:w="10380" w:type="dxa"/>
            <w:gridSpan w:val="10"/>
            <w:tcBorders>
              <w:top w:val="single" w:sz="8" w:space="0" w:color="auto"/>
              <w:left w:val="single" w:sz="8" w:space="0" w:color="auto"/>
              <w:bottom w:val="nil"/>
              <w:right w:val="single" w:sz="8" w:space="0" w:color="000000"/>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8"/>
                <w:szCs w:val="28"/>
                <w:lang w:eastAsia="en-US"/>
              </w:rPr>
            </w:pPr>
            <w:r w:rsidRPr="00345335">
              <w:rPr>
                <w:rFonts w:ascii="Calibri" w:eastAsia="Times New Roman" w:hAnsi="Calibri" w:cs="Times New Roman"/>
                <w:b/>
                <w:bCs/>
                <w:color w:val="000000"/>
                <w:sz w:val="28"/>
                <w:szCs w:val="28"/>
                <w:lang w:eastAsia="en-US"/>
              </w:rPr>
              <w:lastRenderedPageBreak/>
              <w:t>Table 1. Proposed GSE Fees Vs Long-Run Average</w:t>
            </w:r>
            <w:r>
              <w:rPr>
                <w:rFonts w:ascii="Calibri" w:eastAsia="Times New Roman" w:hAnsi="Calibri" w:cs="Times New Roman"/>
                <w:b/>
                <w:bCs/>
                <w:color w:val="000000"/>
                <w:sz w:val="28"/>
                <w:szCs w:val="28"/>
                <w:lang w:eastAsia="en-US"/>
              </w:rPr>
              <w:t xml:space="preserve"> Purchase Loan</w:t>
            </w:r>
            <w:r w:rsidRPr="00345335">
              <w:rPr>
                <w:rFonts w:ascii="Calibri" w:eastAsia="Times New Roman" w:hAnsi="Calibri" w:cs="Times New Roman"/>
                <w:b/>
                <w:bCs/>
                <w:color w:val="000000"/>
                <w:sz w:val="28"/>
                <w:szCs w:val="28"/>
                <w:lang w:eastAsia="en-US"/>
              </w:rPr>
              <w:t xml:space="preserve"> Losses </w:t>
            </w:r>
          </w:p>
        </w:tc>
      </w:tr>
      <w:tr w:rsidR="00345335" w:rsidRPr="00345335" w:rsidTr="00345335">
        <w:trPr>
          <w:trHeight w:val="465"/>
        </w:trPr>
        <w:tc>
          <w:tcPr>
            <w:tcW w:w="1222" w:type="dxa"/>
            <w:tcBorders>
              <w:top w:val="nil"/>
              <w:left w:val="single" w:sz="8" w:space="0" w:color="auto"/>
              <w:bottom w:val="nil"/>
              <w:right w:val="nil"/>
            </w:tcBorders>
            <w:shd w:val="clear" w:color="auto" w:fill="auto"/>
            <w:noWrap/>
            <w:vAlign w:val="bottom"/>
            <w:hideMark/>
          </w:tcPr>
          <w:p w:rsidR="00345335" w:rsidRPr="00345335" w:rsidRDefault="00345335" w:rsidP="00345335">
            <w:pPr>
              <w:spacing w:after="0"/>
              <w:rPr>
                <w:rFonts w:ascii="Calibri" w:eastAsia="Times New Roman" w:hAnsi="Calibri" w:cs="Times New Roman"/>
                <w:color w:val="000000"/>
                <w:sz w:val="22"/>
                <w:szCs w:val="22"/>
                <w:lang w:eastAsia="en-US"/>
              </w:rPr>
            </w:pPr>
            <w:r w:rsidRPr="00345335">
              <w:rPr>
                <w:rFonts w:ascii="Calibri" w:eastAsia="Times New Roman" w:hAnsi="Calibri" w:cs="Times New Roman"/>
                <w:color w:val="000000"/>
                <w:sz w:val="22"/>
                <w:szCs w:val="22"/>
                <w:lang w:eastAsia="en-US"/>
              </w:rPr>
              <w:t> </w:t>
            </w:r>
          </w:p>
        </w:tc>
        <w:tc>
          <w:tcPr>
            <w:tcW w:w="1106" w:type="dxa"/>
            <w:tcBorders>
              <w:top w:val="nil"/>
              <w:left w:val="nil"/>
              <w:bottom w:val="nil"/>
              <w:right w:val="nil"/>
            </w:tcBorders>
            <w:shd w:val="clear" w:color="auto" w:fill="auto"/>
            <w:noWrap/>
            <w:vAlign w:val="bottom"/>
            <w:hideMark/>
          </w:tcPr>
          <w:p w:rsidR="00345335" w:rsidRPr="00345335" w:rsidRDefault="00345335" w:rsidP="00345335">
            <w:pPr>
              <w:spacing w:after="0"/>
              <w:rPr>
                <w:rFonts w:ascii="Calibri" w:eastAsia="Times New Roman" w:hAnsi="Calibri" w:cs="Times New Roman"/>
                <w:color w:val="000000"/>
                <w:sz w:val="22"/>
                <w:szCs w:val="22"/>
                <w:lang w:eastAsia="en-US"/>
              </w:rPr>
            </w:pPr>
          </w:p>
        </w:tc>
        <w:tc>
          <w:tcPr>
            <w:tcW w:w="901" w:type="dxa"/>
            <w:tcBorders>
              <w:top w:val="nil"/>
              <w:left w:val="nil"/>
              <w:bottom w:val="nil"/>
              <w:right w:val="nil"/>
            </w:tcBorders>
            <w:shd w:val="clear" w:color="auto" w:fill="auto"/>
            <w:noWrap/>
            <w:vAlign w:val="bottom"/>
            <w:hideMark/>
          </w:tcPr>
          <w:p w:rsidR="00345335" w:rsidRPr="00345335" w:rsidRDefault="00345335" w:rsidP="00345335">
            <w:pPr>
              <w:spacing w:after="0"/>
              <w:rPr>
                <w:rFonts w:ascii="Calibri" w:eastAsia="Times New Roman" w:hAnsi="Calibri" w:cs="Times New Roman"/>
                <w:color w:val="000000"/>
                <w:sz w:val="22"/>
                <w:szCs w:val="22"/>
                <w:lang w:eastAsia="en-US"/>
              </w:rPr>
            </w:pPr>
          </w:p>
        </w:tc>
        <w:tc>
          <w:tcPr>
            <w:tcW w:w="1112" w:type="dxa"/>
            <w:tcBorders>
              <w:top w:val="nil"/>
              <w:left w:val="nil"/>
              <w:bottom w:val="nil"/>
              <w:right w:val="nil"/>
            </w:tcBorders>
            <w:shd w:val="clear" w:color="auto" w:fill="auto"/>
            <w:noWrap/>
            <w:vAlign w:val="bottom"/>
            <w:hideMark/>
          </w:tcPr>
          <w:p w:rsidR="00345335" w:rsidRPr="00345335" w:rsidRDefault="00345335" w:rsidP="00345335">
            <w:pPr>
              <w:spacing w:after="0"/>
              <w:rPr>
                <w:rFonts w:ascii="Calibri" w:eastAsia="Times New Roman" w:hAnsi="Calibri" w:cs="Times New Roman"/>
                <w:color w:val="000000"/>
                <w:sz w:val="22"/>
                <w:szCs w:val="22"/>
                <w:lang w:eastAsia="en-US"/>
              </w:rPr>
            </w:pPr>
          </w:p>
        </w:tc>
        <w:tc>
          <w:tcPr>
            <w:tcW w:w="901"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2"/>
                <w:szCs w:val="22"/>
                <w:lang w:eastAsia="en-US"/>
              </w:rPr>
            </w:pPr>
          </w:p>
        </w:tc>
        <w:tc>
          <w:tcPr>
            <w:tcW w:w="1112"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2"/>
                <w:szCs w:val="22"/>
                <w:lang w:eastAsia="en-US"/>
              </w:rPr>
            </w:pPr>
          </w:p>
        </w:tc>
        <w:tc>
          <w:tcPr>
            <w:tcW w:w="901"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2"/>
                <w:szCs w:val="22"/>
                <w:lang w:eastAsia="en-US"/>
              </w:rPr>
            </w:pPr>
          </w:p>
        </w:tc>
        <w:tc>
          <w:tcPr>
            <w:tcW w:w="1112"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2"/>
                <w:szCs w:val="22"/>
                <w:lang w:eastAsia="en-US"/>
              </w:rPr>
            </w:pPr>
          </w:p>
        </w:tc>
        <w:tc>
          <w:tcPr>
            <w:tcW w:w="901" w:type="dxa"/>
            <w:tcBorders>
              <w:top w:val="nil"/>
              <w:left w:val="nil"/>
              <w:bottom w:val="nil"/>
              <w:right w:val="nil"/>
            </w:tcBorders>
            <w:shd w:val="clear" w:color="auto" w:fill="auto"/>
            <w:noWrap/>
            <w:vAlign w:val="bottom"/>
            <w:hideMark/>
          </w:tcPr>
          <w:p w:rsidR="00345335" w:rsidRPr="00345335" w:rsidRDefault="00345335" w:rsidP="00345335">
            <w:pPr>
              <w:spacing w:after="0"/>
              <w:rPr>
                <w:rFonts w:ascii="Calibri" w:eastAsia="Times New Roman" w:hAnsi="Calibri" w:cs="Times New Roman"/>
                <w:color w:val="000000"/>
                <w:sz w:val="22"/>
                <w:szCs w:val="22"/>
                <w:lang w:eastAsia="en-US"/>
              </w:rPr>
            </w:pPr>
          </w:p>
        </w:tc>
        <w:tc>
          <w:tcPr>
            <w:tcW w:w="1112" w:type="dxa"/>
            <w:tcBorders>
              <w:top w:val="nil"/>
              <w:left w:val="nil"/>
              <w:bottom w:val="nil"/>
              <w:right w:val="single" w:sz="8" w:space="0" w:color="auto"/>
            </w:tcBorders>
            <w:shd w:val="clear" w:color="auto" w:fill="auto"/>
            <w:noWrap/>
            <w:vAlign w:val="bottom"/>
            <w:hideMark/>
          </w:tcPr>
          <w:p w:rsidR="00345335" w:rsidRPr="00345335" w:rsidRDefault="00345335" w:rsidP="00345335">
            <w:pPr>
              <w:spacing w:after="0"/>
              <w:rPr>
                <w:rFonts w:ascii="Calibri" w:eastAsia="Times New Roman" w:hAnsi="Calibri" w:cs="Times New Roman"/>
                <w:color w:val="000000"/>
                <w:sz w:val="22"/>
                <w:szCs w:val="22"/>
                <w:lang w:eastAsia="en-US"/>
              </w:rPr>
            </w:pPr>
            <w:r w:rsidRPr="00345335">
              <w:rPr>
                <w:rFonts w:ascii="Calibri" w:eastAsia="Times New Roman" w:hAnsi="Calibri" w:cs="Times New Roman"/>
                <w:color w:val="000000"/>
                <w:sz w:val="22"/>
                <w:szCs w:val="22"/>
                <w:lang w:eastAsia="en-US"/>
              </w:rPr>
              <w:t> </w:t>
            </w:r>
          </w:p>
        </w:tc>
      </w:tr>
      <w:tr w:rsidR="00345335" w:rsidRPr="00345335" w:rsidTr="00345335">
        <w:trPr>
          <w:trHeight w:val="300"/>
        </w:trPr>
        <w:tc>
          <w:tcPr>
            <w:tcW w:w="1222" w:type="dxa"/>
            <w:tcBorders>
              <w:top w:val="nil"/>
              <w:left w:val="single" w:sz="8" w:space="0" w:color="auto"/>
              <w:bottom w:val="nil"/>
              <w:right w:val="nil"/>
            </w:tcBorders>
            <w:shd w:val="clear" w:color="auto" w:fill="auto"/>
            <w:noWrap/>
            <w:vAlign w:val="bottom"/>
            <w:hideMark/>
          </w:tcPr>
          <w:p w:rsidR="00345335" w:rsidRPr="00345335" w:rsidRDefault="00345335" w:rsidP="00345335">
            <w:pPr>
              <w:spacing w:after="0"/>
              <w:rPr>
                <w:rFonts w:ascii="Calibri" w:eastAsia="Times New Roman" w:hAnsi="Calibri" w:cs="Times New Roman"/>
                <w:color w:val="000000"/>
                <w:sz w:val="20"/>
                <w:szCs w:val="20"/>
                <w:lang w:eastAsia="en-US"/>
              </w:rPr>
            </w:pPr>
            <w:r w:rsidRPr="00345335">
              <w:rPr>
                <w:rFonts w:ascii="Calibri" w:eastAsia="Times New Roman" w:hAnsi="Calibri" w:cs="Times New Roman"/>
                <w:color w:val="000000"/>
                <w:sz w:val="20"/>
                <w:szCs w:val="20"/>
                <w:lang w:eastAsia="en-US"/>
              </w:rPr>
              <w:t> </w:t>
            </w:r>
          </w:p>
        </w:tc>
        <w:tc>
          <w:tcPr>
            <w:tcW w:w="1106"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0"/>
                <w:szCs w:val="20"/>
                <w:lang w:eastAsia="en-US"/>
              </w:rPr>
            </w:pPr>
            <w:r w:rsidRPr="00345335">
              <w:rPr>
                <w:rFonts w:ascii="Calibri" w:eastAsia="Times New Roman" w:hAnsi="Calibri" w:cs="Times New Roman"/>
                <w:b/>
                <w:bCs/>
                <w:color w:val="000000"/>
                <w:sz w:val="20"/>
                <w:szCs w:val="20"/>
                <w:lang w:eastAsia="en-US"/>
              </w:rPr>
              <w:t>Long-Run</w:t>
            </w:r>
          </w:p>
        </w:tc>
        <w:tc>
          <w:tcPr>
            <w:tcW w:w="901" w:type="dxa"/>
            <w:tcBorders>
              <w:top w:val="nil"/>
              <w:left w:val="nil"/>
              <w:bottom w:val="nil"/>
              <w:right w:val="nil"/>
            </w:tcBorders>
            <w:shd w:val="clear" w:color="auto" w:fill="auto"/>
            <w:noWrap/>
            <w:vAlign w:val="bottom"/>
            <w:hideMark/>
          </w:tcPr>
          <w:p w:rsidR="00345335" w:rsidRPr="00345335" w:rsidRDefault="00345335" w:rsidP="00345335">
            <w:pPr>
              <w:spacing w:after="0"/>
              <w:rPr>
                <w:rFonts w:ascii="Calibri" w:eastAsia="Times New Roman" w:hAnsi="Calibri" w:cs="Times New Roman"/>
                <w:color w:val="000000"/>
                <w:sz w:val="20"/>
                <w:szCs w:val="20"/>
                <w:lang w:eastAsia="en-US"/>
              </w:rPr>
            </w:pPr>
          </w:p>
        </w:tc>
        <w:tc>
          <w:tcPr>
            <w:tcW w:w="1112" w:type="dxa"/>
            <w:tcBorders>
              <w:top w:val="nil"/>
              <w:left w:val="nil"/>
              <w:bottom w:val="nil"/>
              <w:right w:val="nil"/>
            </w:tcBorders>
            <w:shd w:val="clear" w:color="auto" w:fill="auto"/>
            <w:noWrap/>
            <w:vAlign w:val="bottom"/>
            <w:hideMark/>
          </w:tcPr>
          <w:p w:rsidR="00345335" w:rsidRPr="00345335" w:rsidRDefault="00345335" w:rsidP="00345335">
            <w:pPr>
              <w:spacing w:after="0"/>
              <w:rPr>
                <w:rFonts w:ascii="Calibri" w:eastAsia="Times New Roman" w:hAnsi="Calibri" w:cs="Times New Roman"/>
                <w:color w:val="000000"/>
                <w:sz w:val="20"/>
                <w:szCs w:val="20"/>
                <w:lang w:eastAsia="en-US"/>
              </w:rPr>
            </w:pPr>
          </w:p>
        </w:tc>
        <w:tc>
          <w:tcPr>
            <w:tcW w:w="2013" w:type="dxa"/>
            <w:gridSpan w:val="2"/>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0"/>
                <w:szCs w:val="20"/>
                <w:lang w:eastAsia="en-US"/>
              </w:rPr>
            </w:pPr>
            <w:r w:rsidRPr="00345335">
              <w:rPr>
                <w:rFonts w:ascii="Calibri" w:eastAsia="Times New Roman" w:hAnsi="Calibri" w:cs="Times New Roman"/>
                <w:b/>
                <w:bCs/>
                <w:color w:val="000000"/>
                <w:sz w:val="20"/>
                <w:szCs w:val="20"/>
                <w:lang w:eastAsia="en-US"/>
              </w:rPr>
              <w:t xml:space="preserve">Ratio LLPA / </w:t>
            </w:r>
          </w:p>
        </w:tc>
        <w:tc>
          <w:tcPr>
            <w:tcW w:w="901" w:type="dxa"/>
            <w:tcBorders>
              <w:top w:val="nil"/>
              <w:left w:val="nil"/>
              <w:bottom w:val="nil"/>
              <w:right w:val="nil"/>
            </w:tcBorders>
            <w:shd w:val="clear" w:color="auto" w:fill="auto"/>
            <w:noWrap/>
            <w:vAlign w:val="bottom"/>
            <w:hideMark/>
          </w:tcPr>
          <w:p w:rsidR="00345335" w:rsidRPr="00345335" w:rsidRDefault="00345335" w:rsidP="00345335">
            <w:pPr>
              <w:spacing w:after="0"/>
              <w:rPr>
                <w:rFonts w:ascii="Calibri" w:eastAsia="Times New Roman" w:hAnsi="Calibri" w:cs="Times New Roman"/>
                <w:color w:val="000000"/>
                <w:sz w:val="20"/>
                <w:szCs w:val="20"/>
                <w:lang w:eastAsia="en-US"/>
              </w:rPr>
            </w:pPr>
          </w:p>
        </w:tc>
        <w:tc>
          <w:tcPr>
            <w:tcW w:w="1112" w:type="dxa"/>
            <w:tcBorders>
              <w:top w:val="nil"/>
              <w:left w:val="nil"/>
              <w:bottom w:val="nil"/>
              <w:right w:val="nil"/>
            </w:tcBorders>
            <w:shd w:val="clear" w:color="auto" w:fill="auto"/>
            <w:noWrap/>
            <w:vAlign w:val="bottom"/>
            <w:hideMark/>
          </w:tcPr>
          <w:p w:rsidR="00345335" w:rsidRPr="00345335" w:rsidRDefault="00345335" w:rsidP="00345335">
            <w:pPr>
              <w:spacing w:after="0"/>
              <w:rPr>
                <w:rFonts w:ascii="Calibri" w:eastAsia="Times New Roman" w:hAnsi="Calibri" w:cs="Times New Roman"/>
                <w:color w:val="000000"/>
                <w:sz w:val="20"/>
                <w:szCs w:val="20"/>
                <w:lang w:eastAsia="en-US"/>
              </w:rPr>
            </w:pPr>
          </w:p>
        </w:tc>
        <w:tc>
          <w:tcPr>
            <w:tcW w:w="2013" w:type="dxa"/>
            <w:gridSpan w:val="2"/>
            <w:tcBorders>
              <w:top w:val="nil"/>
              <w:left w:val="nil"/>
              <w:bottom w:val="nil"/>
              <w:right w:val="single" w:sz="8" w:space="0" w:color="000000"/>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0"/>
                <w:szCs w:val="20"/>
                <w:lang w:eastAsia="en-US"/>
              </w:rPr>
            </w:pPr>
            <w:r w:rsidRPr="00345335">
              <w:rPr>
                <w:rFonts w:ascii="Calibri" w:eastAsia="Times New Roman" w:hAnsi="Calibri" w:cs="Times New Roman"/>
                <w:b/>
                <w:bCs/>
                <w:color w:val="000000"/>
                <w:sz w:val="20"/>
                <w:szCs w:val="20"/>
                <w:lang w:eastAsia="en-US"/>
              </w:rPr>
              <w:t>Ratio All Fees/</w:t>
            </w:r>
          </w:p>
        </w:tc>
      </w:tr>
      <w:tr w:rsidR="00345335" w:rsidRPr="00345335" w:rsidTr="00345335">
        <w:trPr>
          <w:trHeight w:val="300"/>
        </w:trPr>
        <w:tc>
          <w:tcPr>
            <w:tcW w:w="1222" w:type="dxa"/>
            <w:tcBorders>
              <w:top w:val="nil"/>
              <w:left w:val="single" w:sz="8" w:space="0" w:color="auto"/>
              <w:bottom w:val="nil"/>
              <w:right w:val="nil"/>
            </w:tcBorders>
            <w:shd w:val="clear" w:color="auto" w:fill="auto"/>
            <w:noWrap/>
            <w:vAlign w:val="bottom"/>
            <w:hideMark/>
          </w:tcPr>
          <w:p w:rsidR="00345335" w:rsidRPr="00345335" w:rsidRDefault="00345335" w:rsidP="00345335">
            <w:pPr>
              <w:spacing w:after="0"/>
              <w:rPr>
                <w:rFonts w:ascii="Calibri" w:eastAsia="Times New Roman" w:hAnsi="Calibri" w:cs="Times New Roman"/>
                <w:color w:val="000000"/>
                <w:sz w:val="20"/>
                <w:szCs w:val="20"/>
                <w:lang w:eastAsia="en-US"/>
              </w:rPr>
            </w:pPr>
            <w:r w:rsidRPr="00345335">
              <w:rPr>
                <w:rFonts w:ascii="Calibri" w:eastAsia="Times New Roman" w:hAnsi="Calibri" w:cs="Times New Roman"/>
                <w:color w:val="000000"/>
                <w:sz w:val="20"/>
                <w:szCs w:val="20"/>
                <w:lang w:eastAsia="en-US"/>
              </w:rPr>
              <w:t> </w:t>
            </w:r>
          </w:p>
        </w:tc>
        <w:tc>
          <w:tcPr>
            <w:tcW w:w="1106"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0"/>
                <w:szCs w:val="20"/>
                <w:lang w:eastAsia="en-US"/>
              </w:rPr>
            </w:pPr>
            <w:r w:rsidRPr="00345335">
              <w:rPr>
                <w:rFonts w:ascii="Calibri" w:eastAsia="Times New Roman" w:hAnsi="Calibri" w:cs="Times New Roman"/>
                <w:b/>
                <w:bCs/>
                <w:color w:val="000000"/>
                <w:sz w:val="20"/>
                <w:szCs w:val="20"/>
                <w:lang w:eastAsia="en-US"/>
              </w:rPr>
              <w:t>Avg. Loss</w:t>
            </w:r>
          </w:p>
        </w:tc>
        <w:tc>
          <w:tcPr>
            <w:tcW w:w="901"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0"/>
                <w:szCs w:val="20"/>
                <w:lang w:eastAsia="en-US"/>
              </w:rPr>
            </w:pPr>
            <w:r w:rsidRPr="00345335">
              <w:rPr>
                <w:rFonts w:ascii="Calibri" w:eastAsia="Times New Roman" w:hAnsi="Calibri" w:cs="Times New Roman"/>
                <w:b/>
                <w:bCs/>
                <w:color w:val="000000"/>
                <w:sz w:val="20"/>
                <w:szCs w:val="20"/>
                <w:lang w:eastAsia="en-US"/>
              </w:rPr>
              <w:t>Current</w:t>
            </w:r>
          </w:p>
        </w:tc>
        <w:tc>
          <w:tcPr>
            <w:tcW w:w="1112"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0"/>
                <w:szCs w:val="20"/>
                <w:lang w:eastAsia="en-US"/>
              </w:rPr>
            </w:pPr>
            <w:r w:rsidRPr="00345335">
              <w:rPr>
                <w:rFonts w:ascii="Calibri" w:eastAsia="Times New Roman" w:hAnsi="Calibri" w:cs="Times New Roman"/>
                <w:b/>
                <w:bCs/>
                <w:color w:val="000000"/>
                <w:sz w:val="20"/>
                <w:szCs w:val="20"/>
                <w:lang w:eastAsia="en-US"/>
              </w:rPr>
              <w:t>Proposed</w:t>
            </w:r>
          </w:p>
        </w:tc>
        <w:tc>
          <w:tcPr>
            <w:tcW w:w="2013" w:type="dxa"/>
            <w:gridSpan w:val="2"/>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0"/>
                <w:szCs w:val="20"/>
                <w:u w:val="single"/>
                <w:lang w:eastAsia="en-US"/>
              </w:rPr>
            </w:pPr>
            <w:r w:rsidRPr="00345335">
              <w:rPr>
                <w:rFonts w:ascii="Calibri" w:eastAsia="Times New Roman" w:hAnsi="Calibri" w:cs="Times New Roman"/>
                <w:b/>
                <w:bCs/>
                <w:color w:val="000000"/>
                <w:sz w:val="20"/>
                <w:szCs w:val="20"/>
                <w:u w:val="single"/>
                <w:lang w:eastAsia="en-US"/>
              </w:rPr>
              <w:t>Average Losses</w:t>
            </w:r>
          </w:p>
        </w:tc>
        <w:tc>
          <w:tcPr>
            <w:tcW w:w="2013" w:type="dxa"/>
            <w:gridSpan w:val="2"/>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0"/>
                <w:szCs w:val="20"/>
                <w:u w:val="single"/>
                <w:lang w:eastAsia="en-US"/>
              </w:rPr>
            </w:pPr>
            <w:r w:rsidRPr="00345335">
              <w:rPr>
                <w:rFonts w:ascii="Calibri" w:eastAsia="Times New Roman" w:hAnsi="Calibri" w:cs="Times New Roman"/>
                <w:b/>
                <w:bCs/>
                <w:color w:val="000000"/>
                <w:sz w:val="20"/>
                <w:szCs w:val="20"/>
                <w:u w:val="single"/>
                <w:lang w:eastAsia="en-US"/>
              </w:rPr>
              <w:t>Projected Revenue</w:t>
            </w:r>
            <w:r w:rsidR="007101C1">
              <w:rPr>
                <w:rStyle w:val="FootnoteReference"/>
                <w:rFonts w:ascii="Calibri" w:eastAsia="Times New Roman" w:hAnsi="Calibri" w:cs="Times New Roman"/>
                <w:b/>
                <w:bCs/>
                <w:color w:val="000000"/>
                <w:sz w:val="20"/>
                <w:szCs w:val="20"/>
                <w:u w:val="single"/>
                <w:lang w:eastAsia="en-US"/>
              </w:rPr>
              <w:footnoteReference w:id="4"/>
            </w:r>
          </w:p>
        </w:tc>
        <w:tc>
          <w:tcPr>
            <w:tcW w:w="2013" w:type="dxa"/>
            <w:gridSpan w:val="2"/>
            <w:tcBorders>
              <w:top w:val="nil"/>
              <w:left w:val="nil"/>
              <w:bottom w:val="nil"/>
              <w:right w:val="single" w:sz="8" w:space="0" w:color="000000"/>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0"/>
                <w:szCs w:val="20"/>
                <w:u w:val="single"/>
                <w:lang w:eastAsia="en-US"/>
              </w:rPr>
            </w:pPr>
            <w:r w:rsidRPr="00345335">
              <w:rPr>
                <w:rFonts w:ascii="Calibri" w:eastAsia="Times New Roman" w:hAnsi="Calibri" w:cs="Times New Roman"/>
                <w:b/>
                <w:bCs/>
                <w:color w:val="000000"/>
                <w:sz w:val="20"/>
                <w:szCs w:val="20"/>
                <w:u w:val="single"/>
                <w:lang w:eastAsia="en-US"/>
              </w:rPr>
              <w:t>Average Losses</w:t>
            </w:r>
          </w:p>
        </w:tc>
      </w:tr>
      <w:tr w:rsidR="00345335" w:rsidRPr="00345335" w:rsidTr="00345335">
        <w:trPr>
          <w:trHeight w:val="300"/>
        </w:trPr>
        <w:tc>
          <w:tcPr>
            <w:tcW w:w="1222" w:type="dxa"/>
            <w:tcBorders>
              <w:top w:val="nil"/>
              <w:left w:val="single" w:sz="8" w:space="0" w:color="auto"/>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0"/>
                <w:szCs w:val="20"/>
                <w:u w:val="single"/>
                <w:lang w:eastAsia="en-US"/>
              </w:rPr>
            </w:pPr>
            <w:r w:rsidRPr="00345335">
              <w:rPr>
                <w:rFonts w:ascii="Calibri" w:eastAsia="Times New Roman" w:hAnsi="Calibri" w:cs="Times New Roman"/>
                <w:b/>
                <w:bCs/>
                <w:color w:val="000000"/>
                <w:sz w:val="20"/>
                <w:szCs w:val="20"/>
                <w:u w:val="single"/>
                <w:lang w:eastAsia="en-US"/>
              </w:rPr>
              <w:t>LTV Group</w:t>
            </w:r>
          </w:p>
        </w:tc>
        <w:tc>
          <w:tcPr>
            <w:tcW w:w="1106"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0"/>
                <w:szCs w:val="20"/>
                <w:u w:val="single"/>
                <w:lang w:eastAsia="en-US"/>
              </w:rPr>
            </w:pPr>
            <w:r w:rsidRPr="00345335">
              <w:rPr>
                <w:rFonts w:ascii="Calibri" w:eastAsia="Times New Roman" w:hAnsi="Calibri" w:cs="Times New Roman"/>
                <w:b/>
                <w:bCs/>
                <w:color w:val="000000"/>
                <w:sz w:val="20"/>
                <w:szCs w:val="20"/>
                <w:u w:val="single"/>
                <w:lang w:eastAsia="en-US"/>
              </w:rPr>
              <w:t xml:space="preserve">  Rates</w:t>
            </w:r>
            <w:r w:rsidR="009D6986">
              <w:rPr>
                <w:rStyle w:val="FootnoteReference"/>
                <w:rFonts w:ascii="Calibri" w:eastAsia="Times New Roman" w:hAnsi="Calibri" w:cs="Times New Roman"/>
                <w:b/>
                <w:bCs/>
                <w:color w:val="000000"/>
                <w:sz w:val="20"/>
                <w:szCs w:val="20"/>
                <w:u w:val="single"/>
                <w:lang w:eastAsia="en-US"/>
              </w:rPr>
              <w:footnoteReference w:id="5"/>
            </w:r>
          </w:p>
        </w:tc>
        <w:tc>
          <w:tcPr>
            <w:tcW w:w="901"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0"/>
                <w:szCs w:val="20"/>
                <w:u w:val="single"/>
                <w:lang w:eastAsia="en-US"/>
              </w:rPr>
            </w:pPr>
            <w:r w:rsidRPr="00345335">
              <w:rPr>
                <w:rFonts w:ascii="Calibri" w:eastAsia="Times New Roman" w:hAnsi="Calibri" w:cs="Times New Roman"/>
                <w:b/>
                <w:bCs/>
                <w:color w:val="000000"/>
                <w:sz w:val="20"/>
                <w:szCs w:val="20"/>
                <w:u w:val="single"/>
                <w:lang w:eastAsia="en-US"/>
              </w:rPr>
              <w:t>LLPAs</w:t>
            </w:r>
          </w:p>
        </w:tc>
        <w:tc>
          <w:tcPr>
            <w:tcW w:w="1112"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0"/>
                <w:szCs w:val="20"/>
                <w:u w:val="single"/>
                <w:lang w:eastAsia="en-US"/>
              </w:rPr>
            </w:pPr>
            <w:r w:rsidRPr="00345335">
              <w:rPr>
                <w:rFonts w:ascii="Calibri" w:eastAsia="Times New Roman" w:hAnsi="Calibri" w:cs="Times New Roman"/>
                <w:b/>
                <w:bCs/>
                <w:color w:val="000000"/>
                <w:sz w:val="20"/>
                <w:szCs w:val="20"/>
                <w:u w:val="single"/>
                <w:lang w:eastAsia="en-US"/>
              </w:rPr>
              <w:t>LLPAs</w:t>
            </w:r>
          </w:p>
        </w:tc>
        <w:tc>
          <w:tcPr>
            <w:tcW w:w="901"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0"/>
                <w:szCs w:val="20"/>
                <w:u w:val="single"/>
                <w:lang w:eastAsia="en-US"/>
              </w:rPr>
            </w:pPr>
            <w:r w:rsidRPr="00345335">
              <w:rPr>
                <w:rFonts w:ascii="Calibri" w:eastAsia="Times New Roman" w:hAnsi="Calibri" w:cs="Times New Roman"/>
                <w:b/>
                <w:bCs/>
                <w:color w:val="000000"/>
                <w:sz w:val="20"/>
                <w:szCs w:val="20"/>
                <w:u w:val="single"/>
                <w:lang w:eastAsia="en-US"/>
              </w:rPr>
              <w:t>Current</w:t>
            </w:r>
          </w:p>
        </w:tc>
        <w:tc>
          <w:tcPr>
            <w:tcW w:w="1112"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0"/>
                <w:szCs w:val="20"/>
                <w:u w:val="single"/>
                <w:lang w:eastAsia="en-US"/>
              </w:rPr>
            </w:pPr>
            <w:r w:rsidRPr="00345335">
              <w:rPr>
                <w:rFonts w:ascii="Calibri" w:eastAsia="Times New Roman" w:hAnsi="Calibri" w:cs="Times New Roman"/>
                <w:b/>
                <w:bCs/>
                <w:color w:val="000000"/>
                <w:sz w:val="20"/>
                <w:szCs w:val="20"/>
                <w:u w:val="single"/>
                <w:lang w:eastAsia="en-US"/>
              </w:rPr>
              <w:t>Proposed</w:t>
            </w:r>
          </w:p>
        </w:tc>
        <w:tc>
          <w:tcPr>
            <w:tcW w:w="901"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0"/>
                <w:szCs w:val="20"/>
                <w:u w:val="single"/>
                <w:lang w:eastAsia="en-US"/>
              </w:rPr>
            </w:pPr>
            <w:r w:rsidRPr="00345335">
              <w:rPr>
                <w:rFonts w:ascii="Calibri" w:eastAsia="Times New Roman" w:hAnsi="Calibri" w:cs="Times New Roman"/>
                <w:b/>
                <w:bCs/>
                <w:color w:val="000000"/>
                <w:sz w:val="20"/>
                <w:szCs w:val="20"/>
                <w:u w:val="single"/>
                <w:lang w:eastAsia="en-US"/>
              </w:rPr>
              <w:t>Current</w:t>
            </w:r>
          </w:p>
        </w:tc>
        <w:tc>
          <w:tcPr>
            <w:tcW w:w="1112"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0"/>
                <w:szCs w:val="20"/>
                <w:u w:val="single"/>
                <w:lang w:eastAsia="en-US"/>
              </w:rPr>
            </w:pPr>
            <w:r w:rsidRPr="00345335">
              <w:rPr>
                <w:rFonts w:ascii="Calibri" w:eastAsia="Times New Roman" w:hAnsi="Calibri" w:cs="Times New Roman"/>
                <w:b/>
                <w:bCs/>
                <w:color w:val="000000"/>
                <w:sz w:val="20"/>
                <w:szCs w:val="20"/>
                <w:u w:val="single"/>
                <w:lang w:eastAsia="en-US"/>
              </w:rPr>
              <w:t>Proposed</w:t>
            </w:r>
          </w:p>
        </w:tc>
        <w:tc>
          <w:tcPr>
            <w:tcW w:w="901"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0"/>
                <w:szCs w:val="20"/>
                <w:u w:val="single"/>
                <w:lang w:eastAsia="en-US"/>
              </w:rPr>
            </w:pPr>
            <w:r w:rsidRPr="00345335">
              <w:rPr>
                <w:rFonts w:ascii="Calibri" w:eastAsia="Times New Roman" w:hAnsi="Calibri" w:cs="Times New Roman"/>
                <w:b/>
                <w:bCs/>
                <w:color w:val="000000"/>
                <w:sz w:val="20"/>
                <w:szCs w:val="20"/>
                <w:u w:val="single"/>
                <w:lang w:eastAsia="en-US"/>
              </w:rPr>
              <w:t>Current</w:t>
            </w:r>
          </w:p>
        </w:tc>
        <w:tc>
          <w:tcPr>
            <w:tcW w:w="1112" w:type="dxa"/>
            <w:tcBorders>
              <w:top w:val="nil"/>
              <w:left w:val="nil"/>
              <w:bottom w:val="nil"/>
              <w:right w:val="single" w:sz="8" w:space="0" w:color="auto"/>
            </w:tcBorders>
            <w:shd w:val="clear" w:color="auto" w:fill="auto"/>
            <w:noWrap/>
            <w:vAlign w:val="bottom"/>
            <w:hideMark/>
          </w:tcPr>
          <w:p w:rsidR="00345335" w:rsidRPr="00345335" w:rsidRDefault="00345335" w:rsidP="00345335">
            <w:pPr>
              <w:spacing w:after="0"/>
              <w:rPr>
                <w:rFonts w:ascii="Calibri" w:eastAsia="Times New Roman" w:hAnsi="Calibri" w:cs="Times New Roman"/>
                <w:b/>
                <w:bCs/>
                <w:color w:val="000000"/>
                <w:sz w:val="20"/>
                <w:szCs w:val="20"/>
                <w:u w:val="single"/>
                <w:lang w:eastAsia="en-US"/>
              </w:rPr>
            </w:pPr>
            <w:r w:rsidRPr="00345335">
              <w:rPr>
                <w:rFonts w:ascii="Calibri" w:eastAsia="Times New Roman" w:hAnsi="Calibri" w:cs="Times New Roman"/>
                <w:b/>
                <w:bCs/>
                <w:color w:val="000000"/>
                <w:sz w:val="20"/>
                <w:szCs w:val="20"/>
                <w:u w:val="single"/>
                <w:lang w:eastAsia="en-US"/>
              </w:rPr>
              <w:t>Proposed</w:t>
            </w:r>
          </w:p>
        </w:tc>
      </w:tr>
      <w:tr w:rsidR="00345335" w:rsidRPr="00345335" w:rsidTr="00345335">
        <w:trPr>
          <w:trHeight w:val="300"/>
        </w:trPr>
        <w:tc>
          <w:tcPr>
            <w:tcW w:w="1222" w:type="dxa"/>
            <w:tcBorders>
              <w:top w:val="nil"/>
              <w:left w:val="single" w:sz="8" w:space="0" w:color="auto"/>
              <w:bottom w:val="nil"/>
              <w:right w:val="nil"/>
            </w:tcBorders>
            <w:shd w:val="clear" w:color="auto" w:fill="auto"/>
            <w:noWrap/>
            <w:vAlign w:val="bottom"/>
            <w:hideMark/>
          </w:tcPr>
          <w:p w:rsidR="00345335" w:rsidRPr="00345335" w:rsidRDefault="00345335" w:rsidP="00345335">
            <w:pPr>
              <w:spacing w:after="0"/>
              <w:rPr>
                <w:rFonts w:ascii="Calibri" w:eastAsia="Times New Roman" w:hAnsi="Calibri" w:cs="Times New Roman"/>
                <w:color w:val="000000"/>
                <w:sz w:val="20"/>
                <w:szCs w:val="20"/>
                <w:lang w:eastAsia="en-US"/>
              </w:rPr>
            </w:pPr>
            <w:r w:rsidRPr="00345335">
              <w:rPr>
                <w:rFonts w:ascii="Calibri" w:eastAsia="Times New Roman" w:hAnsi="Calibri" w:cs="Times New Roman"/>
                <w:color w:val="000000"/>
                <w:sz w:val="20"/>
                <w:szCs w:val="20"/>
                <w:lang w:eastAsia="en-US"/>
              </w:rPr>
              <w:t> </w:t>
            </w:r>
          </w:p>
        </w:tc>
        <w:tc>
          <w:tcPr>
            <w:tcW w:w="1106" w:type="dxa"/>
            <w:tcBorders>
              <w:top w:val="nil"/>
              <w:left w:val="nil"/>
              <w:bottom w:val="nil"/>
              <w:right w:val="nil"/>
            </w:tcBorders>
            <w:shd w:val="clear" w:color="auto" w:fill="auto"/>
            <w:noWrap/>
            <w:vAlign w:val="bottom"/>
            <w:hideMark/>
          </w:tcPr>
          <w:p w:rsidR="00345335" w:rsidRPr="00345335" w:rsidRDefault="00345335" w:rsidP="00345335">
            <w:pPr>
              <w:spacing w:after="0"/>
              <w:rPr>
                <w:rFonts w:ascii="Calibri" w:eastAsia="Times New Roman" w:hAnsi="Calibri" w:cs="Times New Roman"/>
                <w:color w:val="000000"/>
                <w:sz w:val="20"/>
                <w:szCs w:val="20"/>
                <w:lang w:eastAsia="en-US"/>
              </w:rPr>
            </w:pPr>
          </w:p>
        </w:tc>
        <w:tc>
          <w:tcPr>
            <w:tcW w:w="901" w:type="dxa"/>
            <w:tcBorders>
              <w:top w:val="nil"/>
              <w:left w:val="nil"/>
              <w:bottom w:val="nil"/>
              <w:right w:val="nil"/>
            </w:tcBorders>
            <w:shd w:val="clear" w:color="auto" w:fill="auto"/>
            <w:noWrap/>
            <w:vAlign w:val="bottom"/>
            <w:hideMark/>
          </w:tcPr>
          <w:p w:rsidR="00345335" w:rsidRPr="00345335" w:rsidRDefault="00345335" w:rsidP="00345335">
            <w:pPr>
              <w:spacing w:after="0"/>
              <w:rPr>
                <w:rFonts w:ascii="Calibri" w:eastAsia="Times New Roman" w:hAnsi="Calibri" w:cs="Times New Roman"/>
                <w:color w:val="000000"/>
                <w:sz w:val="20"/>
                <w:szCs w:val="20"/>
                <w:lang w:eastAsia="en-US"/>
              </w:rPr>
            </w:pPr>
          </w:p>
        </w:tc>
        <w:tc>
          <w:tcPr>
            <w:tcW w:w="1112" w:type="dxa"/>
            <w:tcBorders>
              <w:top w:val="nil"/>
              <w:left w:val="nil"/>
              <w:bottom w:val="nil"/>
              <w:right w:val="nil"/>
            </w:tcBorders>
            <w:shd w:val="clear" w:color="auto" w:fill="auto"/>
            <w:noWrap/>
            <w:vAlign w:val="bottom"/>
            <w:hideMark/>
          </w:tcPr>
          <w:p w:rsidR="00345335" w:rsidRPr="00345335" w:rsidRDefault="00345335" w:rsidP="00345335">
            <w:pPr>
              <w:spacing w:after="0"/>
              <w:rPr>
                <w:rFonts w:ascii="Calibri" w:eastAsia="Times New Roman" w:hAnsi="Calibri" w:cs="Times New Roman"/>
                <w:color w:val="000000"/>
                <w:sz w:val="20"/>
                <w:szCs w:val="20"/>
                <w:lang w:eastAsia="en-US"/>
              </w:rPr>
            </w:pPr>
          </w:p>
        </w:tc>
        <w:tc>
          <w:tcPr>
            <w:tcW w:w="901" w:type="dxa"/>
            <w:tcBorders>
              <w:top w:val="nil"/>
              <w:left w:val="nil"/>
              <w:bottom w:val="nil"/>
              <w:right w:val="nil"/>
            </w:tcBorders>
            <w:shd w:val="clear" w:color="auto" w:fill="auto"/>
            <w:noWrap/>
            <w:vAlign w:val="bottom"/>
            <w:hideMark/>
          </w:tcPr>
          <w:p w:rsidR="00345335" w:rsidRPr="00345335" w:rsidRDefault="00345335" w:rsidP="00345335">
            <w:pPr>
              <w:spacing w:after="0"/>
              <w:rPr>
                <w:rFonts w:ascii="Calibri" w:eastAsia="Times New Roman" w:hAnsi="Calibri" w:cs="Times New Roman"/>
                <w:color w:val="000000"/>
                <w:sz w:val="20"/>
                <w:szCs w:val="20"/>
                <w:lang w:eastAsia="en-US"/>
              </w:rPr>
            </w:pPr>
          </w:p>
        </w:tc>
        <w:tc>
          <w:tcPr>
            <w:tcW w:w="1112" w:type="dxa"/>
            <w:tcBorders>
              <w:top w:val="nil"/>
              <w:left w:val="nil"/>
              <w:bottom w:val="nil"/>
              <w:right w:val="nil"/>
            </w:tcBorders>
            <w:shd w:val="clear" w:color="auto" w:fill="auto"/>
            <w:noWrap/>
            <w:vAlign w:val="bottom"/>
            <w:hideMark/>
          </w:tcPr>
          <w:p w:rsidR="00345335" w:rsidRPr="00345335" w:rsidRDefault="00345335" w:rsidP="00345335">
            <w:pPr>
              <w:spacing w:after="0"/>
              <w:rPr>
                <w:rFonts w:ascii="Calibri" w:eastAsia="Times New Roman" w:hAnsi="Calibri" w:cs="Times New Roman"/>
                <w:color w:val="000000"/>
                <w:sz w:val="20"/>
                <w:szCs w:val="20"/>
                <w:lang w:eastAsia="en-US"/>
              </w:rPr>
            </w:pPr>
          </w:p>
        </w:tc>
        <w:tc>
          <w:tcPr>
            <w:tcW w:w="901" w:type="dxa"/>
            <w:tcBorders>
              <w:top w:val="nil"/>
              <w:left w:val="nil"/>
              <w:bottom w:val="nil"/>
              <w:right w:val="nil"/>
            </w:tcBorders>
            <w:shd w:val="clear" w:color="auto" w:fill="auto"/>
            <w:noWrap/>
            <w:vAlign w:val="bottom"/>
            <w:hideMark/>
          </w:tcPr>
          <w:p w:rsidR="00345335" w:rsidRPr="00345335" w:rsidRDefault="00345335" w:rsidP="00345335">
            <w:pPr>
              <w:spacing w:after="0"/>
              <w:rPr>
                <w:rFonts w:ascii="Calibri" w:eastAsia="Times New Roman" w:hAnsi="Calibri" w:cs="Times New Roman"/>
                <w:color w:val="000000"/>
                <w:sz w:val="20"/>
                <w:szCs w:val="20"/>
                <w:lang w:eastAsia="en-US"/>
              </w:rPr>
            </w:pPr>
          </w:p>
        </w:tc>
        <w:tc>
          <w:tcPr>
            <w:tcW w:w="1112"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color w:val="000000"/>
                <w:sz w:val="20"/>
                <w:szCs w:val="20"/>
                <w:lang w:eastAsia="en-US"/>
              </w:rPr>
            </w:pPr>
          </w:p>
        </w:tc>
        <w:tc>
          <w:tcPr>
            <w:tcW w:w="901" w:type="dxa"/>
            <w:tcBorders>
              <w:top w:val="nil"/>
              <w:left w:val="nil"/>
              <w:bottom w:val="nil"/>
              <w:right w:val="nil"/>
            </w:tcBorders>
            <w:shd w:val="clear" w:color="auto" w:fill="auto"/>
            <w:noWrap/>
            <w:vAlign w:val="bottom"/>
            <w:hideMark/>
          </w:tcPr>
          <w:p w:rsidR="00345335" w:rsidRPr="00345335" w:rsidRDefault="00345335" w:rsidP="00345335">
            <w:pPr>
              <w:spacing w:after="0"/>
              <w:rPr>
                <w:rFonts w:ascii="Calibri" w:eastAsia="Times New Roman" w:hAnsi="Calibri" w:cs="Times New Roman"/>
                <w:color w:val="000000"/>
                <w:sz w:val="20"/>
                <w:szCs w:val="20"/>
                <w:lang w:eastAsia="en-US"/>
              </w:rPr>
            </w:pPr>
          </w:p>
        </w:tc>
        <w:tc>
          <w:tcPr>
            <w:tcW w:w="1112" w:type="dxa"/>
            <w:tcBorders>
              <w:top w:val="nil"/>
              <w:left w:val="nil"/>
              <w:bottom w:val="nil"/>
              <w:right w:val="single" w:sz="8" w:space="0" w:color="auto"/>
            </w:tcBorders>
            <w:shd w:val="clear" w:color="auto" w:fill="auto"/>
            <w:noWrap/>
            <w:vAlign w:val="bottom"/>
            <w:hideMark/>
          </w:tcPr>
          <w:p w:rsidR="00345335" w:rsidRPr="00345335" w:rsidRDefault="00345335" w:rsidP="00345335">
            <w:pPr>
              <w:spacing w:after="0"/>
              <w:rPr>
                <w:rFonts w:ascii="Calibri" w:eastAsia="Times New Roman" w:hAnsi="Calibri" w:cs="Times New Roman"/>
                <w:color w:val="000000"/>
                <w:sz w:val="20"/>
                <w:szCs w:val="20"/>
                <w:lang w:eastAsia="en-US"/>
              </w:rPr>
            </w:pPr>
            <w:r w:rsidRPr="00345335">
              <w:rPr>
                <w:rFonts w:ascii="Calibri" w:eastAsia="Times New Roman" w:hAnsi="Calibri" w:cs="Times New Roman"/>
                <w:color w:val="000000"/>
                <w:sz w:val="20"/>
                <w:szCs w:val="20"/>
                <w:lang w:eastAsia="en-US"/>
              </w:rPr>
              <w:t> </w:t>
            </w:r>
          </w:p>
        </w:tc>
      </w:tr>
      <w:tr w:rsidR="00345335" w:rsidRPr="00345335" w:rsidTr="00345335">
        <w:trPr>
          <w:trHeight w:val="300"/>
        </w:trPr>
        <w:tc>
          <w:tcPr>
            <w:tcW w:w="1222" w:type="dxa"/>
            <w:tcBorders>
              <w:top w:val="nil"/>
              <w:left w:val="single" w:sz="8" w:space="0" w:color="auto"/>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0"/>
                <w:szCs w:val="20"/>
                <w:lang w:eastAsia="en-US"/>
              </w:rPr>
            </w:pPr>
            <w:r w:rsidRPr="00345335">
              <w:rPr>
                <w:rFonts w:ascii="Calibri" w:eastAsia="Times New Roman" w:hAnsi="Calibri" w:cs="Times New Roman"/>
                <w:b/>
                <w:bCs/>
                <w:color w:val="000000"/>
                <w:sz w:val="20"/>
                <w:szCs w:val="20"/>
                <w:lang w:eastAsia="en-US"/>
              </w:rPr>
              <w:t>&lt;=60</w:t>
            </w:r>
          </w:p>
        </w:tc>
        <w:tc>
          <w:tcPr>
            <w:tcW w:w="1106"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color w:val="000000"/>
                <w:sz w:val="20"/>
                <w:szCs w:val="20"/>
                <w:lang w:eastAsia="en-US"/>
              </w:rPr>
            </w:pPr>
            <w:r w:rsidRPr="00345335">
              <w:rPr>
                <w:rFonts w:ascii="Calibri" w:eastAsia="Times New Roman" w:hAnsi="Calibri" w:cs="Times New Roman"/>
                <w:color w:val="000000"/>
                <w:sz w:val="20"/>
                <w:szCs w:val="20"/>
                <w:lang w:eastAsia="en-US"/>
              </w:rPr>
              <w:t>0.18%</w:t>
            </w:r>
          </w:p>
        </w:tc>
        <w:tc>
          <w:tcPr>
            <w:tcW w:w="901"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color w:val="000000"/>
                <w:sz w:val="20"/>
                <w:szCs w:val="20"/>
                <w:lang w:eastAsia="en-US"/>
              </w:rPr>
            </w:pPr>
            <w:r w:rsidRPr="00345335">
              <w:rPr>
                <w:rFonts w:ascii="Calibri" w:eastAsia="Times New Roman" w:hAnsi="Calibri" w:cs="Times New Roman"/>
                <w:color w:val="000000"/>
                <w:sz w:val="20"/>
                <w:szCs w:val="20"/>
                <w:lang w:eastAsia="en-US"/>
              </w:rPr>
              <w:t>0.00%</w:t>
            </w:r>
          </w:p>
        </w:tc>
        <w:tc>
          <w:tcPr>
            <w:tcW w:w="1112"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color w:val="000000"/>
                <w:sz w:val="20"/>
                <w:szCs w:val="20"/>
                <w:lang w:eastAsia="en-US"/>
              </w:rPr>
            </w:pPr>
            <w:r w:rsidRPr="00345335">
              <w:rPr>
                <w:rFonts w:ascii="Calibri" w:eastAsia="Times New Roman" w:hAnsi="Calibri" w:cs="Times New Roman"/>
                <w:color w:val="000000"/>
                <w:sz w:val="20"/>
                <w:szCs w:val="20"/>
                <w:lang w:eastAsia="en-US"/>
              </w:rPr>
              <w:t>0.00%</w:t>
            </w:r>
          </w:p>
        </w:tc>
        <w:tc>
          <w:tcPr>
            <w:tcW w:w="901"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color w:val="000000"/>
                <w:sz w:val="20"/>
                <w:szCs w:val="20"/>
                <w:lang w:eastAsia="en-US"/>
              </w:rPr>
            </w:pPr>
            <w:proofErr w:type="spellStart"/>
            <w:r w:rsidRPr="00345335">
              <w:rPr>
                <w:rFonts w:ascii="Calibri" w:eastAsia="Times New Roman" w:hAnsi="Calibri" w:cs="Times New Roman"/>
                <w:color w:val="000000"/>
                <w:sz w:val="20"/>
                <w:szCs w:val="20"/>
                <w:lang w:eastAsia="en-US"/>
              </w:rPr>
              <w:t>na</w:t>
            </w:r>
            <w:proofErr w:type="spellEnd"/>
          </w:p>
        </w:tc>
        <w:tc>
          <w:tcPr>
            <w:tcW w:w="1112"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color w:val="000000"/>
                <w:sz w:val="20"/>
                <w:szCs w:val="20"/>
                <w:lang w:eastAsia="en-US"/>
              </w:rPr>
            </w:pPr>
            <w:proofErr w:type="spellStart"/>
            <w:r w:rsidRPr="00345335">
              <w:rPr>
                <w:rFonts w:ascii="Calibri" w:eastAsia="Times New Roman" w:hAnsi="Calibri" w:cs="Times New Roman"/>
                <w:color w:val="000000"/>
                <w:sz w:val="20"/>
                <w:szCs w:val="20"/>
                <w:lang w:eastAsia="en-US"/>
              </w:rPr>
              <w:t>na</w:t>
            </w:r>
            <w:proofErr w:type="spellEnd"/>
          </w:p>
        </w:tc>
        <w:tc>
          <w:tcPr>
            <w:tcW w:w="901"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color w:val="000000"/>
                <w:sz w:val="20"/>
                <w:szCs w:val="20"/>
                <w:lang w:eastAsia="en-US"/>
              </w:rPr>
            </w:pPr>
            <w:r w:rsidRPr="00345335">
              <w:rPr>
                <w:rFonts w:ascii="Calibri" w:eastAsia="Times New Roman" w:hAnsi="Calibri" w:cs="Times New Roman"/>
                <w:color w:val="000000"/>
                <w:sz w:val="20"/>
                <w:szCs w:val="20"/>
                <w:lang w:eastAsia="en-US"/>
              </w:rPr>
              <w:t>2.472%</w:t>
            </w:r>
          </w:p>
        </w:tc>
        <w:tc>
          <w:tcPr>
            <w:tcW w:w="1112"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color w:val="000000"/>
                <w:sz w:val="20"/>
                <w:szCs w:val="20"/>
                <w:lang w:eastAsia="en-US"/>
              </w:rPr>
            </w:pPr>
            <w:r w:rsidRPr="00345335">
              <w:rPr>
                <w:rFonts w:ascii="Calibri" w:eastAsia="Times New Roman" w:hAnsi="Calibri" w:cs="Times New Roman"/>
                <w:color w:val="000000"/>
                <w:sz w:val="20"/>
                <w:szCs w:val="20"/>
                <w:lang w:eastAsia="en-US"/>
              </w:rPr>
              <w:t>1.202%</w:t>
            </w:r>
          </w:p>
        </w:tc>
        <w:tc>
          <w:tcPr>
            <w:tcW w:w="901"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0"/>
                <w:szCs w:val="20"/>
                <w:lang w:eastAsia="en-US"/>
              </w:rPr>
            </w:pPr>
            <w:r w:rsidRPr="00345335">
              <w:rPr>
                <w:rFonts w:ascii="Calibri" w:eastAsia="Times New Roman" w:hAnsi="Calibri" w:cs="Times New Roman"/>
                <w:b/>
                <w:bCs/>
                <w:color w:val="000000"/>
                <w:sz w:val="20"/>
                <w:szCs w:val="20"/>
                <w:lang w:eastAsia="en-US"/>
              </w:rPr>
              <w:t>13.74</w:t>
            </w:r>
          </w:p>
        </w:tc>
        <w:tc>
          <w:tcPr>
            <w:tcW w:w="1112" w:type="dxa"/>
            <w:tcBorders>
              <w:top w:val="nil"/>
              <w:left w:val="nil"/>
              <w:bottom w:val="nil"/>
              <w:right w:val="single" w:sz="8" w:space="0" w:color="auto"/>
            </w:tcBorders>
            <w:shd w:val="clear" w:color="000000" w:fill="66FFFF"/>
            <w:noWrap/>
            <w:vAlign w:val="bottom"/>
            <w:hideMark/>
          </w:tcPr>
          <w:p w:rsidR="00345335" w:rsidRPr="00345335" w:rsidRDefault="00345335" w:rsidP="00345335">
            <w:pPr>
              <w:spacing w:after="0"/>
              <w:jc w:val="center"/>
              <w:rPr>
                <w:rFonts w:ascii="Calibri" w:eastAsia="Times New Roman" w:hAnsi="Calibri" w:cs="Times New Roman"/>
                <w:b/>
                <w:bCs/>
                <w:color w:val="000000"/>
                <w:sz w:val="20"/>
                <w:szCs w:val="20"/>
                <w:lang w:eastAsia="en-US"/>
              </w:rPr>
            </w:pPr>
            <w:r w:rsidRPr="00345335">
              <w:rPr>
                <w:rFonts w:ascii="Calibri" w:eastAsia="Times New Roman" w:hAnsi="Calibri" w:cs="Times New Roman"/>
                <w:b/>
                <w:bCs/>
                <w:color w:val="000000"/>
                <w:sz w:val="20"/>
                <w:szCs w:val="20"/>
                <w:lang w:eastAsia="en-US"/>
              </w:rPr>
              <w:t>6.68</w:t>
            </w:r>
          </w:p>
        </w:tc>
      </w:tr>
      <w:tr w:rsidR="00345335" w:rsidRPr="00345335" w:rsidTr="00345335">
        <w:trPr>
          <w:trHeight w:val="300"/>
        </w:trPr>
        <w:tc>
          <w:tcPr>
            <w:tcW w:w="1222" w:type="dxa"/>
            <w:tcBorders>
              <w:top w:val="nil"/>
              <w:left w:val="single" w:sz="8" w:space="0" w:color="auto"/>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0"/>
                <w:szCs w:val="20"/>
                <w:lang w:eastAsia="en-US"/>
              </w:rPr>
            </w:pPr>
            <w:r w:rsidRPr="00345335">
              <w:rPr>
                <w:rFonts w:ascii="Calibri" w:eastAsia="Times New Roman" w:hAnsi="Calibri" w:cs="Times New Roman"/>
                <w:b/>
                <w:bCs/>
                <w:color w:val="000000"/>
                <w:sz w:val="20"/>
                <w:szCs w:val="20"/>
                <w:lang w:eastAsia="en-US"/>
              </w:rPr>
              <w:t>60.01-70</w:t>
            </w:r>
          </w:p>
        </w:tc>
        <w:tc>
          <w:tcPr>
            <w:tcW w:w="1106"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color w:val="000000"/>
                <w:sz w:val="20"/>
                <w:szCs w:val="20"/>
                <w:lang w:eastAsia="en-US"/>
              </w:rPr>
            </w:pPr>
            <w:r w:rsidRPr="00345335">
              <w:rPr>
                <w:rFonts w:ascii="Calibri" w:eastAsia="Times New Roman" w:hAnsi="Calibri" w:cs="Times New Roman"/>
                <w:color w:val="000000"/>
                <w:sz w:val="20"/>
                <w:szCs w:val="20"/>
                <w:lang w:eastAsia="en-US"/>
              </w:rPr>
              <w:t>0.30%</w:t>
            </w:r>
          </w:p>
        </w:tc>
        <w:tc>
          <w:tcPr>
            <w:tcW w:w="901"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color w:val="000000"/>
                <w:sz w:val="20"/>
                <w:szCs w:val="20"/>
                <w:lang w:eastAsia="en-US"/>
              </w:rPr>
            </w:pPr>
            <w:r w:rsidRPr="00345335">
              <w:rPr>
                <w:rFonts w:ascii="Calibri" w:eastAsia="Times New Roman" w:hAnsi="Calibri" w:cs="Times New Roman"/>
                <w:color w:val="000000"/>
                <w:sz w:val="20"/>
                <w:szCs w:val="20"/>
                <w:lang w:eastAsia="en-US"/>
              </w:rPr>
              <w:t>0.00%</w:t>
            </w:r>
          </w:p>
        </w:tc>
        <w:tc>
          <w:tcPr>
            <w:tcW w:w="1112"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color w:val="000000"/>
                <w:sz w:val="20"/>
                <w:szCs w:val="20"/>
                <w:lang w:eastAsia="en-US"/>
              </w:rPr>
            </w:pPr>
            <w:r w:rsidRPr="00345335">
              <w:rPr>
                <w:rFonts w:ascii="Calibri" w:eastAsia="Times New Roman" w:hAnsi="Calibri" w:cs="Times New Roman"/>
                <w:color w:val="000000"/>
                <w:sz w:val="20"/>
                <w:szCs w:val="20"/>
                <w:lang w:eastAsia="en-US"/>
              </w:rPr>
              <w:t>0.250%</w:t>
            </w:r>
          </w:p>
        </w:tc>
        <w:tc>
          <w:tcPr>
            <w:tcW w:w="901"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color w:val="000000"/>
                <w:sz w:val="20"/>
                <w:szCs w:val="20"/>
                <w:lang w:eastAsia="en-US"/>
              </w:rPr>
            </w:pPr>
            <w:proofErr w:type="spellStart"/>
            <w:r w:rsidRPr="00345335">
              <w:rPr>
                <w:rFonts w:ascii="Calibri" w:eastAsia="Times New Roman" w:hAnsi="Calibri" w:cs="Times New Roman"/>
                <w:color w:val="000000"/>
                <w:sz w:val="20"/>
                <w:szCs w:val="20"/>
                <w:lang w:eastAsia="en-US"/>
              </w:rPr>
              <w:t>na</w:t>
            </w:r>
            <w:proofErr w:type="spellEnd"/>
          </w:p>
        </w:tc>
        <w:tc>
          <w:tcPr>
            <w:tcW w:w="1112" w:type="dxa"/>
            <w:tcBorders>
              <w:top w:val="nil"/>
              <w:left w:val="nil"/>
              <w:bottom w:val="nil"/>
              <w:right w:val="nil"/>
            </w:tcBorders>
            <w:shd w:val="clear" w:color="000000" w:fill="99FFCC"/>
            <w:noWrap/>
            <w:vAlign w:val="bottom"/>
            <w:hideMark/>
          </w:tcPr>
          <w:p w:rsidR="00345335" w:rsidRPr="00345335" w:rsidRDefault="00345335" w:rsidP="00345335">
            <w:pPr>
              <w:spacing w:after="0"/>
              <w:jc w:val="center"/>
              <w:rPr>
                <w:rFonts w:ascii="Calibri" w:eastAsia="Times New Roman" w:hAnsi="Calibri" w:cs="Times New Roman"/>
                <w:b/>
                <w:bCs/>
                <w:color w:val="000000"/>
                <w:sz w:val="20"/>
                <w:szCs w:val="20"/>
                <w:lang w:eastAsia="en-US"/>
              </w:rPr>
            </w:pPr>
            <w:r w:rsidRPr="00345335">
              <w:rPr>
                <w:rFonts w:ascii="Calibri" w:eastAsia="Times New Roman" w:hAnsi="Calibri" w:cs="Times New Roman"/>
                <w:b/>
                <w:bCs/>
                <w:color w:val="000000"/>
                <w:sz w:val="20"/>
                <w:szCs w:val="20"/>
                <w:lang w:eastAsia="en-US"/>
              </w:rPr>
              <w:t>0.83</w:t>
            </w:r>
          </w:p>
        </w:tc>
        <w:tc>
          <w:tcPr>
            <w:tcW w:w="901"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color w:val="000000"/>
                <w:sz w:val="20"/>
                <w:szCs w:val="20"/>
                <w:lang w:eastAsia="en-US"/>
              </w:rPr>
            </w:pPr>
            <w:r w:rsidRPr="00345335">
              <w:rPr>
                <w:rFonts w:ascii="Calibri" w:eastAsia="Times New Roman" w:hAnsi="Calibri" w:cs="Times New Roman"/>
                <w:color w:val="000000"/>
                <w:sz w:val="20"/>
                <w:szCs w:val="20"/>
                <w:lang w:eastAsia="en-US"/>
              </w:rPr>
              <w:t>2.478%</w:t>
            </w:r>
          </w:p>
        </w:tc>
        <w:tc>
          <w:tcPr>
            <w:tcW w:w="1112"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color w:val="000000"/>
                <w:sz w:val="20"/>
                <w:szCs w:val="20"/>
                <w:lang w:eastAsia="en-US"/>
              </w:rPr>
            </w:pPr>
            <w:r w:rsidRPr="00345335">
              <w:rPr>
                <w:rFonts w:ascii="Calibri" w:eastAsia="Times New Roman" w:hAnsi="Calibri" w:cs="Times New Roman"/>
                <w:color w:val="000000"/>
                <w:sz w:val="20"/>
                <w:szCs w:val="20"/>
                <w:lang w:eastAsia="en-US"/>
              </w:rPr>
              <w:t>1.433%</w:t>
            </w:r>
          </w:p>
        </w:tc>
        <w:tc>
          <w:tcPr>
            <w:tcW w:w="901"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0"/>
                <w:szCs w:val="20"/>
                <w:lang w:eastAsia="en-US"/>
              </w:rPr>
            </w:pPr>
            <w:r w:rsidRPr="00345335">
              <w:rPr>
                <w:rFonts w:ascii="Calibri" w:eastAsia="Times New Roman" w:hAnsi="Calibri" w:cs="Times New Roman"/>
                <w:b/>
                <w:bCs/>
                <w:color w:val="000000"/>
                <w:sz w:val="20"/>
                <w:szCs w:val="20"/>
                <w:lang w:eastAsia="en-US"/>
              </w:rPr>
              <w:t>8.26</w:t>
            </w:r>
          </w:p>
        </w:tc>
        <w:tc>
          <w:tcPr>
            <w:tcW w:w="1112" w:type="dxa"/>
            <w:tcBorders>
              <w:top w:val="nil"/>
              <w:left w:val="nil"/>
              <w:bottom w:val="nil"/>
              <w:right w:val="single" w:sz="8" w:space="0" w:color="auto"/>
            </w:tcBorders>
            <w:shd w:val="clear" w:color="000000" w:fill="66FFFF"/>
            <w:noWrap/>
            <w:vAlign w:val="bottom"/>
            <w:hideMark/>
          </w:tcPr>
          <w:p w:rsidR="00345335" w:rsidRPr="00345335" w:rsidRDefault="00345335" w:rsidP="00345335">
            <w:pPr>
              <w:spacing w:after="0"/>
              <w:jc w:val="center"/>
              <w:rPr>
                <w:rFonts w:ascii="Calibri" w:eastAsia="Times New Roman" w:hAnsi="Calibri" w:cs="Times New Roman"/>
                <w:b/>
                <w:bCs/>
                <w:color w:val="000000"/>
                <w:sz w:val="20"/>
                <w:szCs w:val="20"/>
                <w:lang w:eastAsia="en-US"/>
              </w:rPr>
            </w:pPr>
            <w:r w:rsidRPr="00345335">
              <w:rPr>
                <w:rFonts w:ascii="Calibri" w:eastAsia="Times New Roman" w:hAnsi="Calibri" w:cs="Times New Roman"/>
                <w:b/>
                <w:bCs/>
                <w:color w:val="000000"/>
                <w:sz w:val="20"/>
                <w:szCs w:val="20"/>
                <w:lang w:eastAsia="en-US"/>
              </w:rPr>
              <w:t>4.78</w:t>
            </w:r>
          </w:p>
        </w:tc>
      </w:tr>
      <w:tr w:rsidR="00345335" w:rsidRPr="00345335" w:rsidTr="00345335">
        <w:trPr>
          <w:trHeight w:val="300"/>
        </w:trPr>
        <w:tc>
          <w:tcPr>
            <w:tcW w:w="1222" w:type="dxa"/>
            <w:tcBorders>
              <w:top w:val="nil"/>
              <w:left w:val="single" w:sz="8" w:space="0" w:color="auto"/>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0"/>
                <w:szCs w:val="20"/>
                <w:lang w:eastAsia="en-US"/>
              </w:rPr>
            </w:pPr>
            <w:r w:rsidRPr="00345335">
              <w:rPr>
                <w:rFonts w:ascii="Calibri" w:eastAsia="Times New Roman" w:hAnsi="Calibri" w:cs="Times New Roman"/>
                <w:b/>
                <w:bCs/>
                <w:color w:val="000000"/>
                <w:sz w:val="20"/>
                <w:szCs w:val="20"/>
                <w:lang w:eastAsia="en-US"/>
              </w:rPr>
              <w:t>70.01-75</w:t>
            </w:r>
          </w:p>
        </w:tc>
        <w:tc>
          <w:tcPr>
            <w:tcW w:w="1106"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color w:val="000000"/>
                <w:sz w:val="20"/>
                <w:szCs w:val="20"/>
                <w:lang w:eastAsia="en-US"/>
              </w:rPr>
            </w:pPr>
            <w:r w:rsidRPr="00345335">
              <w:rPr>
                <w:rFonts w:ascii="Calibri" w:eastAsia="Times New Roman" w:hAnsi="Calibri" w:cs="Times New Roman"/>
                <w:color w:val="000000"/>
                <w:sz w:val="20"/>
                <w:szCs w:val="20"/>
                <w:lang w:eastAsia="en-US"/>
              </w:rPr>
              <w:t>0.60%</w:t>
            </w:r>
          </w:p>
        </w:tc>
        <w:tc>
          <w:tcPr>
            <w:tcW w:w="901"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color w:val="000000"/>
                <w:sz w:val="20"/>
                <w:szCs w:val="20"/>
                <w:lang w:eastAsia="en-US"/>
              </w:rPr>
            </w:pPr>
            <w:r w:rsidRPr="00345335">
              <w:rPr>
                <w:rFonts w:ascii="Calibri" w:eastAsia="Times New Roman" w:hAnsi="Calibri" w:cs="Times New Roman"/>
                <w:color w:val="000000"/>
                <w:sz w:val="20"/>
                <w:szCs w:val="20"/>
                <w:lang w:eastAsia="en-US"/>
              </w:rPr>
              <w:t>0.00%</w:t>
            </w:r>
          </w:p>
        </w:tc>
        <w:tc>
          <w:tcPr>
            <w:tcW w:w="1112"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color w:val="000000"/>
                <w:sz w:val="20"/>
                <w:szCs w:val="20"/>
                <w:lang w:eastAsia="en-US"/>
              </w:rPr>
            </w:pPr>
            <w:r w:rsidRPr="00345335">
              <w:rPr>
                <w:rFonts w:ascii="Calibri" w:eastAsia="Times New Roman" w:hAnsi="Calibri" w:cs="Times New Roman"/>
                <w:color w:val="000000"/>
                <w:sz w:val="20"/>
                <w:szCs w:val="20"/>
                <w:lang w:eastAsia="en-US"/>
              </w:rPr>
              <w:t>0.500%</w:t>
            </w:r>
          </w:p>
        </w:tc>
        <w:tc>
          <w:tcPr>
            <w:tcW w:w="901"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color w:val="000000"/>
                <w:sz w:val="20"/>
                <w:szCs w:val="20"/>
                <w:lang w:eastAsia="en-US"/>
              </w:rPr>
            </w:pPr>
            <w:proofErr w:type="spellStart"/>
            <w:r w:rsidRPr="00345335">
              <w:rPr>
                <w:rFonts w:ascii="Calibri" w:eastAsia="Times New Roman" w:hAnsi="Calibri" w:cs="Times New Roman"/>
                <w:color w:val="000000"/>
                <w:sz w:val="20"/>
                <w:szCs w:val="20"/>
                <w:lang w:eastAsia="en-US"/>
              </w:rPr>
              <w:t>na</w:t>
            </w:r>
            <w:proofErr w:type="spellEnd"/>
          </w:p>
        </w:tc>
        <w:tc>
          <w:tcPr>
            <w:tcW w:w="1112" w:type="dxa"/>
            <w:tcBorders>
              <w:top w:val="nil"/>
              <w:left w:val="nil"/>
              <w:bottom w:val="nil"/>
              <w:right w:val="nil"/>
            </w:tcBorders>
            <w:shd w:val="clear" w:color="000000" w:fill="99FFCC"/>
            <w:noWrap/>
            <w:vAlign w:val="bottom"/>
            <w:hideMark/>
          </w:tcPr>
          <w:p w:rsidR="00345335" w:rsidRPr="00345335" w:rsidRDefault="00345335" w:rsidP="00345335">
            <w:pPr>
              <w:spacing w:after="0"/>
              <w:jc w:val="center"/>
              <w:rPr>
                <w:rFonts w:ascii="Calibri" w:eastAsia="Times New Roman" w:hAnsi="Calibri" w:cs="Times New Roman"/>
                <w:b/>
                <w:bCs/>
                <w:color w:val="000000"/>
                <w:sz w:val="20"/>
                <w:szCs w:val="20"/>
                <w:lang w:eastAsia="en-US"/>
              </w:rPr>
            </w:pPr>
            <w:r w:rsidRPr="00345335">
              <w:rPr>
                <w:rFonts w:ascii="Calibri" w:eastAsia="Times New Roman" w:hAnsi="Calibri" w:cs="Times New Roman"/>
                <w:b/>
                <w:bCs/>
                <w:color w:val="000000"/>
                <w:sz w:val="20"/>
                <w:szCs w:val="20"/>
                <w:lang w:eastAsia="en-US"/>
              </w:rPr>
              <w:t>0.83</w:t>
            </w:r>
          </w:p>
        </w:tc>
        <w:tc>
          <w:tcPr>
            <w:tcW w:w="901"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color w:val="000000"/>
                <w:sz w:val="20"/>
                <w:szCs w:val="20"/>
                <w:lang w:eastAsia="en-US"/>
              </w:rPr>
            </w:pPr>
            <w:r w:rsidRPr="00345335">
              <w:rPr>
                <w:rFonts w:ascii="Calibri" w:eastAsia="Times New Roman" w:hAnsi="Calibri" w:cs="Times New Roman"/>
                <w:color w:val="000000"/>
                <w:sz w:val="20"/>
                <w:szCs w:val="20"/>
                <w:lang w:eastAsia="en-US"/>
              </w:rPr>
              <w:t>2.517%</w:t>
            </w:r>
          </w:p>
        </w:tc>
        <w:tc>
          <w:tcPr>
            <w:tcW w:w="1112"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color w:val="000000"/>
                <w:sz w:val="20"/>
                <w:szCs w:val="20"/>
                <w:lang w:eastAsia="en-US"/>
              </w:rPr>
            </w:pPr>
            <w:r w:rsidRPr="00345335">
              <w:rPr>
                <w:rFonts w:ascii="Calibri" w:eastAsia="Times New Roman" w:hAnsi="Calibri" w:cs="Times New Roman"/>
                <w:color w:val="000000"/>
                <w:sz w:val="20"/>
                <w:szCs w:val="20"/>
                <w:lang w:eastAsia="en-US"/>
              </w:rPr>
              <w:t>1.702%</w:t>
            </w:r>
          </w:p>
        </w:tc>
        <w:tc>
          <w:tcPr>
            <w:tcW w:w="901"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0"/>
                <w:szCs w:val="20"/>
                <w:lang w:eastAsia="en-US"/>
              </w:rPr>
            </w:pPr>
            <w:r w:rsidRPr="00345335">
              <w:rPr>
                <w:rFonts w:ascii="Calibri" w:eastAsia="Times New Roman" w:hAnsi="Calibri" w:cs="Times New Roman"/>
                <w:b/>
                <w:bCs/>
                <w:color w:val="000000"/>
                <w:sz w:val="20"/>
                <w:szCs w:val="20"/>
                <w:lang w:eastAsia="en-US"/>
              </w:rPr>
              <w:t>4.19</w:t>
            </w:r>
          </w:p>
        </w:tc>
        <w:tc>
          <w:tcPr>
            <w:tcW w:w="1112" w:type="dxa"/>
            <w:tcBorders>
              <w:top w:val="nil"/>
              <w:left w:val="nil"/>
              <w:bottom w:val="nil"/>
              <w:right w:val="single" w:sz="8" w:space="0" w:color="auto"/>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0"/>
                <w:szCs w:val="20"/>
                <w:lang w:eastAsia="en-US"/>
              </w:rPr>
            </w:pPr>
            <w:r w:rsidRPr="00345335">
              <w:rPr>
                <w:rFonts w:ascii="Calibri" w:eastAsia="Times New Roman" w:hAnsi="Calibri" w:cs="Times New Roman"/>
                <w:b/>
                <w:bCs/>
                <w:color w:val="000000"/>
                <w:sz w:val="20"/>
                <w:szCs w:val="20"/>
                <w:lang w:eastAsia="en-US"/>
              </w:rPr>
              <w:t>2.84</w:t>
            </w:r>
          </w:p>
        </w:tc>
      </w:tr>
      <w:tr w:rsidR="00345335" w:rsidRPr="00345335" w:rsidTr="00345335">
        <w:trPr>
          <w:trHeight w:val="300"/>
        </w:trPr>
        <w:tc>
          <w:tcPr>
            <w:tcW w:w="1222" w:type="dxa"/>
            <w:tcBorders>
              <w:top w:val="nil"/>
              <w:left w:val="single" w:sz="8" w:space="0" w:color="auto"/>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0"/>
                <w:szCs w:val="20"/>
                <w:lang w:eastAsia="en-US"/>
              </w:rPr>
            </w:pPr>
            <w:r w:rsidRPr="00345335">
              <w:rPr>
                <w:rFonts w:ascii="Calibri" w:eastAsia="Times New Roman" w:hAnsi="Calibri" w:cs="Times New Roman"/>
                <w:b/>
                <w:bCs/>
                <w:color w:val="000000"/>
                <w:sz w:val="20"/>
                <w:szCs w:val="20"/>
                <w:lang w:eastAsia="en-US"/>
              </w:rPr>
              <w:t>75.01-80</w:t>
            </w:r>
          </w:p>
        </w:tc>
        <w:tc>
          <w:tcPr>
            <w:tcW w:w="1106" w:type="dxa"/>
            <w:tcBorders>
              <w:top w:val="nil"/>
              <w:left w:val="nil"/>
              <w:bottom w:val="nil"/>
              <w:right w:val="nil"/>
            </w:tcBorders>
            <w:shd w:val="clear" w:color="000000" w:fill="FFFF00"/>
            <w:noWrap/>
            <w:vAlign w:val="bottom"/>
            <w:hideMark/>
          </w:tcPr>
          <w:p w:rsidR="00345335" w:rsidRPr="00345335" w:rsidRDefault="00345335" w:rsidP="00345335">
            <w:pPr>
              <w:spacing w:after="0"/>
              <w:jc w:val="center"/>
              <w:rPr>
                <w:rFonts w:ascii="Calibri" w:eastAsia="Times New Roman" w:hAnsi="Calibri" w:cs="Times New Roman"/>
                <w:b/>
                <w:bCs/>
                <w:color w:val="000000"/>
                <w:sz w:val="20"/>
                <w:szCs w:val="20"/>
                <w:lang w:eastAsia="en-US"/>
              </w:rPr>
            </w:pPr>
            <w:r w:rsidRPr="00345335">
              <w:rPr>
                <w:rFonts w:ascii="Calibri" w:eastAsia="Times New Roman" w:hAnsi="Calibri" w:cs="Times New Roman"/>
                <w:b/>
                <w:bCs/>
                <w:color w:val="000000"/>
                <w:sz w:val="20"/>
                <w:szCs w:val="20"/>
                <w:lang w:eastAsia="en-US"/>
              </w:rPr>
              <w:t>0.70%</w:t>
            </w:r>
          </w:p>
        </w:tc>
        <w:tc>
          <w:tcPr>
            <w:tcW w:w="901"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color w:val="000000"/>
                <w:sz w:val="20"/>
                <w:szCs w:val="20"/>
                <w:lang w:eastAsia="en-US"/>
              </w:rPr>
            </w:pPr>
            <w:r w:rsidRPr="00345335">
              <w:rPr>
                <w:rFonts w:ascii="Calibri" w:eastAsia="Times New Roman" w:hAnsi="Calibri" w:cs="Times New Roman"/>
                <w:color w:val="000000"/>
                <w:sz w:val="20"/>
                <w:szCs w:val="20"/>
                <w:lang w:eastAsia="en-US"/>
              </w:rPr>
              <w:t>0.25%</w:t>
            </w:r>
          </w:p>
        </w:tc>
        <w:tc>
          <w:tcPr>
            <w:tcW w:w="1112"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color w:val="000000"/>
                <w:sz w:val="20"/>
                <w:szCs w:val="20"/>
                <w:lang w:eastAsia="en-US"/>
              </w:rPr>
            </w:pPr>
            <w:r w:rsidRPr="00345335">
              <w:rPr>
                <w:rFonts w:ascii="Calibri" w:eastAsia="Times New Roman" w:hAnsi="Calibri" w:cs="Times New Roman"/>
                <w:color w:val="000000"/>
                <w:sz w:val="20"/>
                <w:szCs w:val="20"/>
                <w:lang w:eastAsia="en-US"/>
              </w:rPr>
              <w:t>0.750%</w:t>
            </w:r>
          </w:p>
        </w:tc>
        <w:tc>
          <w:tcPr>
            <w:tcW w:w="901"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color w:val="000000"/>
                <w:sz w:val="20"/>
                <w:szCs w:val="20"/>
                <w:lang w:eastAsia="en-US"/>
              </w:rPr>
            </w:pPr>
            <w:r w:rsidRPr="00345335">
              <w:rPr>
                <w:rFonts w:ascii="Calibri" w:eastAsia="Times New Roman" w:hAnsi="Calibri" w:cs="Times New Roman"/>
                <w:color w:val="000000"/>
                <w:sz w:val="20"/>
                <w:szCs w:val="20"/>
                <w:lang w:eastAsia="en-US"/>
              </w:rPr>
              <w:t>0.36</w:t>
            </w:r>
          </w:p>
        </w:tc>
        <w:tc>
          <w:tcPr>
            <w:tcW w:w="1112" w:type="dxa"/>
            <w:tcBorders>
              <w:top w:val="nil"/>
              <w:left w:val="nil"/>
              <w:bottom w:val="nil"/>
              <w:right w:val="nil"/>
            </w:tcBorders>
            <w:shd w:val="clear" w:color="000000" w:fill="99FFCC"/>
            <w:noWrap/>
            <w:vAlign w:val="bottom"/>
            <w:hideMark/>
          </w:tcPr>
          <w:p w:rsidR="00345335" w:rsidRPr="00345335" w:rsidRDefault="00345335" w:rsidP="00345335">
            <w:pPr>
              <w:spacing w:after="0"/>
              <w:jc w:val="center"/>
              <w:rPr>
                <w:rFonts w:ascii="Calibri" w:eastAsia="Times New Roman" w:hAnsi="Calibri" w:cs="Times New Roman"/>
                <w:b/>
                <w:bCs/>
                <w:color w:val="000000"/>
                <w:sz w:val="20"/>
                <w:szCs w:val="20"/>
                <w:lang w:eastAsia="en-US"/>
              </w:rPr>
            </w:pPr>
            <w:r w:rsidRPr="00345335">
              <w:rPr>
                <w:rFonts w:ascii="Calibri" w:eastAsia="Times New Roman" w:hAnsi="Calibri" w:cs="Times New Roman"/>
                <w:b/>
                <w:bCs/>
                <w:color w:val="000000"/>
                <w:sz w:val="20"/>
                <w:szCs w:val="20"/>
                <w:lang w:eastAsia="en-US"/>
              </w:rPr>
              <w:t>1.07</w:t>
            </w:r>
          </w:p>
        </w:tc>
        <w:tc>
          <w:tcPr>
            <w:tcW w:w="901"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color w:val="000000"/>
                <w:sz w:val="20"/>
                <w:szCs w:val="20"/>
                <w:lang w:eastAsia="en-US"/>
              </w:rPr>
            </w:pPr>
            <w:r w:rsidRPr="00345335">
              <w:rPr>
                <w:rFonts w:ascii="Calibri" w:eastAsia="Times New Roman" w:hAnsi="Calibri" w:cs="Times New Roman"/>
                <w:color w:val="000000"/>
                <w:sz w:val="20"/>
                <w:szCs w:val="20"/>
                <w:lang w:eastAsia="en-US"/>
              </w:rPr>
              <w:t>2.806%</w:t>
            </w:r>
          </w:p>
        </w:tc>
        <w:tc>
          <w:tcPr>
            <w:tcW w:w="1112" w:type="dxa"/>
            <w:tcBorders>
              <w:top w:val="nil"/>
              <w:left w:val="nil"/>
              <w:bottom w:val="nil"/>
              <w:right w:val="nil"/>
            </w:tcBorders>
            <w:shd w:val="clear" w:color="000000" w:fill="FFFF00"/>
            <w:noWrap/>
            <w:vAlign w:val="bottom"/>
            <w:hideMark/>
          </w:tcPr>
          <w:p w:rsidR="00345335" w:rsidRPr="00345335" w:rsidRDefault="00345335" w:rsidP="00345335">
            <w:pPr>
              <w:spacing w:after="0"/>
              <w:jc w:val="center"/>
              <w:rPr>
                <w:rFonts w:ascii="Calibri" w:eastAsia="Times New Roman" w:hAnsi="Calibri" w:cs="Times New Roman"/>
                <w:b/>
                <w:bCs/>
                <w:color w:val="000000"/>
                <w:sz w:val="20"/>
                <w:szCs w:val="20"/>
                <w:lang w:eastAsia="en-US"/>
              </w:rPr>
            </w:pPr>
            <w:r w:rsidRPr="00345335">
              <w:rPr>
                <w:rFonts w:ascii="Calibri" w:eastAsia="Times New Roman" w:hAnsi="Calibri" w:cs="Times New Roman"/>
                <w:b/>
                <w:bCs/>
                <w:color w:val="000000"/>
                <w:sz w:val="20"/>
                <w:szCs w:val="20"/>
                <w:lang w:eastAsia="en-US"/>
              </w:rPr>
              <w:t>1.970%</w:t>
            </w:r>
          </w:p>
        </w:tc>
        <w:tc>
          <w:tcPr>
            <w:tcW w:w="901"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0"/>
                <w:szCs w:val="20"/>
                <w:lang w:eastAsia="en-US"/>
              </w:rPr>
            </w:pPr>
            <w:r w:rsidRPr="00345335">
              <w:rPr>
                <w:rFonts w:ascii="Calibri" w:eastAsia="Times New Roman" w:hAnsi="Calibri" w:cs="Times New Roman"/>
                <w:b/>
                <w:bCs/>
                <w:color w:val="000000"/>
                <w:sz w:val="20"/>
                <w:szCs w:val="20"/>
                <w:lang w:eastAsia="en-US"/>
              </w:rPr>
              <w:t>4.01</w:t>
            </w:r>
          </w:p>
        </w:tc>
        <w:tc>
          <w:tcPr>
            <w:tcW w:w="1112" w:type="dxa"/>
            <w:tcBorders>
              <w:top w:val="nil"/>
              <w:left w:val="nil"/>
              <w:bottom w:val="nil"/>
              <w:right w:val="single" w:sz="8" w:space="0" w:color="auto"/>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0"/>
                <w:szCs w:val="20"/>
                <w:lang w:eastAsia="en-US"/>
              </w:rPr>
            </w:pPr>
            <w:r w:rsidRPr="00345335">
              <w:rPr>
                <w:rFonts w:ascii="Calibri" w:eastAsia="Times New Roman" w:hAnsi="Calibri" w:cs="Times New Roman"/>
                <w:b/>
                <w:bCs/>
                <w:color w:val="000000"/>
                <w:sz w:val="20"/>
                <w:szCs w:val="20"/>
                <w:lang w:eastAsia="en-US"/>
              </w:rPr>
              <w:t>2.81</w:t>
            </w:r>
          </w:p>
        </w:tc>
      </w:tr>
      <w:tr w:rsidR="00345335" w:rsidRPr="00345335" w:rsidTr="00345335">
        <w:trPr>
          <w:trHeight w:val="300"/>
        </w:trPr>
        <w:tc>
          <w:tcPr>
            <w:tcW w:w="1222" w:type="dxa"/>
            <w:tcBorders>
              <w:top w:val="nil"/>
              <w:left w:val="single" w:sz="8" w:space="0" w:color="auto"/>
              <w:bottom w:val="nil"/>
              <w:right w:val="nil"/>
            </w:tcBorders>
            <w:shd w:val="clear" w:color="auto" w:fill="auto"/>
            <w:noWrap/>
            <w:vAlign w:val="bottom"/>
            <w:hideMark/>
          </w:tcPr>
          <w:p w:rsidR="00345335" w:rsidRPr="00345335" w:rsidRDefault="00345335" w:rsidP="00345335">
            <w:pPr>
              <w:spacing w:after="0"/>
              <w:rPr>
                <w:rFonts w:ascii="Calibri" w:eastAsia="Times New Roman" w:hAnsi="Calibri" w:cs="Times New Roman"/>
                <w:color w:val="000000"/>
                <w:sz w:val="20"/>
                <w:szCs w:val="20"/>
                <w:lang w:eastAsia="en-US"/>
              </w:rPr>
            </w:pPr>
            <w:r w:rsidRPr="00345335">
              <w:rPr>
                <w:rFonts w:ascii="Calibri" w:eastAsia="Times New Roman" w:hAnsi="Calibri" w:cs="Times New Roman"/>
                <w:color w:val="000000"/>
                <w:sz w:val="20"/>
                <w:szCs w:val="20"/>
                <w:lang w:eastAsia="en-US"/>
              </w:rPr>
              <w:t> </w:t>
            </w:r>
          </w:p>
        </w:tc>
        <w:tc>
          <w:tcPr>
            <w:tcW w:w="1106" w:type="dxa"/>
            <w:tcBorders>
              <w:top w:val="nil"/>
              <w:left w:val="nil"/>
              <w:bottom w:val="nil"/>
              <w:right w:val="nil"/>
            </w:tcBorders>
            <w:shd w:val="clear" w:color="auto" w:fill="auto"/>
            <w:noWrap/>
            <w:vAlign w:val="bottom"/>
            <w:hideMark/>
          </w:tcPr>
          <w:p w:rsidR="00345335" w:rsidRPr="00345335" w:rsidRDefault="00345335" w:rsidP="00345335">
            <w:pPr>
              <w:spacing w:after="0"/>
              <w:rPr>
                <w:rFonts w:ascii="Calibri" w:eastAsia="Times New Roman" w:hAnsi="Calibri" w:cs="Times New Roman"/>
                <w:color w:val="000000"/>
                <w:sz w:val="20"/>
                <w:szCs w:val="20"/>
                <w:lang w:eastAsia="en-US"/>
              </w:rPr>
            </w:pPr>
          </w:p>
        </w:tc>
        <w:tc>
          <w:tcPr>
            <w:tcW w:w="901"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color w:val="000000"/>
                <w:sz w:val="20"/>
                <w:szCs w:val="20"/>
                <w:lang w:eastAsia="en-US"/>
              </w:rPr>
            </w:pPr>
          </w:p>
        </w:tc>
        <w:tc>
          <w:tcPr>
            <w:tcW w:w="1112" w:type="dxa"/>
            <w:tcBorders>
              <w:top w:val="nil"/>
              <w:left w:val="nil"/>
              <w:bottom w:val="nil"/>
              <w:right w:val="nil"/>
            </w:tcBorders>
            <w:shd w:val="clear" w:color="auto" w:fill="auto"/>
            <w:noWrap/>
            <w:vAlign w:val="bottom"/>
            <w:hideMark/>
          </w:tcPr>
          <w:p w:rsidR="00345335" w:rsidRPr="00345335" w:rsidRDefault="00345335" w:rsidP="00345335">
            <w:pPr>
              <w:spacing w:after="0"/>
              <w:rPr>
                <w:rFonts w:ascii="Calibri" w:eastAsia="Times New Roman" w:hAnsi="Calibri" w:cs="Times New Roman"/>
                <w:color w:val="000000"/>
                <w:sz w:val="20"/>
                <w:szCs w:val="20"/>
                <w:lang w:eastAsia="en-US"/>
              </w:rPr>
            </w:pPr>
          </w:p>
        </w:tc>
        <w:tc>
          <w:tcPr>
            <w:tcW w:w="901"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color w:val="000000"/>
                <w:sz w:val="20"/>
                <w:szCs w:val="20"/>
                <w:lang w:eastAsia="en-US"/>
              </w:rPr>
            </w:pPr>
          </w:p>
        </w:tc>
        <w:tc>
          <w:tcPr>
            <w:tcW w:w="1112"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0"/>
                <w:szCs w:val="20"/>
                <w:lang w:eastAsia="en-US"/>
              </w:rPr>
            </w:pPr>
          </w:p>
        </w:tc>
        <w:tc>
          <w:tcPr>
            <w:tcW w:w="901"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color w:val="000000"/>
                <w:sz w:val="20"/>
                <w:szCs w:val="20"/>
                <w:lang w:eastAsia="en-US"/>
              </w:rPr>
            </w:pPr>
          </w:p>
        </w:tc>
        <w:tc>
          <w:tcPr>
            <w:tcW w:w="1112" w:type="dxa"/>
            <w:tcBorders>
              <w:top w:val="nil"/>
              <w:left w:val="nil"/>
              <w:bottom w:val="nil"/>
              <w:right w:val="nil"/>
            </w:tcBorders>
            <w:shd w:val="clear" w:color="auto" w:fill="auto"/>
            <w:noWrap/>
            <w:vAlign w:val="bottom"/>
            <w:hideMark/>
          </w:tcPr>
          <w:p w:rsidR="00345335" w:rsidRPr="00345335" w:rsidRDefault="00345335" w:rsidP="00345335">
            <w:pPr>
              <w:spacing w:after="0"/>
              <w:rPr>
                <w:rFonts w:ascii="Calibri" w:eastAsia="Times New Roman" w:hAnsi="Calibri" w:cs="Times New Roman"/>
                <w:color w:val="000000"/>
                <w:sz w:val="20"/>
                <w:szCs w:val="20"/>
                <w:lang w:eastAsia="en-US"/>
              </w:rPr>
            </w:pPr>
          </w:p>
        </w:tc>
        <w:tc>
          <w:tcPr>
            <w:tcW w:w="901"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0"/>
                <w:szCs w:val="20"/>
                <w:lang w:eastAsia="en-US"/>
              </w:rPr>
            </w:pPr>
          </w:p>
        </w:tc>
        <w:tc>
          <w:tcPr>
            <w:tcW w:w="1112" w:type="dxa"/>
            <w:tcBorders>
              <w:top w:val="nil"/>
              <w:left w:val="nil"/>
              <w:bottom w:val="nil"/>
              <w:right w:val="single" w:sz="8" w:space="0" w:color="auto"/>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0"/>
                <w:szCs w:val="20"/>
                <w:lang w:eastAsia="en-US"/>
              </w:rPr>
            </w:pPr>
            <w:r w:rsidRPr="00345335">
              <w:rPr>
                <w:rFonts w:ascii="Calibri" w:eastAsia="Times New Roman" w:hAnsi="Calibri" w:cs="Times New Roman"/>
                <w:b/>
                <w:bCs/>
                <w:color w:val="000000"/>
                <w:sz w:val="20"/>
                <w:szCs w:val="20"/>
                <w:lang w:eastAsia="en-US"/>
              </w:rPr>
              <w:t> </w:t>
            </w:r>
          </w:p>
        </w:tc>
      </w:tr>
      <w:tr w:rsidR="00345335" w:rsidRPr="00345335" w:rsidTr="00345335">
        <w:trPr>
          <w:trHeight w:val="300"/>
        </w:trPr>
        <w:tc>
          <w:tcPr>
            <w:tcW w:w="10380" w:type="dxa"/>
            <w:gridSpan w:val="10"/>
            <w:tcBorders>
              <w:top w:val="nil"/>
              <w:left w:val="single" w:sz="8" w:space="0" w:color="auto"/>
              <w:bottom w:val="nil"/>
              <w:right w:val="single" w:sz="8" w:space="0" w:color="000000"/>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0"/>
                <w:szCs w:val="20"/>
                <w:lang w:eastAsia="en-US"/>
              </w:rPr>
            </w:pPr>
            <w:r w:rsidRPr="00345335">
              <w:rPr>
                <w:rFonts w:ascii="Calibri" w:eastAsia="Times New Roman" w:hAnsi="Calibri" w:cs="Times New Roman"/>
                <w:b/>
                <w:bCs/>
                <w:color w:val="000000"/>
                <w:sz w:val="20"/>
                <w:szCs w:val="20"/>
                <w:lang w:eastAsia="en-US"/>
              </w:rPr>
              <w:t>Losses Net Of Standard MI Coverage</w:t>
            </w:r>
          </w:p>
        </w:tc>
      </w:tr>
      <w:tr w:rsidR="00345335" w:rsidRPr="00345335" w:rsidTr="00345335">
        <w:trPr>
          <w:trHeight w:val="300"/>
        </w:trPr>
        <w:tc>
          <w:tcPr>
            <w:tcW w:w="1222" w:type="dxa"/>
            <w:tcBorders>
              <w:top w:val="nil"/>
              <w:left w:val="single" w:sz="8" w:space="0" w:color="auto"/>
              <w:bottom w:val="nil"/>
              <w:right w:val="nil"/>
            </w:tcBorders>
            <w:shd w:val="clear" w:color="auto" w:fill="auto"/>
            <w:noWrap/>
            <w:vAlign w:val="bottom"/>
            <w:hideMark/>
          </w:tcPr>
          <w:p w:rsidR="00345335" w:rsidRPr="00345335" w:rsidRDefault="00345335" w:rsidP="00345335">
            <w:pPr>
              <w:spacing w:after="0"/>
              <w:rPr>
                <w:rFonts w:ascii="Calibri" w:eastAsia="Times New Roman" w:hAnsi="Calibri" w:cs="Times New Roman"/>
                <w:color w:val="000000"/>
                <w:sz w:val="20"/>
                <w:szCs w:val="20"/>
                <w:lang w:eastAsia="en-US"/>
              </w:rPr>
            </w:pPr>
            <w:r w:rsidRPr="00345335">
              <w:rPr>
                <w:rFonts w:ascii="Calibri" w:eastAsia="Times New Roman" w:hAnsi="Calibri" w:cs="Times New Roman"/>
                <w:color w:val="000000"/>
                <w:sz w:val="20"/>
                <w:szCs w:val="20"/>
                <w:lang w:eastAsia="en-US"/>
              </w:rPr>
              <w:t> </w:t>
            </w:r>
          </w:p>
        </w:tc>
        <w:tc>
          <w:tcPr>
            <w:tcW w:w="1106" w:type="dxa"/>
            <w:tcBorders>
              <w:top w:val="nil"/>
              <w:left w:val="nil"/>
              <w:bottom w:val="nil"/>
              <w:right w:val="nil"/>
            </w:tcBorders>
            <w:shd w:val="clear" w:color="auto" w:fill="auto"/>
            <w:noWrap/>
            <w:vAlign w:val="bottom"/>
            <w:hideMark/>
          </w:tcPr>
          <w:p w:rsidR="00345335" w:rsidRPr="00345335" w:rsidRDefault="00345335" w:rsidP="00345335">
            <w:pPr>
              <w:spacing w:after="0"/>
              <w:rPr>
                <w:rFonts w:ascii="Calibri" w:eastAsia="Times New Roman" w:hAnsi="Calibri" w:cs="Times New Roman"/>
                <w:color w:val="000000"/>
                <w:sz w:val="20"/>
                <w:szCs w:val="20"/>
                <w:lang w:eastAsia="en-US"/>
              </w:rPr>
            </w:pPr>
          </w:p>
        </w:tc>
        <w:tc>
          <w:tcPr>
            <w:tcW w:w="901"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color w:val="000000"/>
                <w:sz w:val="20"/>
                <w:szCs w:val="20"/>
                <w:lang w:eastAsia="en-US"/>
              </w:rPr>
            </w:pPr>
          </w:p>
        </w:tc>
        <w:tc>
          <w:tcPr>
            <w:tcW w:w="1112" w:type="dxa"/>
            <w:tcBorders>
              <w:top w:val="nil"/>
              <w:left w:val="nil"/>
              <w:bottom w:val="nil"/>
              <w:right w:val="nil"/>
            </w:tcBorders>
            <w:shd w:val="clear" w:color="auto" w:fill="auto"/>
            <w:noWrap/>
            <w:vAlign w:val="bottom"/>
            <w:hideMark/>
          </w:tcPr>
          <w:p w:rsidR="00345335" w:rsidRPr="00345335" w:rsidRDefault="00345335" w:rsidP="00345335">
            <w:pPr>
              <w:spacing w:after="0"/>
              <w:rPr>
                <w:rFonts w:ascii="Calibri" w:eastAsia="Times New Roman" w:hAnsi="Calibri" w:cs="Times New Roman"/>
                <w:color w:val="000000"/>
                <w:sz w:val="20"/>
                <w:szCs w:val="20"/>
                <w:lang w:eastAsia="en-US"/>
              </w:rPr>
            </w:pPr>
          </w:p>
        </w:tc>
        <w:tc>
          <w:tcPr>
            <w:tcW w:w="901"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color w:val="000000"/>
                <w:sz w:val="20"/>
                <w:szCs w:val="20"/>
                <w:lang w:eastAsia="en-US"/>
              </w:rPr>
            </w:pPr>
          </w:p>
        </w:tc>
        <w:tc>
          <w:tcPr>
            <w:tcW w:w="1112"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0"/>
                <w:szCs w:val="20"/>
                <w:lang w:eastAsia="en-US"/>
              </w:rPr>
            </w:pPr>
          </w:p>
        </w:tc>
        <w:tc>
          <w:tcPr>
            <w:tcW w:w="901"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color w:val="000000"/>
                <w:sz w:val="20"/>
                <w:szCs w:val="20"/>
                <w:lang w:eastAsia="en-US"/>
              </w:rPr>
            </w:pPr>
          </w:p>
        </w:tc>
        <w:tc>
          <w:tcPr>
            <w:tcW w:w="1112" w:type="dxa"/>
            <w:tcBorders>
              <w:top w:val="nil"/>
              <w:left w:val="nil"/>
              <w:bottom w:val="nil"/>
              <w:right w:val="nil"/>
            </w:tcBorders>
            <w:shd w:val="clear" w:color="auto" w:fill="auto"/>
            <w:noWrap/>
            <w:vAlign w:val="bottom"/>
            <w:hideMark/>
          </w:tcPr>
          <w:p w:rsidR="00345335" w:rsidRPr="00345335" w:rsidRDefault="00345335" w:rsidP="00345335">
            <w:pPr>
              <w:spacing w:after="0"/>
              <w:rPr>
                <w:rFonts w:ascii="Calibri" w:eastAsia="Times New Roman" w:hAnsi="Calibri" w:cs="Times New Roman"/>
                <w:color w:val="000000"/>
                <w:sz w:val="20"/>
                <w:szCs w:val="20"/>
                <w:lang w:eastAsia="en-US"/>
              </w:rPr>
            </w:pPr>
          </w:p>
        </w:tc>
        <w:tc>
          <w:tcPr>
            <w:tcW w:w="901"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0"/>
                <w:szCs w:val="20"/>
                <w:lang w:eastAsia="en-US"/>
              </w:rPr>
            </w:pPr>
          </w:p>
        </w:tc>
        <w:tc>
          <w:tcPr>
            <w:tcW w:w="1112" w:type="dxa"/>
            <w:tcBorders>
              <w:top w:val="nil"/>
              <w:left w:val="nil"/>
              <w:bottom w:val="nil"/>
              <w:right w:val="single" w:sz="8" w:space="0" w:color="auto"/>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0"/>
                <w:szCs w:val="20"/>
                <w:lang w:eastAsia="en-US"/>
              </w:rPr>
            </w:pPr>
            <w:r w:rsidRPr="00345335">
              <w:rPr>
                <w:rFonts w:ascii="Calibri" w:eastAsia="Times New Roman" w:hAnsi="Calibri" w:cs="Times New Roman"/>
                <w:b/>
                <w:bCs/>
                <w:color w:val="000000"/>
                <w:sz w:val="20"/>
                <w:szCs w:val="20"/>
                <w:lang w:eastAsia="en-US"/>
              </w:rPr>
              <w:t> </w:t>
            </w:r>
          </w:p>
        </w:tc>
      </w:tr>
      <w:tr w:rsidR="00345335" w:rsidRPr="00345335" w:rsidTr="00345335">
        <w:trPr>
          <w:trHeight w:val="300"/>
        </w:trPr>
        <w:tc>
          <w:tcPr>
            <w:tcW w:w="1222" w:type="dxa"/>
            <w:tcBorders>
              <w:top w:val="nil"/>
              <w:left w:val="single" w:sz="8" w:space="0" w:color="auto"/>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0"/>
                <w:szCs w:val="20"/>
                <w:lang w:eastAsia="en-US"/>
              </w:rPr>
            </w:pPr>
            <w:r w:rsidRPr="00345335">
              <w:rPr>
                <w:rFonts w:ascii="Calibri" w:eastAsia="Times New Roman" w:hAnsi="Calibri" w:cs="Times New Roman"/>
                <w:b/>
                <w:bCs/>
                <w:color w:val="000000"/>
                <w:sz w:val="20"/>
                <w:szCs w:val="20"/>
                <w:lang w:eastAsia="en-US"/>
              </w:rPr>
              <w:t>80.01-85</w:t>
            </w:r>
          </w:p>
        </w:tc>
        <w:tc>
          <w:tcPr>
            <w:tcW w:w="1106" w:type="dxa"/>
            <w:tcBorders>
              <w:top w:val="nil"/>
              <w:left w:val="nil"/>
              <w:bottom w:val="nil"/>
              <w:right w:val="nil"/>
            </w:tcBorders>
            <w:shd w:val="clear" w:color="000000" w:fill="FFFF00"/>
            <w:noWrap/>
            <w:vAlign w:val="bottom"/>
            <w:hideMark/>
          </w:tcPr>
          <w:p w:rsidR="00345335" w:rsidRPr="00345335" w:rsidRDefault="00345335" w:rsidP="00345335">
            <w:pPr>
              <w:spacing w:after="0"/>
              <w:jc w:val="center"/>
              <w:rPr>
                <w:rFonts w:ascii="Calibri" w:eastAsia="Times New Roman" w:hAnsi="Calibri" w:cs="Times New Roman"/>
                <w:b/>
                <w:bCs/>
                <w:color w:val="000000"/>
                <w:sz w:val="20"/>
                <w:szCs w:val="20"/>
                <w:lang w:eastAsia="en-US"/>
              </w:rPr>
            </w:pPr>
            <w:r w:rsidRPr="00345335">
              <w:rPr>
                <w:rFonts w:ascii="Calibri" w:eastAsia="Times New Roman" w:hAnsi="Calibri" w:cs="Times New Roman"/>
                <w:b/>
                <w:bCs/>
                <w:color w:val="000000"/>
                <w:sz w:val="20"/>
                <w:szCs w:val="20"/>
                <w:lang w:eastAsia="en-US"/>
              </w:rPr>
              <w:t>0.60%</w:t>
            </w:r>
          </w:p>
        </w:tc>
        <w:tc>
          <w:tcPr>
            <w:tcW w:w="901"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color w:val="000000"/>
                <w:sz w:val="20"/>
                <w:szCs w:val="20"/>
                <w:lang w:eastAsia="en-US"/>
              </w:rPr>
            </w:pPr>
            <w:r w:rsidRPr="00345335">
              <w:rPr>
                <w:rFonts w:ascii="Calibri" w:eastAsia="Times New Roman" w:hAnsi="Calibri" w:cs="Times New Roman"/>
                <w:color w:val="000000"/>
                <w:sz w:val="20"/>
                <w:szCs w:val="20"/>
                <w:lang w:eastAsia="en-US"/>
              </w:rPr>
              <w:t>1.00%</w:t>
            </w:r>
          </w:p>
        </w:tc>
        <w:tc>
          <w:tcPr>
            <w:tcW w:w="1112"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color w:val="000000"/>
                <w:sz w:val="20"/>
                <w:szCs w:val="20"/>
                <w:lang w:eastAsia="en-US"/>
              </w:rPr>
            </w:pPr>
            <w:r w:rsidRPr="00345335">
              <w:rPr>
                <w:rFonts w:ascii="Calibri" w:eastAsia="Times New Roman" w:hAnsi="Calibri" w:cs="Times New Roman"/>
                <w:color w:val="000000"/>
                <w:sz w:val="20"/>
                <w:szCs w:val="20"/>
                <w:lang w:eastAsia="en-US"/>
              </w:rPr>
              <w:t>2.000%</w:t>
            </w:r>
          </w:p>
        </w:tc>
        <w:tc>
          <w:tcPr>
            <w:tcW w:w="901"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color w:val="000000"/>
                <w:sz w:val="20"/>
                <w:szCs w:val="20"/>
                <w:lang w:eastAsia="en-US"/>
              </w:rPr>
            </w:pPr>
            <w:r w:rsidRPr="00345335">
              <w:rPr>
                <w:rFonts w:ascii="Calibri" w:eastAsia="Times New Roman" w:hAnsi="Calibri" w:cs="Times New Roman"/>
                <w:color w:val="000000"/>
                <w:sz w:val="20"/>
                <w:szCs w:val="20"/>
                <w:lang w:eastAsia="en-US"/>
              </w:rPr>
              <w:t>1.67</w:t>
            </w:r>
          </w:p>
        </w:tc>
        <w:tc>
          <w:tcPr>
            <w:tcW w:w="1112" w:type="dxa"/>
            <w:tcBorders>
              <w:top w:val="nil"/>
              <w:left w:val="nil"/>
              <w:bottom w:val="nil"/>
              <w:right w:val="nil"/>
            </w:tcBorders>
            <w:shd w:val="clear" w:color="000000" w:fill="99FFCC"/>
            <w:noWrap/>
            <w:vAlign w:val="bottom"/>
            <w:hideMark/>
          </w:tcPr>
          <w:p w:rsidR="00345335" w:rsidRPr="00345335" w:rsidRDefault="00345335" w:rsidP="00345335">
            <w:pPr>
              <w:spacing w:after="0"/>
              <w:jc w:val="center"/>
              <w:rPr>
                <w:rFonts w:ascii="Calibri" w:eastAsia="Times New Roman" w:hAnsi="Calibri" w:cs="Times New Roman"/>
                <w:b/>
                <w:bCs/>
                <w:color w:val="000000"/>
                <w:sz w:val="20"/>
                <w:szCs w:val="20"/>
                <w:lang w:eastAsia="en-US"/>
              </w:rPr>
            </w:pPr>
            <w:r w:rsidRPr="00345335">
              <w:rPr>
                <w:rFonts w:ascii="Calibri" w:eastAsia="Times New Roman" w:hAnsi="Calibri" w:cs="Times New Roman"/>
                <w:b/>
                <w:bCs/>
                <w:color w:val="000000"/>
                <w:sz w:val="20"/>
                <w:szCs w:val="20"/>
                <w:lang w:eastAsia="en-US"/>
              </w:rPr>
              <w:t>3.33</w:t>
            </w:r>
          </w:p>
        </w:tc>
        <w:tc>
          <w:tcPr>
            <w:tcW w:w="901"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color w:val="000000"/>
                <w:sz w:val="20"/>
                <w:szCs w:val="20"/>
                <w:lang w:eastAsia="en-US"/>
              </w:rPr>
            </w:pPr>
            <w:r w:rsidRPr="00345335">
              <w:rPr>
                <w:rFonts w:ascii="Calibri" w:eastAsia="Times New Roman" w:hAnsi="Calibri" w:cs="Times New Roman"/>
                <w:color w:val="000000"/>
                <w:sz w:val="20"/>
                <w:szCs w:val="20"/>
                <w:lang w:eastAsia="en-US"/>
              </w:rPr>
              <w:t>3.706%</w:t>
            </w:r>
          </w:p>
        </w:tc>
        <w:tc>
          <w:tcPr>
            <w:tcW w:w="1112" w:type="dxa"/>
            <w:tcBorders>
              <w:top w:val="nil"/>
              <w:left w:val="nil"/>
              <w:bottom w:val="nil"/>
              <w:right w:val="nil"/>
            </w:tcBorders>
            <w:shd w:val="clear" w:color="000000" w:fill="FFFF00"/>
            <w:noWrap/>
            <w:vAlign w:val="bottom"/>
            <w:hideMark/>
          </w:tcPr>
          <w:p w:rsidR="00345335" w:rsidRPr="00345335" w:rsidRDefault="00345335" w:rsidP="00345335">
            <w:pPr>
              <w:spacing w:after="0"/>
              <w:jc w:val="center"/>
              <w:rPr>
                <w:rFonts w:ascii="Calibri" w:eastAsia="Times New Roman" w:hAnsi="Calibri" w:cs="Times New Roman"/>
                <w:b/>
                <w:bCs/>
                <w:color w:val="000000"/>
                <w:sz w:val="20"/>
                <w:szCs w:val="20"/>
                <w:lang w:eastAsia="en-US"/>
              </w:rPr>
            </w:pPr>
            <w:r w:rsidRPr="00345335">
              <w:rPr>
                <w:rFonts w:ascii="Calibri" w:eastAsia="Times New Roman" w:hAnsi="Calibri" w:cs="Times New Roman"/>
                <w:b/>
                <w:bCs/>
                <w:color w:val="000000"/>
                <w:sz w:val="20"/>
                <w:szCs w:val="20"/>
                <w:lang w:eastAsia="en-US"/>
              </w:rPr>
              <w:t>3.327%</w:t>
            </w:r>
          </w:p>
        </w:tc>
        <w:tc>
          <w:tcPr>
            <w:tcW w:w="901"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0"/>
                <w:szCs w:val="20"/>
                <w:lang w:eastAsia="en-US"/>
              </w:rPr>
            </w:pPr>
            <w:r w:rsidRPr="00345335">
              <w:rPr>
                <w:rFonts w:ascii="Calibri" w:eastAsia="Times New Roman" w:hAnsi="Calibri" w:cs="Times New Roman"/>
                <w:b/>
                <w:bCs/>
                <w:color w:val="000000"/>
                <w:sz w:val="20"/>
                <w:szCs w:val="20"/>
                <w:lang w:eastAsia="en-US"/>
              </w:rPr>
              <w:t>6.18</w:t>
            </w:r>
          </w:p>
        </w:tc>
        <w:tc>
          <w:tcPr>
            <w:tcW w:w="1112" w:type="dxa"/>
            <w:tcBorders>
              <w:top w:val="nil"/>
              <w:left w:val="nil"/>
              <w:bottom w:val="nil"/>
              <w:right w:val="single" w:sz="8" w:space="0" w:color="auto"/>
            </w:tcBorders>
            <w:shd w:val="clear" w:color="000000" w:fill="66FFFF"/>
            <w:noWrap/>
            <w:vAlign w:val="bottom"/>
            <w:hideMark/>
          </w:tcPr>
          <w:p w:rsidR="00345335" w:rsidRPr="00345335" w:rsidRDefault="00345335" w:rsidP="00345335">
            <w:pPr>
              <w:spacing w:after="0"/>
              <w:jc w:val="center"/>
              <w:rPr>
                <w:rFonts w:ascii="Calibri" w:eastAsia="Times New Roman" w:hAnsi="Calibri" w:cs="Times New Roman"/>
                <w:b/>
                <w:bCs/>
                <w:color w:val="000000"/>
                <w:sz w:val="20"/>
                <w:szCs w:val="20"/>
                <w:lang w:eastAsia="en-US"/>
              </w:rPr>
            </w:pPr>
            <w:r w:rsidRPr="00345335">
              <w:rPr>
                <w:rFonts w:ascii="Calibri" w:eastAsia="Times New Roman" w:hAnsi="Calibri" w:cs="Times New Roman"/>
                <w:b/>
                <w:bCs/>
                <w:color w:val="000000"/>
                <w:sz w:val="20"/>
                <w:szCs w:val="20"/>
                <w:lang w:eastAsia="en-US"/>
              </w:rPr>
              <w:t>5.54</w:t>
            </w:r>
          </w:p>
        </w:tc>
      </w:tr>
      <w:tr w:rsidR="00345335" w:rsidRPr="00345335" w:rsidTr="00345335">
        <w:trPr>
          <w:trHeight w:val="300"/>
        </w:trPr>
        <w:tc>
          <w:tcPr>
            <w:tcW w:w="1222" w:type="dxa"/>
            <w:tcBorders>
              <w:top w:val="nil"/>
              <w:left w:val="single" w:sz="8" w:space="0" w:color="auto"/>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0"/>
                <w:szCs w:val="20"/>
                <w:lang w:eastAsia="en-US"/>
              </w:rPr>
            </w:pPr>
            <w:r w:rsidRPr="00345335">
              <w:rPr>
                <w:rFonts w:ascii="Calibri" w:eastAsia="Times New Roman" w:hAnsi="Calibri" w:cs="Times New Roman"/>
                <w:b/>
                <w:bCs/>
                <w:color w:val="000000"/>
                <w:sz w:val="20"/>
                <w:szCs w:val="20"/>
                <w:lang w:eastAsia="en-US"/>
              </w:rPr>
              <w:t>85.01-90</w:t>
            </w:r>
          </w:p>
        </w:tc>
        <w:tc>
          <w:tcPr>
            <w:tcW w:w="1106" w:type="dxa"/>
            <w:tcBorders>
              <w:top w:val="nil"/>
              <w:left w:val="nil"/>
              <w:bottom w:val="nil"/>
              <w:right w:val="nil"/>
            </w:tcBorders>
            <w:shd w:val="clear" w:color="000000" w:fill="FFFF00"/>
            <w:noWrap/>
            <w:vAlign w:val="bottom"/>
            <w:hideMark/>
          </w:tcPr>
          <w:p w:rsidR="00345335" w:rsidRPr="00345335" w:rsidRDefault="00345335" w:rsidP="00345335">
            <w:pPr>
              <w:spacing w:after="0"/>
              <w:jc w:val="center"/>
              <w:rPr>
                <w:rFonts w:ascii="Calibri" w:eastAsia="Times New Roman" w:hAnsi="Calibri" w:cs="Times New Roman"/>
                <w:b/>
                <w:bCs/>
                <w:color w:val="000000"/>
                <w:sz w:val="20"/>
                <w:szCs w:val="20"/>
                <w:lang w:eastAsia="en-US"/>
              </w:rPr>
            </w:pPr>
            <w:r w:rsidRPr="00345335">
              <w:rPr>
                <w:rFonts w:ascii="Calibri" w:eastAsia="Times New Roman" w:hAnsi="Calibri" w:cs="Times New Roman"/>
                <w:b/>
                <w:bCs/>
                <w:color w:val="000000"/>
                <w:sz w:val="20"/>
                <w:szCs w:val="20"/>
                <w:lang w:eastAsia="en-US"/>
              </w:rPr>
              <w:t>0.70%</w:t>
            </w:r>
          </w:p>
        </w:tc>
        <w:tc>
          <w:tcPr>
            <w:tcW w:w="901"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color w:val="000000"/>
                <w:sz w:val="20"/>
                <w:szCs w:val="20"/>
                <w:lang w:eastAsia="en-US"/>
              </w:rPr>
            </w:pPr>
            <w:r w:rsidRPr="00345335">
              <w:rPr>
                <w:rFonts w:ascii="Calibri" w:eastAsia="Times New Roman" w:hAnsi="Calibri" w:cs="Times New Roman"/>
                <w:color w:val="000000"/>
                <w:sz w:val="20"/>
                <w:szCs w:val="20"/>
                <w:lang w:eastAsia="en-US"/>
              </w:rPr>
              <w:t>1.00%</w:t>
            </w:r>
          </w:p>
        </w:tc>
        <w:tc>
          <w:tcPr>
            <w:tcW w:w="1112"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color w:val="000000"/>
                <w:sz w:val="20"/>
                <w:szCs w:val="20"/>
                <w:lang w:eastAsia="en-US"/>
              </w:rPr>
            </w:pPr>
            <w:r w:rsidRPr="00345335">
              <w:rPr>
                <w:rFonts w:ascii="Calibri" w:eastAsia="Times New Roman" w:hAnsi="Calibri" w:cs="Times New Roman"/>
                <w:color w:val="000000"/>
                <w:sz w:val="20"/>
                <w:szCs w:val="20"/>
                <w:lang w:eastAsia="en-US"/>
              </w:rPr>
              <w:t>2.250%</w:t>
            </w:r>
          </w:p>
        </w:tc>
        <w:tc>
          <w:tcPr>
            <w:tcW w:w="901"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color w:val="000000"/>
                <w:sz w:val="20"/>
                <w:szCs w:val="20"/>
                <w:lang w:eastAsia="en-US"/>
              </w:rPr>
            </w:pPr>
            <w:r w:rsidRPr="00345335">
              <w:rPr>
                <w:rFonts w:ascii="Calibri" w:eastAsia="Times New Roman" w:hAnsi="Calibri" w:cs="Times New Roman"/>
                <w:color w:val="000000"/>
                <w:sz w:val="20"/>
                <w:szCs w:val="20"/>
                <w:lang w:eastAsia="en-US"/>
              </w:rPr>
              <w:t>1.43</w:t>
            </w:r>
          </w:p>
        </w:tc>
        <w:tc>
          <w:tcPr>
            <w:tcW w:w="1112" w:type="dxa"/>
            <w:tcBorders>
              <w:top w:val="nil"/>
              <w:left w:val="nil"/>
              <w:bottom w:val="nil"/>
              <w:right w:val="nil"/>
            </w:tcBorders>
            <w:shd w:val="clear" w:color="000000" w:fill="99FFCC"/>
            <w:noWrap/>
            <w:vAlign w:val="bottom"/>
            <w:hideMark/>
          </w:tcPr>
          <w:p w:rsidR="00345335" w:rsidRPr="00345335" w:rsidRDefault="00345335" w:rsidP="00345335">
            <w:pPr>
              <w:spacing w:after="0"/>
              <w:jc w:val="center"/>
              <w:rPr>
                <w:rFonts w:ascii="Calibri" w:eastAsia="Times New Roman" w:hAnsi="Calibri" w:cs="Times New Roman"/>
                <w:b/>
                <w:bCs/>
                <w:color w:val="000000"/>
                <w:sz w:val="20"/>
                <w:szCs w:val="20"/>
                <w:lang w:eastAsia="en-US"/>
              </w:rPr>
            </w:pPr>
            <w:r w:rsidRPr="00345335">
              <w:rPr>
                <w:rFonts w:ascii="Calibri" w:eastAsia="Times New Roman" w:hAnsi="Calibri" w:cs="Times New Roman"/>
                <w:b/>
                <w:bCs/>
                <w:color w:val="000000"/>
                <w:sz w:val="20"/>
                <w:szCs w:val="20"/>
                <w:lang w:eastAsia="en-US"/>
              </w:rPr>
              <w:t>3.21</w:t>
            </w:r>
          </w:p>
        </w:tc>
        <w:tc>
          <w:tcPr>
            <w:tcW w:w="901"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color w:val="000000"/>
                <w:sz w:val="20"/>
                <w:szCs w:val="20"/>
                <w:lang w:eastAsia="en-US"/>
              </w:rPr>
            </w:pPr>
            <w:r w:rsidRPr="00345335">
              <w:rPr>
                <w:rFonts w:ascii="Calibri" w:eastAsia="Times New Roman" w:hAnsi="Calibri" w:cs="Times New Roman"/>
                <w:color w:val="000000"/>
                <w:sz w:val="20"/>
                <w:szCs w:val="20"/>
                <w:lang w:eastAsia="en-US"/>
              </w:rPr>
              <w:t>3.603%</w:t>
            </w:r>
          </w:p>
        </w:tc>
        <w:tc>
          <w:tcPr>
            <w:tcW w:w="1112" w:type="dxa"/>
            <w:tcBorders>
              <w:top w:val="nil"/>
              <w:left w:val="nil"/>
              <w:bottom w:val="nil"/>
              <w:right w:val="nil"/>
            </w:tcBorders>
            <w:shd w:val="clear" w:color="000000" w:fill="FFFF00"/>
            <w:noWrap/>
            <w:vAlign w:val="bottom"/>
            <w:hideMark/>
          </w:tcPr>
          <w:p w:rsidR="00345335" w:rsidRPr="00345335" w:rsidRDefault="00345335" w:rsidP="00345335">
            <w:pPr>
              <w:spacing w:after="0"/>
              <w:jc w:val="center"/>
              <w:rPr>
                <w:rFonts w:ascii="Calibri" w:eastAsia="Times New Roman" w:hAnsi="Calibri" w:cs="Times New Roman"/>
                <w:b/>
                <w:bCs/>
                <w:color w:val="000000"/>
                <w:sz w:val="20"/>
                <w:szCs w:val="20"/>
                <w:lang w:eastAsia="en-US"/>
              </w:rPr>
            </w:pPr>
            <w:r w:rsidRPr="00345335">
              <w:rPr>
                <w:rFonts w:ascii="Calibri" w:eastAsia="Times New Roman" w:hAnsi="Calibri" w:cs="Times New Roman"/>
                <w:b/>
                <w:bCs/>
                <w:color w:val="000000"/>
                <w:sz w:val="20"/>
                <w:szCs w:val="20"/>
                <w:lang w:eastAsia="en-US"/>
              </w:rPr>
              <w:t>3.532%</w:t>
            </w:r>
          </w:p>
        </w:tc>
        <w:tc>
          <w:tcPr>
            <w:tcW w:w="901"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0"/>
                <w:szCs w:val="20"/>
                <w:lang w:eastAsia="en-US"/>
              </w:rPr>
            </w:pPr>
            <w:r w:rsidRPr="00345335">
              <w:rPr>
                <w:rFonts w:ascii="Calibri" w:eastAsia="Times New Roman" w:hAnsi="Calibri" w:cs="Times New Roman"/>
                <w:b/>
                <w:bCs/>
                <w:color w:val="000000"/>
                <w:sz w:val="20"/>
                <w:szCs w:val="20"/>
                <w:lang w:eastAsia="en-US"/>
              </w:rPr>
              <w:t>5.15</w:t>
            </w:r>
          </w:p>
        </w:tc>
        <w:tc>
          <w:tcPr>
            <w:tcW w:w="1112" w:type="dxa"/>
            <w:tcBorders>
              <w:top w:val="nil"/>
              <w:left w:val="nil"/>
              <w:bottom w:val="nil"/>
              <w:right w:val="single" w:sz="8" w:space="0" w:color="auto"/>
            </w:tcBorders>
            <w:shd w:val="clear" w:color="000000" w:fill="66FFFF"/>
            <w:noWrap/>
            <w:vAlign w:val="bottom"/>
            <w:hideMark/>
          </w:tcPr>
          <w:p w:rsidR="00345335" w:rsidRPr="00345335" w:rsidRDefault="00345335" w:rsidP="00345335">
            <w:pPr>
              <w:spacing w:after="0"/>
              <w:jc w:val="center"/>
              <w:rPr>
                <w:rFonts w:ascii="Calibri" w:eastAsia="Times New Roman" w:hAnsi="Calibri" w:cs="Times New Roman"/>
                <w:b/>
                <w:bCs/>
                <w:color w:val="000000"/>
                <w:sz w:val="20"/>
                <w:szCs w:val="20"/>
                <w:lang w:eastAsia="en-US"/>
              </w:rPr>
            </w:pPr>
            <w:r w:rsidRPr="00345335">
              <w:rPr>
                <w:rFonts w:ascii="Calibri" w:eastAsia="Times New Roman" w:hAnsi="Calibri" w:cs="Times New Roman"/>
                <w:b/>
                <w:bCs/>
                <w:color w:val="000000"/>
                <w:sz w:val="20"/>
                <w:szCs w:val="20"/>
                <w:lang w:eastAsia="en-US"/>
              </w:rPr>
              <w:t>5.05</w:t>
            </w:r>
          </w:p>
        </w:tc>
      </w:tr>
      <w:tr w:rsidR="00345335" w:rsidRPr="00345335" w:rsidTr="00345335">
        <w:trPr>
          <w:trHeight w:val="300"/>
        </w:trPr>
        <w:tc>
          <w:tcPr>
            <w:tcW w:w="1222" w:type="dxa"/>
            <w:tcBorders>
              <w:top w:val="nil"/>
              <w:left w:val="single" w:sz="8" w:space="0" w:color="auto"/>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0"/>
                <w:szCs w:val="20"/>
                <w:lang w:eastAsia="en-US"/>
              </w:rPr>
            </w:pPr>
            <w:r w:rsidRPr="00345335">
              <w:rPr>
                <w:rFonts w:ascii="Calibri" w:eastAsia="Times New Roman" w:hAnsi="Calibri" w:cs="Times New Roman"/>
                <w:b/>
                <w:bCs/>
                <w:color w:val="000000"/>
                <w:sz w:val="20"/>
                <w:szCs w:val="20"/>
                <w:lang w:eastAsia="en-US"/>
              </w:rPr>
              <w:t>90.01-95</w:t>
            </w:r>
          </w:p>
        </w:tc>
        <w:tc>
          <w:tcPr>
            <w:tcW w:w="1106" w:type="dxa"/>
            <w:tcBorders>
              <w:top w:val="nil"/>
              <w:left w:val="nil"/>
              <w:bottom w:val="nil"/>
              <w:right w:val="nil"/>
            </w:tcBorders>
            <w:shd w:val="clear" w:color="000000" w:fill="FFFF00"/>
            <w:noWrap/>
            <w:vAlign w:val="bottom"/>
            <w:hideMark/>
          </w:tcPr>
          <w:p w:rsidR="00345335" w:rsidRPr="00345335" w:rsidRDefault="00345335" w:rsidP="00345335">
            <w:pPr>
              <w:spacing w:after="0"/>
              <w:jc w:val="center"/>
              <w:rPr>
                <w:rFonts w:ascii="Calibri" w:eastAsia="Times New Roman" w:hAnsi="Calibri" w:cs="Times New Roman"/>
                <w:b/>
                <w:bCs/>
                <w:color w:val="000000"/>
                <w:sz w:val="20"/>
                <w:szCs w:val="20"/>
                <w:lang w:eastAsia="en-US"/>
              </w:rPr>
            </w:pPr>
            <w:r w:rsidRPr="00345335">
              <w:rPr>
                <w:rFonts w:ascii="Calibri" w:eastAsia="Times New Roman" w:hAnsi="Calibri" w:cs="Times New Roman"/>
                <w:b/>
                <w:bCs/>
                <w:color w:val="000000"/>
                <w:sz w:val="20"/>
                <w:szCs w:val="20"/>
                <w:lang w:eastAsia="en-US"/>
              </w:rPr>
              <w:t>1.15%</w:t>
            </w:r>
          </w:p>
        </w:tc>
        <w:tc>
          <w:tcPr>
            <w:tcW w:w="901"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color w:val="000000"/>
                <w:sz w:val="20"/>
                <w:szCs w:val="20"/>
                <w:lang w:eastAsia="en-US"/>
              </w:rPr>
            </w:pPr>
            <w:r w:rsidRPr="00345335">
              <w:rPr>
                <w:rFonts w:ascii="Calibri" w:eastAsia="Times New Roman" w:hAnsi="Calibri" w:cs="Times New Roman"/>
                <w:color w:val="000000"/>
                <w:sz w:val="20"/>
                <w:szCs w:val="20"/>
                <w:lang w:eastAsia="en-US"/>
              </w:rPr>
              <w:t>1.00%</w:t>
            </w:r>
          </w:p>
        </w:tc>
        <w:tc>
          <w:tcPr>
            <w:tcW w:w="1112"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color w:val="000000"/>
                <w:sz w:val="20"/>
                <w:szCs w:val="20"/>
                <w:lang w:eastAsia="en-US"/>
              </w:rPr>
            </w:pPr>
            <w:r w:rsidRPr="00345335">
              <w:rPr>
                <w:rFonts w:ascii="Calibri" w:eastAsia="Times New Roman" w:hAnsi="Calibri" w:cs="Times New Roman"/>
                <w:color w:val="000000"/>
                <w:sz w:val="20"/>
                <w:szCs w:val="20"/>
                <w:lang w:eastAsia="en-US"/>
              </w:rPr>
              <w:t>2.250%</w:t>
            </w:r>
          </w:p>
        </w:tc>
        <w:tc>
          <w:tcPr>
            <w:tcW w:w="901"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color w:val="000000"/>
                <w:sz w:val="20"/>
                <w:szCs w:val="20"/>
                <w:lang w:eastAsia="en-US"/>
              </w:rPr>
            </w:pPr>
            <w:r w:rsidRPr="00345335">
              <w:rPr>
                <w:rFonts w:ascii="Calibri" w:eastAsia="Times New Roman" w:hAnsi="Calibri" w:cs="Times New Roman"/>
                <w:color w:val="000000"/>
                <w:sz w:val="20"/>
                <w:szCs w:val="20"/>
                <w:lang w:eastAsia="en-US"/>
              </w:rPr>
              <w:t>0.87</w:t>
            </w:r>
          </w:p>
        </w:tc>
        <w:tc>
          <w:tcPr>
            <w:tcW w:w="1112" w:type="dxa"/>
            <w:tcBorders>
              <w:top w:val="nil"/>
              <w:left w:val="nil"/>
              <w:bottom w:val="nil"/>
              <w:right w:val="nil"/>
            </w:tcBorders>
            <w:shd w:val="clear" w:color="000000" w:fill="99FFCC"/>
            <w:noWrap/>
            <w:vAlign w:val="bottom"/>
            <w:hideMark/>
          </w:tcPr>
          <w:p w:rsidR="00345335" w:rsidRPr="00345335" w:rsidRDefault="00345335" w:rsidP="00345335">
            <w:pPr>
              <w:spacing w:after="0"/>
              <w:jc w:val="center"/>
              <w:rPr>
                <w:rFonts w:ascii="Calibri" w:eastAsia="Times New Roman" w:hAnsi="Calibri" w:cs="Times New Roman"/>
                <w:b/>
                <w:bCs/>
                <w:color w:val="000000"/>
                <w:sz w:val="20"/>
                <w:szCs w:val="20"/>
                <w:lang w:eastAsia="en-US"/>
              </w:rPr>
            </w:pPr>
            <w:r w:rsidRPr="00345335">
              <w:rPr>
                <w:rFonts w:ascii="Calibri" w:eastAsia="Times New Roman" w:hAnsi="Calibri" w:cs="Times New Roman"/>
                <w:b/>
                <w:bCs/>
                <w:color w:val="000000"/>
                <w:sz w:val="20"/>
                <w:szCs w:val="20"/>
                <w:lang w:eastAsia="en-US"/>
              </w:rPr>
              <w:t>1.96</w:t>
            </w:r>
          </w:p>
        </w:tc>
        <w:tc>
          <w:tcPr>
            <w:tcW w:w="901"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color w:val="000000"/>
                <w:sz w:val="20"/>
                <w:szCs w:val="20"/>
                <w:lang w:eastAsia="en-US"/>
              </w:rPr>
            </w:pPr>
            <w:r w:rsidRPr="00345335">
              <w:rPr>
                <w:rFonts w:ascii="Calibri" w:eastAsia="Times New Roman" w:hAnsi="Calibri" w:cs="Times New Roman"/>
                <w:color w:val="000000"/>
                <w:sz w:val="20"/>
                <w:szCs w:val="20"/>
                <w:lang w:eastAsia="en-US"/>
              </w:rPr>
              <w:t>3.883%</w:t>
            </w:r>
          </w:p>
        </w:tc>
        <w:tc>
          <w:tcPr>
            <w:tcW w:w="1112" w:type="dxa"/>
            <w:tcBorders>
              <w:top w:val="nil"/>
              <w:left w:val="nil"/>
              <w:bottom w:val="nil"/>
              <w:right w:val="nil"/>
            </w:tcBorders>
            <w:shd w:val="clear" w:color="000000" w:fill="FFFF00"/>
            <w:noWrap/>
            <w:vAlign w:val="bottom"/>
            <w:hideMark/>
          </w:tcPr>
          <w:p w:rsidR="00345335" w:rsidRPr="00345335" w:rsidRDefault="00345335" w:rsidP="00345335">
            <w:pPr>
              <w:spacing w:after="0"/>
              <w:jc w:val="center"/>
              <w:rPr>
                <w:rFonts w:ascii="Calibri" w:eastAsia="Times New Roman" w:hAnsi="Calibri" w:cs="Times New Roman"/>
                <w:b/>
                <w:bCs/>
                <w:color w:val="000000"/>
                <w:sz w:val="20"/>
                <w:szCs w:val="20"/>
                <w:lang w:eastAsia="en-US"/>
              </w:rPr>
            </w:pPr>
            <w:r w:rsidRPr="00345335">
              <w:rPr>
                <w:rFonts w:ascii="Calibri" w:eastAsia="Times New Roman" w:hAnsi="Calibri" w:cs="Times New Roman"/>
                <w:b/>
                <w:bCs/>
                <w:color w:val="000000"/>
                <w:sz w:val="20"/>
                <w:szCs w:val="20"/>
                <w:lang w:eastAsia="en-US"/>
              </w:rPr>
              <w:t>3.663%</w:t>
            </w:r>
          </w:p>
        </w:tc>
        <w:tc>
          <w:tcPr>
            <w:tcW w:w="901"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0"/>
                <w:szCs w:val="20"/>
                <w:lang w:eastAsia="en-US"/>
              </w:rPr>
            </w:pPr>
            <w:r w:rsidRPr="00345335">
              <w:rPr>
                <w:rFonts w:ascii="Calibri" w:eastAsia="Times New Roman" w:hAnsi="Calibri" w:cs="Times New Roman"/>
                <w:b/>
                <w:bCs/>
                <w:color w:val="000000"/>
                <w:sz w:val="20"/>
                <w:szCs w:val="20"/>
                <w:lang w:eastAsia="en-US"/>
              </w:rPr>
              <w:t>3.38</w:t>
            </w:r>
          </w:p>
        </w:tc>
        <w:tc>
          <w:tcPr>
            <w:tcW w:w="1112" w:type="dxa"/>
            <w:tcBorders>
              <w:top w:val="nil"/>
              <w:left w:val="nil"/>
              <w:bottom w:val="nil"/>
              <w:right w:val="single" w:sz="8" w:space="0" w:color="auto"/>
            </w:tcBorders>
            <w:shd w:val="clear" w:color="000000" w:fill="66FFFF"/>
            <w:noWrap/>
            <w:vAlign w:val="bottom"/>
            <w:hideMark/>
          </w:tcPr>
          <w:p w:rsidR="00345335" w:rsidRPr="00345335" w:rsidRDefault="00345335" w:rsidP="00345335">
            <w:pPr>
              <w:spacing w:after="0"/>
              <w:jc w:val="center"/>
              <w:rPr>
                <w:rFonts w:ascii="Calibri" w:eastAsia="Times New Roman" w:hAnsi="Calibri" w:cs="Times New Roman"/>
                <w:b/>
                <w:bCs/>
                <w:color w:val="000000"/>
                <w:sz w:val="20"/>
                <w:szCs w:val="20"/>
                <w:lang w:eastAsia="en-US"/>
              </w:rPr>
            </w:pPr>
            <w:r w:rsidRPr="00345335">
              <w:rPr>
                <w:rFonts w:ascii="Calibri" w:eastAsia="Times New Roman" w:hAnsi="Calibri" w:cs="Times New Roman"/>
                <w:b/>
                <w:bCs/>
                <w:color w:val="000000"/>
                <w:sz w:val="20"/>
                <w:szCs w:val="20"/>
                <w:lang w:eastAsia="en-US"/>
              </w:rPr>
              <w:t>3.19</w:t>
            </w:r>
          </w:p>
        </w:tc>
      </w:tr>
      <w:tr w:rsidR="00345335" w:rsidRPr="00345335" w:rsidTr="00345335">
        <w:trPr>
          <w:trHeight w:val="300"/>
        </w:trPr>
        <w:tc>
          <w:tcPr>
            <w:tcW w:w="1222" w:type="dxa"/>
            <w:tcBorders>
              <w:top w:val="nil"/>
              <w:left w:val="single" w:sz="8" w:space="0" w:color="auto"/>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0"/>
                <w:szCs w:val="20"/>
                <w:lang w:eastAsia="en-US"/>
              </w:rPr>
            </w:pPr>
            <w:r w:rsidRPr="00345335">
              <w:rPr>
                <w:rFonts w:ascii="Calibri" w:eastAsia="Times New Roman" w:hAnsi="Calibri" w:cs="Times New Roman"/>
                <w:b/>
                <w:bCs/>
                <w:color w:val="000000"/>
                <w:sz w:val="20"/>
                <w:szCs w:val="20"/>
                <w:lang w:eastAsia="en-US"/>
              </w:rPr>
              <w:t>95.01-97</w:t>
            </w:r>
          </w:p>
        </w:tc>
        <w:tc>
          <w:tcPr>
            <w:tcW w:w="1106" w:type="dxa"/>
            <w:tcBorders>
              <w:top w:val="nil"/>
              <w:left w:val="nil"/>
              <w:bottom w:val="nil"/>
              <w:right w:val="nil"/>
            </w:tcBorders>
            <w:shd w:val="clear" w:color="000000" w:fill="FFFF00"/>
            <w:noWrap/>
            <w:vAlign w:val="bottom"/>
            <w:hideMark/>
          </w:tcPr>
          <w:p w:rsidR="00345335" w:rsidRPr="00345335" w:rsidRDefault="00345335" w:rsidP="00345335">
            <w:pPr>
              <w:spacing w:after="0"/>
              <w:jc w:val="center"/>
              <w:rPr>
                <w:rFonts w:ascii="Calibri" w:eastAsia="Times New Roman" w:hAnsi="Calibri" w:cs="Times New Roman"/>
                <w:b/>
                <w:bCs/>
                <w:color w:val="000000"/>
                <w:sz w:val="20"/>
                <w:szCs w:val="20"/>
                <w:lang w:eastAsia="en-US"/>
              </w:rPr>
            </w:pPr>
            <w:r w:rsidRPr="00345335">
              <w:rPr>
                <w:rFonts w:ascii="Calibri" w:eastAsia="Times New Roman" w:hAnsi="Calibri" w:cs="Times New Roman"/>
                <w:b/>
                <w:bCs/>
                <w:color w:val="000000"/>
                <w:sz w:val="20"/>
                <w:szCs w:val="20"/>
                <w:lang w:eastAsia="en-US"/>
              </w:rPr>
              <w:t>1.70%</w:t>
            </w:r>
          </w:p>
        </w:tc>
        <w:tc>
          <w:tcPr>
            <w:tcW w:w="901"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color w:val="000000"/>
                <w:sz w:val="20"/>
                <w:szCs w:val="20"/>
                <w:lang w:eastAsia="en-US"/>
              </w:rPr>
            </w:pPr>
            <w:r w:rsidRPr="00345335">
              <w:rPr>
                <w:rFonts w:ascii="Calibri" w:eastAsia="Times New Roman" w:hAnsi="Calibri" w:cs="Times New Roman"/>
                <w:color w:val="000000"/>
                <w:sz w:val="20"/>
                <w:szCs w:val="20"/>
                <w:lang w:eastAsia="en-US"/>
              </w:rPr>
              <w:t>1.00%</w:t>
            </w:r>
          </w:p>
        </w:tc>
        <w:tc>
          <w:tcPr>
            <w:tcW w:w="1112"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color w:val="000000"/>
                <w:sz w:val="20"/>
                <w:szCs w:val="20"/>
                <w:lang w:eastAsia="en-US"/>
              </w:rPr>
            </w:pPr>
            <w:r w:rsidRPr="00345335">
              <w:rPr>
                <w:rFonts w:ascii="Calibri" w:eastAsia="Times New Roman" w:hAnsi="Calibri" w:cs="Times New Roman"/>
                <w:color w:val="000000"/>
                <w:sz w:val="20"/>
                <w:szCs w:val="20"/>
                <w:lang w:eastAsia="en-US"/>
              </w:rPr>
              <w:t>1.250%</w:t>
            </w:r>
          </w:p>
        </w:tc>
        <w:tc>
          <w:tcPr>
            <w:tcW w:w="901"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color w:val="000000"/>
                <w:sz w:val="20"/>
                <w:szCs w:val="20"/>
                <w:lang w:eastAsia="en-US"/>
              </w:rPr>
            </w:pPr>
            <w:r w:rsidRPr="00345335">
              <w:rPr>
                <w:rFonts w:ascii="Calibri" w:eastAsia="Times New Roman" w:hAnsi="Calibri" w:cs="Times New Roman"/>
                <w:color w:val="000000"/>
                <w:sz w:val="20"/>
                <w:szCs w:val="20"/>
                <w:lang w:eastAsia="en-US"/>
              </w:rPr>
              <w:t>0.59</w:t>
            </w:r>
          </w:p>
        </w:tc>
        <w:tc>
          <w:tcPr>
            <w:tcW w:w="1112" w:type="dxa"/>
            <w:tcBorders>
              <w:top w:val="nil"/>
              <w:left w:val="nil"/>
              <w:bottom w:val="nil"/>
              <w:right w:val="nil"/>
            </w:tcBorders>
            <w:shd w:val="clear" w:color="000000" w:fill="99FFCC"/>
            <w:noWrap/>
            <w:vAlign w:val="bottom"/>
            <w:hideMark/>
          </w:tcPr>
          <w:p w:rsidR="00345335" w:rsidRPr="00345335" w:rsidRDefault="00345335" w:rsidP="00345335">
            <w:pPr>
              <w:spacing w:after="0"/>
              <w:jc w:val="center"/>
              <w:rPr>
                <w:rFonts w:ascii="Calibri" w:eastAsia="Times New Roman" w:hAnsi="Calibri" w:cs="Times New Roman"/>
                <w:b/>
                <w:bCs/>
                <w:color w:val="000000"/>
                <w:sz w:val="20"/>
                <w:szCs w:val="20"/>
                <w:lang w:eastAsia="en-US"/>
              </w:rPr>
            </w:pPr>
            <w:r w:rsidRPr="00345335">
              <w:rPr>
                <w:rFonts w:ascii="Calibri" w:eastAsia="Times New Roman" w:hAnsi="Calibri" w:cs="Times New Roman"/>
                <w:b/>
                <w:bCs/>
                <w:color w:val="000000"/>
                <w:sz w:val="20"/>
                <w:szCs w:val="20"/>
                <w:lang w:eastAsia="en-US"/>
              </w:rPr>
              <w:t>0.74</w:t>
            </w:r>
          </w:p>
        </w:tc>
        <w:tc>
          <w:tcPr>
            <w:tcW w:w="901"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color w:val="000000"/>
                <w:sz w:val="20"/>
                <w:szCs w:val="20"/>
                <w:lang w:eastAsia="en-US"/>
              </w:rPr>
            </w:pPr>
            <w:r w:rsidRPr="00345335">
              <w:rPr>
                <w:rFonts w:ascii="Calibri" w:eastAsia="Times New Roman" w:hAnsi="Calibri" w:cs="Times New Roman"/>
                <w:color w:val="000000"/>
                <w:sz w:val="20"/>
                <w:szCs w:val="20"/>
                <w:lang w:eastAsia="en-US"/>
              </w:rPr>
              <w:t>4.103%</w:t>
            </w:r>
          </w:p>
        </w:tc>
        <w:tc>
          <w:tcPr>
            <w:tcW w:w="1112" w:type="dxa"/>
            <w:tcBorders>
              <w:top w:val="nil"/>
              <w:left w:val="nil"/>
              <w:bottom w:val="nil"/>
              <w:right w:val="nil"/>
            </w:tcBorders>
            <w:shd w:val="clear" w:color="000000" w:fill="FFFF00"/>
            <w:noWrap/>
            <w:vAlign w:val="bottom"/>
            <w:hideMark/>
          </w:tcPr>
          <w:p w:rsidR="00345335" w:rsidRPr="00345335" w:rsidRDefault="00345335" w:rsidP="00345335">
            <w:pPr>
              <w:spacing w:after="0"/>
              <w:jc w:val="center"/>
              <w:rPr>
                <w:rFonts w:ascii="Calibri" w:eastAsia="Times New Roman" w:hAnsi="Calibri" w:cs="Times New Roman"/>
                <w:b/>
                <w:bCs/>
                <w:color w:val="000000"/>
                <w:sz w:val="20"/>
                <w:szCs w:val="20"/>
                <w:lang w:eastAsia="en-US"/>
              </w:rPr>
            </w:pPr>
            <w:r w:rsidRPr="00345335">
              <w:rPr>
                <w:rFonts w:ascii="Calibri" w:eastAsia="Times New Roman" w:hAnsi="Calibri" w:cs="Times New Roman"/>
                <w:b/>
                <w:bCs/>
                <w:color w:val="000000"/>
                <w:sz w:val="20"/>
                <w:szCs w:val="20"/>
                <w:lang w:eastAsia="en-US"/>
              </w:rPr>
              <w:t>2.757%</w:t>
            </w:r>
          </w:p>
        </w:tc>
        <w:tc>
          <w:tcPr>
            <w:tcW w:w="901"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0"/>
                <w:szCs w:val="20"/>
                <w:lang w:eastAsia="en-US"/>
              </w:rPr>
            </w:pPr>
            <w:r w:rsidRPr="00345335">
              <w:rPr>
                <w:rFonts w:ascii="Calibri" w:eastAsia="Times New Roman" w:hAnsi="Calibri" w:cs="Times New Roman"/>
                <w:b/>
                <w:bCs/>
                <w:color w:val="000000"/>
                <w:sz w:val="20"/>
                <w:szCs w:val="20"/>
                <w:lang w:eastAsia="en-US"/>
              </w:rPr>
              <w:t>2.41</w:t>
            </w:r>
          </w:p>
        </w:tc>
        <w:tc>
          <w:tcPr>
            <w:tcW w:w="1112" w:type="dxa"/>
            <w:tcBorders>
              <w:top w:val="nil"/>
              <w:left w:val="nil"/>
              <w:bottom w:val="nil"/>
              <w:right w:val="single" w:sz="8" w:space="0" w:color="auto"/>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0"/>
                <w:szCs w:val="20"/>
                <w:lang w:eastAsia="en-US"/>
              </w:rPr>
            </w:pPr>
            <w:r w:rsidRPr="00345335">
              <w:rPr>
                <w:rFonts w:ascii="Calibri" w:eastAsia="Times New Roman" w:hAnsi="Calibri" w:cs="Times New Roman"/>
                <w:b/>
                <w:bCs/>
                <w:color w:val="000000"/>
                <w:sz w:val="20"/>
                <w:szCs w:val="20"/>
                <w:lang w:eastAsia="en-US"/>
              </w:rPr>
              <w:t>1.62</w:t>
            </w:r>
          </w:p>
        </w:tc>
      </w:tr>
      <w:tr w:rsidR="00345335" w:rsidRPr="00345335" w:rsidTr="00345335">
        <w:trPr>
          <w:trHeight w:val="300"/>
        </w:trPr>
        <w:tc>
          <w:tcPr>
            <w:tcW w:w="1222" w:type="dxa"/>
            <w:tcBorders>
              <w:top w:val="nil"/>
              <w:left w:val="single" w:sz="8" w:space="0" w:color="auto"/>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2"/>
                <w:szCs w:val="22"/>
                <w:lang w:eastAsia="en-US"/>
              </w:rPr>
            </w:pPr>
            <w:r w:rsidRPr="00345335">
              <w:rPr>
                <w:rFonts w:ascii="Calibri" w:eastAsia="Times New Roman" w:hAnsi="Calibri" w:cs="Times New Roman"/>
                <w:b/>
                <w:bCs/>
                <w:color w:val="000000"/>
                <w:sz w:val="22"/>
                <w:szCs w:val="22"/>
                <w:lang w:eastAsia="en-US"/>
              </w:rPr>
              <w:t> </w:t>
            </w:r>
          </w:p>
        </w:tc>
        <w:tc>
          <w:tcPr>
            <w:tcW w:w="1106"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2"/>
                <w:szCs w:val="22"/>
                <w:lang w:eastAsia="en-US"/>
              </w:rPr>
            </w:pPr>
          </w:p>
        </w:tc>
        <w:tc>
          <w:tcPr>
            <w:tcW w:w="901"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color w:val="000000"/>
                <w:sz w:val="22"/>
                <w:szCs w:val="22"/>
                <w:lang w:eastAsia="en-US"/>
              </w:rPr>
            </w:pPr>
          </w:p>
        </w:tc>
        <w:tc>
          <w:tcPr>
            <w:tcW w:w="1112"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color w:val="000000"/>
                <w:sz w:val="22"/>
                <w:szCs w:val="22"/>
                <w:lang w:eastAsia="en-US"/>
              </w:rPr>
            </w:pPr>
          </w:p>
        </w:tc>
        <w:tc>
          <w:tcPr>
            <w:tcW w:w="901"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color w:val="000000"/>
                <w:sz w:val="22"/>
                <w:szCs w:val="22"/>
                <w:lang w:eastAsia="en-US"/>
              </w:rPr>
            </w:pPr>
          </w:p>
        </w:tc>
        <w:tc>
          <w:tcPr>
            <w:tcW w:w="1112"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2"/>
                <w:szCs w:val="22"/>
                <w:lang w:eastAsia="en-US"/>
              </w:rPr>
            </w:pPr>
          </w:p>
        </w:tc>
        <w:tc>
          <w:tcPr>
            <w:tcW w:w="901"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color w:val="000000"/>
                <w:sz w:val="22"/>
                <w:szCs w:val="22"/>
                <w:lang w:eastAsia="en-US"/>
              </w:rPr>
            </w:pPr>
          </w:p>
        </w:tc>
        <w:tc>
          <w:tcPr>
            <w:tcW w:w="1112"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color w:val="000000"/>
                <w:sz w:val="22"/>
                <w:szCs w:val="22"/>
                <w:lang w:eastAsia="en-US"/>
              </w:rPr>
            </w:pPr>
          </w:p>
        </w:tc>
        <w:tc>
          <w:tcPr>
            <w:tcW w:w="901"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2"/>
                <w:szCs w:val="22"/>
                <w:lang w:eastAsia="en-US"/>
              </w:rPr>
            </w:pPr>
          </w:p>
        </w:tc>
        <w:tc>
          <w:tcPr>
            <w:tcW w:w="1112" w:type="dxa"/>
            <w:tcBorders>
              <w:top w:val="nil"/>
              <w:left w:val="nil"/>
              <w:bottom w:val="nil"/>
              <w:right w:val="single" w:sz="8" w:space="0" w:color="auto"/>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2"/>
                <w:szCs w:val="22"/>
                <w:lang w:eastAsia="en-US"/>
              </w:rPr>
            </w:pPr>
            <w:r w:rsidRPr="00345335">
              <w:rPr>
                <w:rFonts w:ascii="Calibri" w:eastAsia="Times New Roman" w:hAnsi="Calibri" w:cs="Times New Roman"/>
                <w:b/>
                <w:bCs/>
                <w:color w:val="000000"/>
                <w:sz w:val="22"/>
                <w:szCs w:val="22"/>
                <w:lang w:eastAsia="en-US"/>
              </w:rPr>
              <w:t> </w:t>
            </w:r>
          </w:p>
        </w:tc>
      </w:tr>
      <w:tr w:rsidR="00345335" w:rsidRPr="00345335" w:rsidTr="00345335">
        <w:trPr>
          <w:trHeight w:val="345"/>
        </w:trPr>
        <w:tc>
          <w:tcPr>
            <w:tcW w:w="10380" w:type="dxa"/>
            <w:gridSpan w:val="10"/>
            <w:tcBorders>
              <w:top w:val="nil"/>
              <w:left w:val="single" w:sz="8" w:space="0" w:color="auto"/>
              <w:bottom w:val="nil"/>
              <w:right w:val="single" w:sz="8" w:space="0" w:color="000000"/>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6"/>
                <w:szCs w:val="26"/>
                <w:lang w:eastAsia="en-US"/>
              </w:rPr>
            </w:pPr>
            <w:r w:rsidRPr="00345335">
              <w:rPr>
                <w:rFonts w:ascii="Calibri" w:eastAsia="Times New Roman" w:hAnsi="Calibri" w:cs="Times New Roman"/>
                <w:b/>
                <w:bCs/>
                <w:color w:val="000000"/>
                <w:sz w:val="26"/>
                <w:szCs w:val="26"/>
                <w:lang w:eastAsia="en-US"/>
              </w:rPr>
              <w:t>Expected Proposed Premium Earned Exceeds Long-Run Mean Losses</w:t>
            </w:r>
          </w:p>
        </w:tc>
      </w:tr>
      <w:tr w:rsidR="00345335" w:rsidRPr="00345335" w:rsidTr="00345335">
        <w:trPr>
          <w:trHeight w:val="345"/>
        </w:trPr>
        <w:tc>
          <w:tcPr>
            <w:tcW w:w="10380" w:type="dxa"/>
            <w:gridSpan w:val="10"/>
            <w:tcBorders>
              <w:top w:val="nil"/>
              <w:left w:val="single" w:sz="8" w:space="0" w:color="auto"/>
              <w:bottom w:val="nil"/>
              <w:right w:val="single" w:sz="8" w:space="0" w:color="000000"/>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6"/>
                <w:szCs w:val="26"/>
                <w:lang w:eastAsia="en-US"/>
              </w:rPr>
            </w:pPr>
            <w:r w:rsidRPr="00345335">
              <w:rPr>
                <w:rFonts w:ascii="Calibri" w:eastAsia="Times New Roman" w:hAnsi="Calibri" w:cs="Times New Roman"/>
                <w:b/>
                <w:bCs/>
                <w:color w:val="000000"/>
                <w:sz w:val="26"/>
                <w:szCs w:val="26"/>
                <w:lang w:eastAsia="en-US"/>
              </w:rPr>
              <w:t>By More Than 3X For &lt;=70 LTV and 80 to 95 LTV</w:t>
            </w:r>
          </w:p>
        </w:tc>
      </w:tr>
      <w:tr w:rsidR="00345335" w:rsidRPr="00345335" w:rsidTr="00345335">
        <w:trPr>
          <w:trHeight w:val="315"/>
        </w:trPr>
        <w:tc>
          <w:tcPr>
            <w:tcW w:w="1222" w:type="dxa"/>
            <w:tcBorders>
              <w:top w:val="nil"/>
              <w:left w:val="single" w:sz="8" w:space="0" w:color="auto"/>
              <w:bottom w:val="single" w:sz="8" w:space="0" w:color="auto"/>
              <w:right w:val="nil"/>
            </w:tcBorders>
            <w:shd w:val="clear" w:color="auto" w:fill="auto"/>
            <w:noWrap/>
            <w:vAlign w:val="bottom"/>
            <w:hideMark/>
          </w:tcPr>
          <w:p w:rsidR="00345335" w:rsidRPr="00345335" w:rsidRDefault="00345335" w:rsidP="00345335">
            <w:pPr>
              <w:spacing w:after="0"/>
              <w:rPr>
                <w:rFonts w:ascii="Calibri" w:eastAsia="Times New Roman" w:hAnsi="Calibri" w:cs="Times New Roman"/>
                <w:color w:val="000000"/>
                <w:sz w:val="22"/>
                <w:szCs w:val="22"/>
                <w:lang w:eastAsia="en-US"/>
              </w:rPr>
            </w:pPr>
            <w:r w:rsidRPr="00345335">
              <w:rPr>
                <w:rFonts w:ascii="Calibri" w:eastAsia="Times New Roman" w:hAnsi="Calibri" w:cs="Times New Roman"/>
                <w:color w:val="000000"/>
                <w:sz w:val="22"/>
                <w:szCs w:val="22"/>
                <w:lang w:eastAsia="en-US"/>
              </w:rPr>
              <w:t> </w:t>
            </w:r>
          </w:p>
        </w:tc>
        <w:tc>
          <w:tcPr>
            <w:tcW w:w="1106" w:type="dxa"/>
            <w:tcBorders>
              <w:top w:val="nil"/>
              <w:left w:val="nil"/>
              <w:bottom w:val="single" w:sz="8" w:space="0" w:color="auto"/>
              <w:right w:val="nil"/>
            </w:tcBorders>
            <w:shd w:val="clear" w:color="auto" w:fill="auto"/>
            <w:noWrap/>
            <w:vAlign w:val="bottom"/>
            <w:hideMark/>
          </w:tcPr>
          <w:p w:rsidR="00345335" w:rsidRPr="00345335" w:rsidRDefault="00345335" w:rsidP="00345335">
            <w:pPr>
              <w:spacing w:after="0"/>
              <w:rPr>
                <w:rFonts w:ascii="Calibri" w:eastAsia="Times New Roman" w:hAnsi="Calibri" w:cs="Times New Roman"/>
                <w:color w:val="000000"/>
                <w:sz w:val="22"/>
                <w:szCs w:val="22"/>
                <w:lang w:eastAsia="en-US"/>
              </w:rPr>
            </w:pPr>
            <w:r w:rsidRPr="00345335">
              <w:rPr>
                <w:rFonts w:ascii="Calibri" w:eastAsia="Times New Roman" w:hAnsi="Calibri" w:cs="Times New Roman"/>
                <w:color w:val="000000"/>
                <w:sz w:val="22"/>
                <w:szCs w:val="22"/>
                <w:lang w:eastAsia="en-US"/>
              </w:rPr>
              <w:t> </w:t>
            </w:r>
          </w:p>
        </w:tc>
        <w:tc>
          <w:tcPr>
            <w:tcW w:w="901" w:type="dxa"/>
            <w:tcBorders>
              <w:top w:val="nil"/>
              <w:left w:val="nil"/>
              <w:bottom w:val="single" w:sz="8" w:space="0" w:color="auto"/>
              <w:right w:val="nil"/>
            </w:tcBorders>
            <w:shd w:val="clear" w:color="auto" w:fill="auto"/>
            <w:noWrap/>
            <w:vAlign w:val="bottom"/>
            <w:hideMark/>
          </w:tcPr>
          <w:p w:rsidR="00345335" w:rsidRPr="00345335" w:rsidRDefault="00345335" w:rsidP="00345335">
            <w:pPr>
              <w:spacing w:after="0"/>
              <w:rPr>
                <w:rFonts w:ascii="Calibri" w:eastAsia="Times New Roman" w:hAnsi="Calibri" w:cs="Times New Roman"/>
                <w:color w:val="000000"/>
                <w:sz w:val="22"/>
                <w:szCs w:val="22"/>
                <w:lang w:eastAsia="en-US"/>
              </w:rPr>
            </w:pPr>
            <w:r w:rsidRPr="00345335">
              <w:rPr>
                <w:rFonts w:ascii="Calibri" w:eastAsia="Times New Roman" w:hAnsi="Calibri" w:cs="Times New Roman"/>
                <w:color w:val="000000"/>
                <w:sz w:val="22"/>
                <w:szCs w:val="22"/>
                <w:lang w:eastAsia="en-US"/>
              </w:rPr>
              <w:t> </w:t>
            </w:r>
          </w:p>
        </w:tc>
        <w:tc>
          <w:tcPr>
            <w:tcW w:w="1112" w:type="dxa"/>
            <w:tcBorders>
              <w:top w:val="nil"/>
              <w:left w:val="nil"/>
              <w:bottom w:val="single" w:sz="8" w:space="0" w:color="auto"/>
              <w:right w:val="nil"/>
            </w:tcBorders>
            <w:shd w:val="clear" w:color="auto" w:fill="auto"/>
            <w:noWrap/>
            <w:vAlign w:val="bottom"/>
            <w:hideMark/>
          </w:tcPr>
          <w:p w:rsidR="00345335" w:rsidRPr="00345335" w:rsidRDefault="00345335" w:rsidP="00345335">
            <w:pPr>
              <w:spacing w:after="0"/>
              <w:rPr>
                <w:rFonts w:ascii="Calibri" w:eastAsia="Times New Roman" w:hAnsi="Calibri" w:cs="Times New Roman"/>
                <w:color w:val="000000"/>
                <w:sz w:val="22"/>
                <w:szCs w:val="22"/>
                <w:lang w:eastAsia="en-US"/>
              </w:rPr>
            </w:pPr>
            <w:r w:rsidRPr="00345335">
              <w:rPr>
                <w:rFonts w:ascii="Calibri" w:eastAsia="Times New Roman" w:hAnsi="Calibri" w:cs="Times New Roman"/>
                <w:color w:val="000000"/>
                <w:sz w:val="22"/>
                <w:szCs w:val="22"/>
                <w:lang w:eastAsia="en-US"/>
              </w:rPr>
              <w:t> </w:t>
            </w:r>
          </w:p>
        </w:tc>
        <w:tc>
          <w:tcPr>
            <w:tcW w:w="901" w:type="dxa"/>
            <w:tcBorders>
              <w:top w:val="nil"/>
              <w:left w:val="nil"/>
              <w:bottom w:val="single" w:sz="8" w:space="0" w:color="auto"/>
              <w:right w:val="nil"/>
            </w:tcBorders>
            <w:shd w:val="clear" w:color="auto" w:fill="auto"/>
            <w:noWrap/>
            <w:vAlign w:val="bottom"/>
            <w:hideMark/>
          </w:tcPr>
          <w:p w:rsidR="00345335" w:rsidRPr="00345335" w:rsidRDefault="00345335" w:rsidP="00345335">
            <w:pPr>
              <w:spacing w:after="0"/>
              <w:rPr>
                <w:rFonts w:ascii="Calibri" w:eastAsia="Times New Roman" w:hAnsi="Calibri" w:cs="Times New Roman"/>
                <w:color w:val="000000"/>
                <w:sz w:val="22"/>
                <w:szCs w:val="22"/>
                <w:lang w:eastAsia="en-US"/>
              </w:rPr>
            </w:pPr>
            <w:r w:rsidRPr="00345335">
              <w:rPr>
                <w:rFonts w:ascii="Calibri" w:eastAsia="Times New Roman" w:hAnsi="Calibri" w:cs="Times New Roman"/>
                <w:color w:val="000000"/>
                <w:sz w:val="22"/>
                <w:szCs w:val="22"/>
                <w:lang w:eastAsia="en-US"/>
              </w:rPr>
              <w:t> </w:t>
            </w:r>
          </w:p>
        </w:tc>
        <w:tc>
          <w:tcPr>
            <w:tcW w:w="1112" w:type="dxa"/>
            <w:tcBorders>
              <w:top w:val="nil"/>
              <w:left w:val="nil"/>
              <w:bottom w:val="single" w:sz="8" w:space="0" w:color="auto"/>
              <w:right w:val="nil"/>
            </w:tcBorders>
            <w:shd w:val="clear" w:color="auto" w:fill="auto"/>
            <w:noWrap/>
            <w:vAlign w:val="bottom"/>
            <w:hideMark/>
          </w:tcPr>
          <w:p w:rsidR="00345335" w:rsidRPr="00345335" w:rsidRDefault="00345335" w:rsidP="00345335">
            <w:pPr>
              <w:spacing w:after="0"/>
              <w:rPr>
                <w:rFonts w:ascii="Calibri" w:eastAsia="Times New Roman" w:hAnsi="Calibri" w:cs="Times New Roman"/>
                <w:color w:val="000000"/>
                <w:sz w:val="22"/>
                <w:szCs w:val="22"/>
                <w:lang w:eastAsia="en-US"/>
              </w:rPr>
            </w:pPr>
            <w:r w:rsidRPr="00345335">
              <w:rPr>
                <w:rFonts w:ascii="Calibri" w:eastAsia="Times New Roman" w:hAnsi="Calibri" w:cs="Times New Roman"/>
                <w:color w:val="000000"/>
                <w:sz w:val="22"/>
                <w:szCs w:val="22"/>
                <w:lang w:eastAsia="en-US"/>
              </w:rPr>
              <w:t> </w:t>
            </w:r>
          </w:p>
        </w:tc>
        <w:tc>
          <w:tcPr>
            <w:tcW w:w="901" w:type="dxa"/>
            <w:tcBorders>
              <w:top w:val="nil"/>
              <w:left w:val="nil"/>
              <w:bottom w:val="single" w:sz="8" w:space="0" w:color="auto"/>
              <w:right w:val="nil"/>
            </w:tcBorders>
            <w:shd w:val="clear" w:color="auto" w:fill="auto"/>
            <w:noWrap/>
            <w:vAlign w:val="bottom"/>
            <w:hideMark/>
          </w:tcPr>
          <w:p w:rsidR="00345335" w:rsidRPr="00345335" w:rsidRDefault="00345335" w:rsidP="00345335">
            <w:pPr>
              <w:spacing w:after="0"/>
              <w:rPr>
                <w:rFonts w:ascii="Calibri" w:eastAsia="Times New Roman" w:hAnsi="Calibri" w:cs="Times New Roman"/>
                <w:color w:val="000000"/>
                <w:sz w:val="22"/>
                <w:szCs w:val="22"/>
                <w:lang w:eastAsia="en-US"/>
              </w:rPr>
            </w:pPr>
            <w:r w:rsidRPr="00345335">
              <w:rPr>
                <w:rFonts w:ascii="Calibri" w:eastAsia="Times New Roman" w:hAnsi="Calibri" w:cs="Times New Roman"/>
                <w:color w:val="000000"/>
                <w:sz w:val="22"/>
                <w:szCs w:val="22"/>
                <w:lang w:eastAsia="en-US"/>
              </w:rPr>
              <w:t> </w:t>
            </w:r>
          </w:p>
        </w:tc>
        <w:tc>
          <w:tcPr>
            <w:tcW w:w="1112" w:type="dxa"/>
            <w:tcBorders>
              <w:top w:val="nil"/>
              <w:left w:val="nil"/>
              <w:bottom w:val="single" w:sz="8" w:space="0" w:color="auto"/>
              <w:right w:val="nil"/>
            </w:tcBorders>
            <w:shd w:val="clear" w:color="auto" w:fill="auto"/>
            <w:noWrap/>
            <w:vAlign w:val="bottom"/>
            <w:hideMark/>
          </w:tcPr>
          <w:p w:rsidR="00345335" w:rsidRPr="00345335" w:rsidRDefault="00345335" w:rsidP="00345335">
            <w:pPr>
              <w:spacing w:after="0"/>
              <w:rPr>
                <w:rFonts w:ascii="Calibri" w:eastAsia="Times New Roman" w:hAnsi="Calibri" w:cs="Times New Roman"/>
                <w:color w:val="000000"/>
                <w:sz w:val="22"/>
                <w:szCs w:val="22"/>
                <w:lang w:eastAsia="en-US"/>
              </w:rPr>
            </w:pPr>
            <w:r w:rsidRPr="00345335">
              <w:rPr>
                <w:rFonts w:ascii="Calibri" w:eastAsia="Times New Roman" w:hAnsi="Calibri" w:cs="Times New Roman"/>
                <w:color w:val="000000"/>
                <w:sz w:val="22"/>
                <w:szCs w:val="22"/>
                <w:lang w:eastAsia="en-US"/>
              </w:rPr>
              <w:t> </w:t>
            </w:r>
          </w:p>
        </w:tc>
        <w:tc>
          <w:tcPr>
            <w:tcW w:w="901" w:type="dxa"/>
            <w:tcBorders>
              <w:top w:val="nil"/>
              <w:left w:val="nil"/>
              <w:bottom w:val="single" w:sz="8" w:space="0" w:color="auto"/>
              <w:right w:val="nil"/>
            </w:tcBorders>
            <w:shd w:val="clear" w:color="auto" w:fill="auto"/>
            <w:noWrap/>
            <w:vAlign w:val="bottom"/>
            <w:hideMark/>
          </w:tcPr>
          <w:p w:rsidR="00345335" w:rsidRPr="00345335" w:rsidRDefault="00345335" w:rsidP="00345335">
            <w:pPr>
              <w:spacing w:after="0"/>
              <w:rPr>
                <w:rFonts w:ascii="Calibri" w:eastAsia="Times New Roman" w:hAnsi="Calibri" w:cs="Times New Roman"/>
                <w:color w:val="000000"/>
                <w:sz w:val="22"/>
                <w:szCs w:val="22"/>
                <w:lang w:eastAsia="en-US"/>
              </w:rPr>
            </w:pPr>
            <w:r w:rsidRPr="00345335">
              <w:rPr>
                <w:rFonts w:ascii="Calibri" w:eastAsia="Times New Roman" w:hAnsi="Calibri" w:cs="Times New Roman"/>
                <w:color w:val="000000"/>
                <w:sz w:val="22"/>
                <w:szCs w:val="22"/>
                <w:lang w:eastAsia="en-US"/>
              </w:rPr>
              <w:t> </w:t>
            </w:r>
          </w:p>
        </w:tc>
        <w:tc>
          <w:tcPr>
            <w:tcW w:w="1112" w:type="dxa"/>
            <w:tcBorders>
              <w:top w:val="nil"/>
              <w:left w:val="nil"/>
              <w:bottom w:val="single" w:sz="8" w:space="0" w:color="auto"/>
              <w:right w:val="single" w:sz="8" w:space="0" w:color="auto"/>
            </w:tcBorders>
            <w:shd w:val="clear" w:color="auto" w:fill="auto"/>
            <w:noWrap/>
            <w:vAlign w:val="bottom"/>
            <w:hideMark/>
          </w:tcPr>
          <w:p w:rsidR="00345335" w:rsidRPr="00345335" w:rsidRDefault="00345335" w:rsidP="00345335">
            <w:pPr>
              <w:spacing w:after="0"/>
              <w:rPr>
                <w:rFonts w:ascii="Calibri" w:eastAsia="Times New Roman" w:hAnsi="Calibri" w:cs="Times New Roman"/>
                <w:color w:val="000000"/>
                <w:sz w:val="22"/>
                <w:szCs w:val="22"/>
                <w:lang w:eastAsia="en-US"/>
              </w:rPr>
            </w:pPr>
            <w:r w:rsidRPr="00345335">
              <w:rPr>
                <w:rFonts w:ascii="Calibri" w:eastAsia="Times New Roman" w:hAnsi="Calibri" w:cs="Times New Roman"/>
                <w:color w:val="000000"/>
                <w:sz w:val="22"/>
                <w:szCs w:val="22"/>
                <w:lang w:eastAsia="en-US"/>
              </w:rPr>
              <w:t> </w:t>
            </w:r>
          </w:p>
        </w:tc>
      </w:tr>
    </w:tbl>
    <w:p w:rsidR="006E6E2D" w:rsidRDefault="006E6E2D" w:rsidP="00827E81"/>
    <w:p w:rsidR="005B75F7" w:rsidRPr="005B75F7" w:rsidRDefault="005B75F7" w:rsidP="005B75F7">
      <w:r w:rsidRPr="005B75F7">
        <w:t xml:space="preserve">First of all, the effect of the proposed changes (see footnote for discussion on estimation of fees used in Table 1) is to actually lower the amount of fees charged on owner-occupied purchase loans for all of the categories selected above. However beneficial this would appear, the pricing remains unusually high relative to the risk involved. One can see that for low LTV loans the LLPA accounts for more than 80% of expected loss. For high LTV, the LLPA covers expected loss plus a lot more. When the annual G-fees are added to the mix, the ratios of total fees relative to expected losses go substantially higher.  Under the proposed changes, compared to 80 LTV loans, the ratio of G-fees earned relative to long-run losses is higher for all LTV categories except 95.01 to 97 LTV.  Also note that expected losses for 80, 85, and 90 LTV loans are fairly equal, yet the total G-fees required for the insured loans is substantially higher. The last column of the table reflects the proposed levels of total G-fees relative to the expected purchase loan losses. It is important to note that, </w:t>
      </w:r>
      <w:r w:rsidRPr="005B75F7">
        <w:lastRenderedPageBreak/>
        <w:t xml:space="preserve">except for loans greater than 95, all of the other LTV groups are either just under 3x or higher.  </w:t>
      </w:r>
    </w:p>
    <w:p w:rsidR="00827E81" w:rsidRDefault="005B75F7" w:rsidP="00827E81">
      <w:r w:rsidRPr="005B75F7">
        <w:t>Based on the attached delivery fee schedules for both Fannie Mae and Freddie Mac, the base fee structure appears to consider purchase loans to have the same risk as rate and term refinanced loans. In the FHFA request for comment regarding eligibility rules for private mortgage insurers, there is a similar absence of differentiation between such loans. Ostensibly, both the pricing grid and the MI stress loss assumptions consider the two types of financing to have the same degree of risk, all other factors considered. However, examination of cumulative default rates based on the released GSE data suggest otherwise. Looking at the performance of these two types of loans by CLTV, FICO and year of origination reveals a substantial difference in default performance. In Table 2, we show the results of the ratios of cumulative default by the above mentioned cuts weighted by the numbers of rate and term refinanced loans in each bucket for each origination year between 1999</w:t>
      </w:r>
      <w:r w:rsidR="00882337">
        <w:t xml:space="preserve"> </w:t>
      </w:r>
      <w:r w:rsidRPr="005B75F7">
        <w:t xml:space="preserve">and 2010. The differences in performance are not trivial. </w:t>
      </w:r>
    </w:p>
    <w:p w:rsidR="00312DF5" w:rsidRDefault="00312DF5" w:rsidP="00827E81"/>
    <w:tbl>
      <w:tblPr>
        <w:tblW w:w="8962" w:type="dxa"/>
        <w:tblInd w:w="93" w:type="dxa"/>
        <w:tblLook w:val="04A0" w:firstRow="1" w:lastRow="0" w:firstColumn="1" w:lastColumn="0" w:noHBand="0" w:noVBand="1"/>
      </w:tblPr>
      <w:tblGrid>
        <w:gridCol w:w="1189"/>
        <w:gridCol w:w="688"/>
        <w:gridCol w:w="1110"/>
        <w:gridCol w:w="1110"/>
        <w:gridCol w:w="1110"/>
        <w:gridCol w:w="1110"/>
        <w:gridCol w:w="1110"/>
        <w:gridCol w:w="688"/>
        <w:gridCol w:w="847"/>
      </w:tblGrid>
      <w:tr w:rsidR="00827E81" w:rsidRPr="00463A62" w:rsidTr="005810A1">
        <w:trPr>
          <w:trHeight w:val="300"/>
        </w:trPr>
        <w:tc>
          <w:tcPr>
            <w:tcW w:w="8962" w:type="dxa"/>
            <w:gridSpan w:val="9"/>
            <w:tcBorders>
              <w:top w:val="single" w:sz="8" w:space="0" w:color="auto"/>
              <w:left w:val="single" w:sz="8" w:space="0" w:color="auto"/>
              <w:bottom w:val="nil"/>
              <w:right w:val="single" w:sz="8" w:space="0" w:color="000000"/>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b/>
                <w:bCs/>
                <w:color w:val="000000"/>
                <w:sz w:val="22"/>
                <w:szCs w:val="22"/>
                <w:lang w:eastAsia="en-US"/>
              </w:rPr>
            </w:pPr>
            <w:r w:rsidRPr="00463A62">
              <w:rPr>
                <w:rFonts w:ascii="Calibri" w:eastAsia="Times New Roman" w:hAnsi="Calibri" w:cs="Times New Roman"/>
                <w:b/>
                <w:bCs/>
                <w:color w:val="000000"/>
                <w:sz w:val="22"/>
                <w:szCs w:val="22"/>
                <w:lang w:eastAsia="en-US"/>
              </w:rPr>
              <w:t>Table 2.   Ratios Of Cumulative Default Rates By FICO By LTV</w:t>
            </w:r>
          </w:p>
        </w:tc>
      </w:tr>
      <w:tr w:rsidR="00827E81" w:rsidRPr="00463A62" w:rsidTr="005810A1">
        <w:trPr>
          <w:trHeight w:val="300"/>
        </w:trPr>
        <w:tc>
          <w:tcPr>
            <w:tcW w:w="8962" w:type="dxa"/>
            <w:gridSpan w:val="9"/>
            <w:tcBorders>
              <w:top w:val="nil"/>
              <w:left w:val="single" w:sz="8" w:space="0" w:color="auto"/>
              <w:bottom w:val="nil"/>
              <w:right w:val="single" w:sz="8" w:space="0" w:color="000000"/>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b/>
                <w:bCs/>
                <w:color w:val="000000"/>
                <w:sz w:val="22"/>
                <w:szCs w:val="22"/>
                <w:lang w:eastAsia="en-US"/>
              </w:rPr>
            </w:pPr>
            <w:r w:rsidRPr="00463A62">
              <w:rPr>
                <w:rFonts w:ascii="Calibri" w:eastAsia="Times New Roman" w:hAnsi="Calibri" w:cs="Times New Roman"/>
                <w:b/>
                <w:bCs/>
                <w:color w:val="000000"/>
                <w:sz w:val="22"/>
                <w:szCs w:val="22"/>
                <w:lang w:eastAsia="en-US"/>
              </w:rPr>
              <w:t>Owner Occupied Fixed Rate</w:t>
            </w:r>
          </w:p>
        </w:tc>
      </w:tr>
      <w:tr w:rsidR="00827E81" w:rsidRPr="00463A62" w:rsidTr="005810A1">
        <w:trPr>
          <w:trHeight w:val="300"/>
        </w:trPr>
        <w:tc>
          <w:tcPr>
            <w:tcW w:w="8962" w:type="dxa"/>
            <w:gridSpan w:val="9"/>
            <w:tcBorders>
              <w:top w:val="nil"/>
              <w:left w:val="single" w:sz="8" w:space="0" w:color="auto"/>
              <w:bottom w:val="nil"/>
              <w:right w:val="single" w:sz="8" w:space="0" w:color="000000"/>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b/>
                <w:bCs/>
                <w:color w:val="000000"/>
                <w:sz w:val="22"/>
                <w:szCs w:val="22"/>
                <w:lang w:eastAsia="en-US"/>
              </w:rPr>
            </w:pPr>
            <w:r w:rsidRPr="00463A62">
              <w:rPr>
                <w:rFonts w:ascii="Calibri" w:eastAsia="Times New Roman" w:hAnsi="Calibri" w:cs="Times New Roman"/>
                <w:b/>
                <w:bCs/>
                <w:color w:val="000000"/>
                <w:sz w:val="22"/>
                <w:szCs w:val="22"/>
                <w:lang w:eastAsia="en-US"/>
              </w:rPr>
              <w:t>Rate and Term Refinanced Loans Versus Purchase</w:t>
            </w:r>
          </w:p>
        </w:tc>
      </w:tr>
      <w:tr w:rsidR="00827E81" w:rsidRPr="00463A62" w:rsidTr="005810A1">
        <w:trPr>
          <w:trHeight w:val="300"/>
        </w:trPr>
        <w:tc>
          <w:tcPr>
            <w:tcW w:w="1189" w:type="dxa"/>
            <w:tcBorders>
              <w:top w:val="nil"/>
              <w:left w:val="single" w:sz="8" w:space="0" w:color="auto"/>
              <w:bottom w:val="nil"/>
              <w:right w:val="nil"/>
            </w:tcBorders>
            <w:shd w:val="clear" w:color="auto" w:fill="auto"/>
            <w:noWrap/>
            <w:vAlign w:val="bottom"/>
            <w:hideMark/>
          </w:tcPr>
          <w:p w:rsidR="00827E81" w:rsidRPr="00463A62" w:rsidRDefault="00827E81" w:rsidP="005810A1">
            <w:pPr>
              <w:spacing w:after="0"/>
              <w:rPr>
                <w:rFonts w:ascii="Calibri" w:eastAsia="Times New Roman" w:hAnsi="Calibri" w:cs="Times New Roman"/>
                <w:color w:val="000000"/>
                <w:sz w:val="22"/>
                <w:szCs w:val="22"/>
                <w:lang w:eastAsia="en-US"/>
              </w:rPr>
            </w:pPr>
            <w:r w:rsidRPr="00463A62">
              <w:rPr>
                <w:rFonts w:ascii="Calibri" w:eastAsia="Times New Roman" w:hAnsi="Calibri" w:cs="Times New Roman"/>
                <w:color w:val="000000"/>
                <w:sz w:val="22"/>
                <w:szCs w:val="22"/>
                <w:lang w:eastAsia="en-US"/>
              </w:rPr>
              <w:t> </w:t>
            </w:r>
          </w:p>
        </w:tc>
        <w:tc>
          <w:tcPr>
            <w:tcW w:w="688" w:type="dxa"/>
            <w:tcBorders>
              <w:top w:val="nil"/>
              <w:left w:val="nil"/>
              <w:bottom w:val="nil"/>
              <w:right w:val="nil"/>
            </w:tcBorders>
            <w:shd w:val="clear" w:color="auto" w:fill="auto"/>
            <w:noWrap/>
            <w:vAlign w:val="bottom"/>
            <w:hideMark/>
          </w:tcPr>
          <w:p w:rsidR="00827E81" w:rsidRPr="00463A62" w:rsidRDefault="00827E81" w:rsidP="005810A1">
            <w:pPr>
              <w:spacing w:after="0"/>
              <w:rPr>
                <w:rFonts w:ascii="Calibri" w:eastAsia="Times New Roman" w:hAnsi="Calibri" w:cs="Times New Roman"/>
                <w:color w:val="000000"/>
                <w:sz w:val="22"/>
                <w:szCs w:val="22"/>
                <w:lang w:eastAsia="en-US"/>
              </w:rPr>
            </w:pPr>
          </w:p>
        </w:tc>
        <w:tc>
          <w:tcPr>
            <w:tcW w:w="1110" w:type="dxa"/>
            <w:tcBorders>
              <w:top w:val="nil"/>
              <w:left w:val="nil"/>
              <w:bottom w:val="nil"/>
              <w:right w:val="nil"/>
            </w:tcBorders>
            <w:shd w:val="clear" w:color="auto" w:fill="auto"/>
            <w:noWrap/>
            <w:vAlign w:val="bottom"/>
            <w:hideMark/>
          </w:tcPr>
          <w:p w:rsidR="00827E81" w:rsidRPr="00463A62" w:rsidRDefault="00827E81" w:rsidP="005810A1">
            <w:pPr>
              <w:spacing w:after="0"/>
              <w:rPr>
                <w:rFonts w:ascii="Calibri" w:eastAsia="Times New Roman" w:hAnsi="Calibri" w:cs="Times New Roman"/>
                <w:color w:val="000000"/>
                <w:sz w:val="22"/>
                <w:szCs w:val="22"/>
                <w:lang w:eastAsia="en-US"/>
              </w:rPr>
            </w:pPr>
          </w:p>
        </w:tc>
        <w:tc>
          <w:tcPr>
            <w:tcW w:w="1110" w:type="dxa"/>
            <w:tcBorders>
              <w:top w:val="nil"/>
              <w:left w:val="nil"/>
              <w:bottom w:val="nil"/>
              <w:right w:val="nil"/>
            </w:tcBorders>
            <w:shd w:val="clear" w:color="auto" w:fill="auto"/>
            <w:noWrap/>
            <w:vAlign w:val="bottom"/>
            <w:hideMark/>
          </w:tcPr>
          <w:p w:rsidR="00827E81" w:rsidRPr="00463A62" w:rsidRDefault="00827E81" w:rsidP="005810A1">
            <w:pPr>
              <w:spacing w:after="0"/>
              <w:rPr>
                <w:rFonts w:ascii="Calibri" w:eastAsia="Times New Roman" w:hAnsi="Calibri" w:cs="Times New Roman"/>
                <w:color w:val="000000"/>
                <w:sz w:val="22"/>
                <w:szCs w:val="22"/>
                <w:lang w:eastAsia="en-US"/>
              </w:rPr>
            </w:pPr>
          </w:p>
        </w:tc>
        <w:tc>
          <w:tcPr>
            <w:tcW w:w="1110" w:type="dxa"/>
            <w:tcBorders>
              <w:top w:val="nil"/>
              <w:left w:val="nil"/>
              <w:bottom w:val="nil"/>
              <w:right w:val="nil"/>
            </w:tcBorders>
            <w:shd w:val="clear" w:color="auto" w:fill="auto"/>
            <w:noWrap/>
            <w:vAlign w:val="bottom"/>
            <w:hideMark/>
          </w:tcPr>
          <w:p w:rsidR="00827E81" w:rsidRPr="00463A62" w:rsidRDefault="00827E81" w:rsidP="005810A1">
            <w:pPr>
              <w:spacing w:after="0"/>
              <w:rPr>
                <w:rFonts w:ascii="Calibri" w:eastAsia="Times New Roman" w:hAnsi="Calibri" w:cs="Times New Roman"/>
                <w:color w:val="000000"/>
                <w:sz w:val="22"/>
                <w:szCs w:val="22"/>
                <w:lang w:eastAsia="en-US"/>
              </w:rPr>
            </w:pPr>
          </w:p>
        </w:tc>
        <w:tc>
          <w:tcPr>
            <w:tcW w:w="1110" w:type="dxa"/>
            <w:tcBorders>
              <w:top w:val="nil"/>
              <w:left w:val="nil"/>
              <w:bottom w:val="nil"/>
              <w:right w:val="nil"/>
            </w:tcBorders>
            <w:shd w:val="clear" w:color="auto" w:fill="auto"/>
            <w:noWrap/>
            <w:vAlign w:val="bottom"/>
            <w:hideMark/>
          </w:tcPr>
          <w:p w:rsidR="00827E81" w:rsidRPr="00463A62" w:rsidRDefault="00827E81" w:rsidP="005810A1">
            <w:pPr>
              <w:spacing w:after="0"/>
              <w:rPr>
                <w:rFonts w:ascii="Calibri" w:eastAsia="Times New Roman" w:hAnsi="Calibri" w:cs="Times New Roman"/>
                <w:color w:val="000000"/>
                <w:sz w:val="22"/>
                <w:szCs w:val="22"/>
                <w:lang w:eastAsia="en-US"/>
              </w:rPr>
            </w:pPr>
          </w:p>
        </w:tc>
        <w:tc>
          <w:tcPr>
            <w:tcW w:w="1110" w:type="dxa"/>
            <w:tcBorders>
              <w:top w:val="nil"/>
              <w:left w:val="nil"/>
              <w:bottom w:val="nil"/>
              <w:right w:val="nil"/>
            </w:tcBorders>
            <w:shd w:val="clear" w:color="auto" w:fill="auto"/>
            <w:noWrap/>
            <w:vAlign w:val="bottom"/>
            <w:hideMark/>
          </w:tcPr>
          <w:p w:rsidR="00827E81" w:rsidRPr="00463A62" w:rsidRDefault="00827E81" w:rsidP="005810A1">
            <w:pPr>
              <w:spacing w:after="0"/>
              <w:rPr>
                <w:rFonts w:ascii="Calibri" w:eastAsia="Times New Roman" w:hAnsi="Calibri" w:cs="Times New Roman"/>
                <w:color w:val="000000"/>
                <w:sz w:val="22"/>
                <w:szCs w:val="22"/>
                <w:lang w:eastAsia="en-US"/>
              </w:rPr>
            </w:pPr>
          </w:p>
        </w:tc>
        <w:tc>
          <w:tcPr>
            <w:tcW w:w="688" w:type="dxa"/>
            <w:tcBorders>
              <w:top w:val="nil"/>
              <w:left w:val="nil"/>
              <w:bottom w:val="nil"/>
              <w:right w:val="nil"/>
            </w:tcBorders>
            <w:shd w:val="clear" w:color="auto" w:fill="auto"/>
            <w:noWrap/>
            <w:vAlign w:val="bottom"/>
            <w:hideMark/>
          </w:tcPr>
          <w:p w:rsidR="00827E81" w:rsidRPr="00463A62" w:rsidRDefault="00827E81" w:rsidP="005810A1">
            <w:pPr>
              <w:spacing w:after="0"/>
              <w:rPr>
                <w:rFonts w:ascii="Calibri" w:eastAsia="Times New Roman" w:hAnsi="Calibri" w:cs="Times New Roman"/>
                <w:color w:val="000000"/>
                <w:sz w:val="22"/>
                <w:szCs w:val="22"/>
                <w:lang w:eastAsia="en-US"/>
              </w:rPr>
            </w:pPr>
          </w:p>
        </w:tc>
        <w:tc>
          <w:tcPr>
            <w:tcW w:w="847" w:type="dxa"/>
            <w:tcBorders>
              <w:top w:val="nil"/>
              <w:left w:val="nil"/>
              <w:bottom w:val="nil"/>
              <w:right w:val="single" w:sz="8" w:space="0" w:color="auto"/>
            </w:tcBorders>
            <w:shd w:val="clear" w:color="auto" w:fill="auto"/>
            <w:noWrap/>
            <w:vAlign w:val="bottom"/>
            <w:hideMark/>
          </w:tcPr>
          <w:p w:rsidR="00827E81" w:rsidRPr="00463A62" w:rsidRDefault="00827E81" w:rsidP="005810A1">
            <w:pPr>
              <w:spacing w:after="0"/>
              <w:rPr>
                <w:rFonts w:ascii="Calibri" w:eastAsia="Times New Roman" w:hAnsi="Calibri" w:cs="Times New Roman"/>
                <w:color w:val="000000"/>
                <w:sz w:val="22"/>
                <w:szCs w:val="22"/>
                <w:lang w:eastAsia="en-US"/>
              </w:rPr>
            </w:pPr>
            <w:r w:rsidRPr="00463A62">
              <w:rPr>
                <w:rFonts w:ascii="Calibri" w:eastAsia="Times New Roman" w:hAnsi="Calibri" w:cs="Times New Roman"/>
                <w:color w:val="000000"/>
                <w:sz w:val="22"/>
                <w:szCs w:val="22"/>
                <w:lang w:eastAsia="en-US"/>
              </w:rPr>
              <w:t> </w:t>
            </w:r>
          </w:p>
        </w:tc>
      </w:tr>
      <w:tr w:rsidR="00827E81" w:rsidRPr="00463A62" w:rsidTr="005810A1">
        <w:trPr>
          <w:trHeight w:val="300"/>
        </w:trPr>
        <w:tc>
          <w:tcPr>
            <w:tcW w:w="1189" w:type="dxa"/>
            <w:tcBorders>
              <w:top w:val="nil"/>
              <w:left w:val="single" w:sz="8" w:space="0" w:color="auto"/>
              <w:bottom w:val="nil"/>
              <w:right w:val="nil"/>
            </w:tcBorders>
            <w:shd w:val="clear" w:color="auto" w:fill="auto"/>
            <w:noWrap/>
            <w:vAlign w:val="bottom"/>
            <w:hideMark/>
          </w:tcPr>
          <w:p w:rsidR="00827E81" w:rsidRPr="00463A62" w:rsidRDefault="00827E81" w:rsidP="005810A1">
            <w:pPr>
              <w:spacing w:after="0"/>
              <w:rPr>
                <w:rFonts w:ascii="Calibri" w:eastAsia="Times New Roman" w:hAnsi="Calibri" w:cs="Times New Roman"/>
                <w:color w:val="000000"/>
                <w:sz w:val="20"/>
                <w:szCs w:val="20"/>
                <w:lang w:eastAsia="en-US"/>
              </w:rPr>
            </w:pPr>
            <w:r w:rsidRPr="00463A62">
              <w:rPr>
                <w:rFonts w:ascii="Calibri" w:eastAsia="Times New Roman" w:hAnsi="Calibri" w:cs="Times New Roman"/>
                <w:color w:val="000000"/>
                <w:sz w:val="20"/>
                <w:szCs w:val="20"/>
                <w:lang w:eastAsia="en-US"/>
              </w:rPr>
              <w:t> </w:t>
            </w:r>
          </w:p>
        </w:tc>
        <w:tc>
          <w:tcPr>
            <w:tcW w:w="688" w:type="dxa"/>
            <w:tcBorders>
              <w:top w:val="nil"/>
              <w:left w:val="nil"/>
              <w:bottom w:val="nil"/>
              <w:right w:val="nil"/>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b/>
                <w:bCs/>
                <w:color w:val="000000"/>
                <w:sz w:val="20"/>
                <w:szCs w:val="20"/>
                <w:u w:val="single"/>
                <w:lang w:eastAsia="en-US"/>
              </w:rPr>
            </w:pPr>
            <w:r w:rsidRPr="00463A62">
              <w:rPr>
                <w:rFonts w:ascii="Calibri" w:eastAsia="Times New Roman" w:hAnsi="Calibri" w:cs="Times New Roman"/>
                <w:b/>
                <w:bCs/>
                <w:color w:val="000000"/>
                <w:sz w:val="20"/>
                <w:szCs w:val="20"/>
                <w:u w:val="single"/>
                <w:lang w:eastAsia="en-US"/>
              </w:rPr>
              <w:t>&lt;620</w:t>
            </w:r>
          </w:p>
        </w:tc>
        <w:tc>
          <w:tcPr>
            <w:tcW w:w="1110" w:type="dxa"/>
            <w:tcBorders>
              <w:top w:val="nil"/>
              <w:left w:val="nil"/>
              <w:bottom w:val="nil"/>
              <w:right w:val="nil"/>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b/>
                <w:bCs/>
                <w:color w:val="000000"/>
                <w:sz w:val="20"/>
                <w:szCs w:val="20"/>
                <w:u w:val="single"/>
                <w:lang w:eastAsia="en-US"/>
              </w:rPr>
            </w:pPr>
            <w:r w:rsidRPr="00463A62">
              <w:rPr>
                <w:rFonts w:ascii="Calibri" w:eastAsia="Times New Roman" w:hAnsi="Calibri" w:cs="Times New Roman"/>
                <w:b/>
                <w:bCs/>
                <w:color w:val="000000"/>
                <w:sz w:val="20"/>
                <w:szCs w:val="20"/>
                <w:u w:val="single"/>
                <w:lang w:eastAsia="en-US"/>
              </w:rPr>
              <w:t>620-639</w:t>
            </w:r>
          </w:p>
        </w:tc>
        <w:tc>
          <w:tcPr>
            <w:tcW w:w="1110" w:type="dxa"/>
            <w:tcBorders>
              <w:top w:val="nil"/>
              <w:left w:val="nil"/>
              <w:bottom w:val="nil"/>
              <w:right w:val="nil"/>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b/>
                <w:bCs/>
                <w:color w:val="000000"/>
                <w:sz w:val="20"/>
                <w:szCs w:val="20"/>
                <w:u w:val="single"/>
                <w:lang w:eastAsia="en-US"/>
              </w:rPr>
            </w:pPr>
            <w:r w:rsidRPr="00463A62">
              <w:rPr>
                <w:rFonts w:ascii="Calibri" w:eastAsia="Times New Roman" w:hAnsi="Calibri" w:cs="Times New Roman"/>
                <w:b/>
                <w:bCs/>
                <w:color w:val="000000"/>
                <w:sz w:val="20"/>
                <w:szCs w:val="20"/>
                <w:u w:val="single"/>
                <w:lang w:eastAsia="en-US"/>
              </w:rPr>
              <w:t>640-659</w:t>
            </w:r>
          </w:p>
        </w:tc>
        <w:tc>
          <w:tcPr>
            <w:tcW w:w="1110" w:type="dxa"/>
            <w:tcBorders>
              <w:top w:val="nil"/>
              <w:left w:val="nil"/>
              <w:bottom w:val="nil"/>
              <w:right w:val="nil"/>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b/>
                <w:bCs/>
                <w:color w:val="000000"/>
                <w:sz w:val="20"/>
                <w:szCs w:val="20"/>
                <w:u w:val="single"/>
                <w:lang w:eastAsia="en-US"/>
              </w:rPr>
            </w:pPr>
            <w:r w:rsidRPr="00463A62">
              <w:rPr>
                <w:rFonts w:ascii="Calibri" w:eastAsia="Times New Roman" w:hAnsi="Calibri" w:cs="Times New Roman"/>
                <w:b/>
                <w:bCs/>
                <w:color w:val="000000"/>
                <w:sz w:val="20"/>
                <w:szCs w:val="20"/>
                <w:u w:val="single"/>
                <w:lang w:eastAsia="en-US"/>
              </w:rPr>
              <w:t>660-689</w:t>
            </w:r>
          </w:p>
        </w:tc>
        <w:tc>
          <w:tcPr>
            <w:tcW w:w="1110" w:type="dxa"/>
            <w:tcBorders>
              <w:top w:val="nil"/>
              <w:left w:val="nil"/>
              <w:bottom w:val="nil"/>
              <w:right w:val="nil"/>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b/>
                <w:bCs/>
                <w:color w:val="000000"/>
                <w:sz w:val="20"/>
                <w:szCs w:val="20"/>
                <w:u w:val="single"/>
                <w:lang w:eastAsia="en-US"/>
              </w:rPr>
            </w:pPr>
            <w:r w:rsidRPr="00463A62">
              <w:rPr>
                <w:rFonts w:ascii="Calibri" w:eastAsia="Times New Roman" w:hAnsi="Calibri" w:cs="Times New Roman"/>
                <w:b/>
                <w:bCs/>
                <w:color w:val="000000"/>
                <w:sz w:val="20"/>
                <w:szCs w:val="20"/>
                <w:u w:val="single"/>
                <w:lang w:eastAsia="en-US"/>
              </w:rPr>
              <w:t>690-719</w:t>
            </w:r>
          </w:p>
        </w:tc>
        <w:tc>
          <w:tcPr>
            <w:tcW w:w="1110" w:type="dxa"/>
            <w:tcBorders>
              <w:top w:val="nil"/>
              <w:left w:val="nil"/>
              <w:bottom w:val="nil"/>
              <w:right w:val="nil"/>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b/>
                <w:bCs/>
                <w:color w:val="000000"/>
                <w:sz w:val="20"/>
                <w:szCs w:val="20"/>
                <w:u w:val="single"/>
                <w:lang w:eastAsia="en-US"/>
              </w:rPr>
            </w:pPr>
            <w:r w:rsidRPr="00463A62">
              <w:rPr>
                <w:rFonts w:ascii="Calibri" w:eastAsia="Times New Roman" w:hAnsi="Calibri" w:cs="Times New Roman"/>
                <w:b/>
                <w:bCs/>
                <w:color w:val="000000"/>
                <w:sz w:val="20"/>
                <w:szCs w:val="20"/>
                <w:u w:val="single"/>
                <w:lang w:eastAsia="en-US"/>
              </w:rPr>
              <w:t>720-769</w:t>
            </w:r>
          </w:p>
        </w:tc>
        <w:tc>
          <w:tcPr>
            <w:tcW w:w="688" w:type="dxa"/>
            <w:tcBorders>
              <w:top w:val="nil"/>
              <w:left w:val="nil"/>
              <w:bottom w:val="nil"/>
              <w:right w:val="nil"/>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b/>
                <w:bCs/>
                <w:color w:val="000000"/>
                <w:sz w:val="20"/>
                <w:szCs w:val="20"/>
                <w:u w:val="single"/>
                <w:lang w:eastAsia="en-US"/>
              </w:rPr>
            </w:pPr>
            <w:r w:rsidRPr="00463A62">
              <w:rPr>
                <w:rFonts w:ascii="Calibri" w:eastAsia="Times New Roman" w:hAnsi="Calibri" w:cs="Times New Roman"/>
                <w:b/>
                <w:bCs/>
                <w:color w:val="000000"/>
                <w:sz w:val="20"/>
                <w:szCs w:val="20"/>
                <w:u w:val="single"/>
                <w:lang w:eastAsia="en-US"/>
              </w:rPr>
              <w:t>770+</w:t>
            </w:r>
          </w:p>
        </w:tc>
        <w:tc>
          <w:tcPr>
            <w:tcW w:w="847" w:type="dxa"/>
            <w:tcBorders>
              <w:top w:val="nil"/>
              <w:left w:val="nil"/>
              <w:bottom w:val="nil"/>
              <w:right w:val="single" w:sz="8" w:space="0" w:color="auto"/>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b/>
                <w:bCs/>
                <w:color w:val="000000"/>
                <w:sz w:val="20"/>
                <w:szCs w:val="20"/>
                <w:u w:val="single"/>
                <w:lang w:eastAsia="en-US"/>
              </w:rPr>
            </w:pPr>
            <w:r w:rsidRPr="00463A62">
              <w:rPr>
                <w:rFonts w:ascii="Calibri" w:eastAsia="Times New Roman" w:hAnsi="Calibri" w:cs="Times New Roman"/>
                <w:b/>
                <w:bCs/>
                <w:color w:val="000000"/>
                <w:sz w:val="20"/>
                <w:szCs w:val="20"/>
                <w:u w:val="single"/>
                <w:lang w:eastAsia="en-US"/>
              </w:rPr>
              <w:t>Totals</w:t>
            </w:r>
          </w:p>
        </w:tc>
      </w:tr>
      <w:tr w:rsidR="00827E81" w:rsidRPr="00463A62" w:rsidTr="005810A1">
        <w:trPr>
          <w:trHeight w:val="300"/>
        </w:trPr>
        <w:tc>
          <w:tcPr>
            <w:tcW w:w="1189" w:type="dxa"/>
            <w:tcBorders>
              <w:top w:val="nil"/>
              <w:left w:val="single" w:sz="8" w:space="0" w:color="auto"/>
              <w:bottom w:val="nil"/>
              <w:right w:val="nil"/>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b/>
                <w:bCs/>
                <w:color w:val="000000"/>
                <w:sz w:val="20"/>
                <w:szCs w:val="20"/>
                <w:u w:val="single"/>
                <w:lang w:eastAsia="en-US"/>
              </w:rPr>
            </w:pPr>
            <w:r w:rsidRPr="00463A62">
              <w:rPr>
                <w:rFonts w:ascii="Calibri" w:eastAsia="Times New Roman" w:hAnsi="Calibri" w:cs="Times New Roman"/>
                <w:b/>
                <w:bCs/>
                <w:color w:val="000000"/>
                <w:sz w:val="20"/>
                <w:szCs w:val="20"/>
                <w:u w:val="single"/>
                <w:lang w:eastAsia="en-US"/>
              </w:rPr>
              <w:t xml:space="preserve">LTV </w:t>
            </w:r>
          </w:p>
        </w:tc>
        <w:tc>
          <w:tcPr>
            <w:tcW w:w="688" w:type="dxa"/>
            <w:tcBorders>
              <w:top w:val="nil"/>
              <w:left w:val="nil"/>
              <w:bottom w:val="nil"/>
              <w:right w:val="nil"/>
            </w:tcBorders>
            <w:shd w:val="clear" w:color="auto" w:fill="auto"/>
            <w:noWrap/>
            <w:vAlign w:val="bottom"/>
            <w:hideMark/>
          </w:tcPr>
          <w:p w:rsidR="00827E81" w:rsidRPr="00463A62" w:rsidRDefault="00827E81" w:rsidP="005810A1">
            <w:pPr>
              <w:spacing w:after="0"/>
              <w:rPr>
                <w:rFonts w:ascii="Calibri" w:eastAsia="Times New Roman" w:hAnsi="Calibri" w:cs="Times New Roman"/>
                <w:color w:val="000000"/>
                <w:sz w:val="20"/>
                <w:szCs w:val="20"/>
                <w:lang w:eastAsia="en-US"/>
              </w:rPr>
            </w:pPr>
          </w:p>
        </w:tc>
        <w:tc>
          <w:tcPr>
            <w:tcW w:w="1110" w:type="dxa"/>
            <w:tcBorders>
              <w:top w:val="nil"/>
              <w:left w:val="nil"/>
              <w:bottom w:val="nil"/>
              <w:right w:val="nil"/>
            </w:tcBorders>
            <w:shd w:val="clear" w:color="auto" w:fill="auto"/>
            <w:noWrap/>
            <w:vAlign w:val="bottom"/>
            <w:hideMark/>
          </w:tcPr>
          <w:p w:rsidR="00827E81" w:rsidRPr="00463A62" w:rsidRDefault="00827E81" w:rsidP="005810A1">
            <w:pPr>
              <w:spacing w:after="0"/>
              <w:rPr>
                <w:rFonts w:ascii="Calibri" w:eastAsia="Times New Roman" w:hAnsi="Calibri" w:cs="Times New Roman"/>
                <w:color w:val="000000"/>
                <w:sz w:val="20"/>
                <w:szCs w:val="20"/>
                <w:lang w:eastAsia="en-US"/>
              </w:rPr>
            </w:pPr>
          </w:p>
        </w:tc>
        <w:tc>
          <w:tcPr>
            <w:tcW w:w="1110" w:type="dxa"/>
            <w:tcBorders>
              <w:top w:val="nil"/>
              <w:left w:val="nil"/>
              <w:bottom w:val="nil"/>
              <w:right w:val="nil"/>
            </w:tcBorders>
            <w:shd w:val="clear" w:color="auto" w:fill="auto"/>
            <w:noWrap/>
            <w:vAlign w:val="bottom"/>
            <w:hideMark/>
          </w:tcPr>
          <w:p w:rsidR="00827E81" w:rsidRPr="00463A62" w:rsidRDefault="00827E81" w:rsidP="005810A1">
            <w:pPr>
              <w:spacing w:after="0"/>
              <w:rPr>
                <w:rFonts w:ascii="Calibri" w:eastAsia="Times New Roman" w:hAnsi="Calibri" w:cs="Times New Roman"/>
                <w:color w:val="000000"/>
                <w:sz w:val="20"/>
                <w:szCs w:val="20"/>
                <w:lang w:eastAsia="en-US"/>
              </w:rPr>
            </w:pPr>
          </w:p>
        </w:tc>
        <w:tc>
          <w:tcPr>
            <w:tcW w:w="1110" w:type="dxa"/>
            <w:tcBorders>
              <w:top w:val="nil"/>
              <w:left w:val="nil"/>
              <w:bottom w:val="nil"/>
              <w:right w:val="nil"/>
            </w:tcBorders>
            <w:shd w:val="clear" w:color="auto" w:fill="auto"/>
            <w:noWrap/>
            <w:vAlign w:val="bottom"/>
            <w:hideMark/>
          </w:tcPr>
          <w:p w:rsidR="00827E81" w:rsidRPr="00463A62" w:rsidRDefault="00827E81" w:rsidP="005810A1">
            <w:pPr>
              <w:spacing w:after="0"/>
              <w:rPr>
                <w:rFonts w:ascii="Calibri" w:eastAsia="Times New Roman" w:hAnsi="Calibri" w:cs="Times New Roman"/>
                <w:color w:val="000000"/>
                <w:sz w:val="20"/>
                <w:szCs w:val="20"/>
                <w:lang w:eastAsia="en-US"/>
              </w:rPr>
            </w:pPr>
          </w:p>
        </w:tc>
        <w:tc>
          <w:tcPr>
            <w:tcW w:w="1110" w:type="dxa"/>
            <w:tcBorders>
              <w:top w:val="nil"/>
              <w:left w:val="nil"/>
              <w:bottom w:val="nil"/>
              <w:right w:val="nil"/>
            </w:tcBorders>
            <w:shd w:val="clear" w:color="auto" w:fill="auto"/>
            <w:noWrap/>
            <w:vAlign w:val="bottom"/>
            <w:hideMark/>
          </w:tcPr>
          <w:p w:rsidR="00827E81" w:rsidRPr="00463A62" w:rsidRDefault="00827E81" w:rsidP="005810A1">
            <w:pPr>
              <w:spacing w:after="0"/>
              <w:rPr>
                <w:rFonts w:ascii="Calibri" w:eastAsia="Times New Roman" w:hAnsi="Calibri" w:cs="Times New Roman"/>
                <w:color w:val="000000"/>
                <w:sz w:val="20"/>
                <w:szCs w:val="20"/>
                <w:lang w:eastAsia="en-US"/>
              </w:rPr>
            </w:pPr>
          </w:p>
        </w:tc>
        <w:tc>
          <w:tcPr>
            <w:tcW w:w="1110" w:type="dxa"/>
            <w:tcBorders>
              <w:top w:val="nil"/>
              <w:left w:val="nil"/>
              <w:bottom w:val="nil"/>
              <w:right w:val="nil"/>
            </w:tcBorders>
            <w:shd w:val="clear" w:color="auto" w:fill="auto"/>
            <w:noWrap/>
            <w:vAlign w:val="bottom"/>
            <w:hideMark/>
          </w:tcPr>
          <w:p w:rsidR="00827E81" w:rsidRPr="00463A62" w:rsidRDefault="00827E81" w:rsidP="005810A1">
            <w:pPr>
              <w:spacing w:after="0"/>
              <w:rPr>
                <w:rFonts w:ascii="Calibri" w:eastAsia="Times New Roman" w:hAnsi="Calibri" w:cs="Times New Roman"/>
                <w:color w:val="000000"/>
                <w:sz w:val="20"/>
                <w:szCs w:val="20"/>
                <w:lang w:eastAsia="en-US"/>
              </w:rPr>
            </w:pPr>
          </w:p>
        </w:tc>
        <w:tc>
          <w:tcPr>
            <w:tcW w:w="688" w:type="dxa"/>
            <w:tcBorders>
              <w:top w:val="nil"/>
              <w:left w:val="nil"/>
              <w:bottom w:val="nil"/>
              <w:right w:val="nil"/>
            </w:tcBorders>
            <w:shd w:val="clear" w:color="auto" w:fill="auto"/>
            <w:noWrap/>
            <w:vAlign w:val="bottom"/>
            <w:hideMark/>
          </w:tcPr>
          <w:p w:rsidR="00827E81" w:rsidRPr="00463A62" w:rsidRDefault="00827E81" w:rsidP="005810A1">
            <w:pPr>
              <w:spacing w:after="0"/>
              <w:rPr>
                <w:rFonts w:ascii="Calibri" w:eastAsia="Times New Roman" w:hAnsi="Calibri" w:cs="Times New Roman"/>
                <w:color w:val="000000"/>
                <w:sz w:val="20"/>
                <w:szCs w:val="20"/>
                <w:lang w:eastAsia="en-US"/>
              </w:rPr>
            </w:pPr>
          </w:p>
        </w:tc>
        <w:tc>
          <w:tcPr>
            <w:tcW w:w="847" w:type="dxa"/>
            <w:tcBorders>
              <w:top w:val="nil"/>
              <w:left w:val="nil"/>
              <w:bottom w:val="nil"/>
              <w:right w:val="single" w:sz="8" w:space="0" w:color="auto"/>
            </w:tcBorders>
            <w:shd w:val="clear" w:color="auto" w:fill="auto"/>
            <w:noWrap/>
            <w:vAlign w:val="bottom"/>
            <w:hideMark/>
          </w:tcPr>
          <w:p w:rsidR="00827E81" w:rsidRPr="00463A62" w:rsidRDefault="00827E81" w:rsidP="005810A1">
            <w:pPr>
              <w:spacing w:after="0"/>
              <w:rPr>
                <w:rFonts w:ascii="Calibri" w:eastAsia="Times New Roman" w:hAnsi="Calibri" w:cs="Times New Roman"/>
                <w:color w:val="000000"/>
                <w:sz w:val="20"/>
                <w:szCs w:val="20"/>
                <w:lang w:eastAsia="en-US"/>
              </w:rPr>
            </w:pPr>
            <w:r w:rsidRPr="00463A62">
              <w:rPr>
                <w:rFonts w:ascii="Calibri" w:eastAsia="Times New Roman" w:hAnsi="Calibri" w:cs="Times New Roman"/>
                <w:color w:val="000000"/>
                <w:sz w:val="20"/>
                <w:szCs w:val="20"/>
                <w:lang w:eastAsia="en-US"/>
              </w:rPr>
              <w:t> </w:t>
            </w:r>
          </w:p>
        </w:tc>
      </w:tr>
      <w:tr w:rsidR="00827E81" w:rsidRPr="00463A62" w:rsidTr="005810A1">
        <w:trPr>
          <w:trHeight w:val="300"/>
        </w:trPr>
        <w:tc>
          <w:tcPr>
            <w:tcW w:w="1189" w:type="dxa"/>
            <w:tcBorders>
              <w:top w:val="nil"/>
              <w:left w:val="single" w:sz="8" w:space="0" w:color="auto"/>
              <w:bottom w:val="nil"/>
              <w:right w:val="nil"/>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color w:val="000000"/>
                <w:sz w:val="20"/>
                <w:szCs w:val="20"/>
                <w:lang w:eastAsia="en-US"/>
              </w:rPr>
            </w:pPr>
            <w:r w:rsidRPr="00463A62">
              <w:rPr>
                <w:rFonts w:ascii="Calibri" w:eastAsia="Times New Roman" w:hAnsi="Calibri" w:cs="Times New Roman"/>
                <w:color w:val="000000"/>
                <w:sz w:val="20"/>
                <w:szCs w:val="20"/>
                <w:lang w:eastAsia="en-US"/>
              </w:rPr>
              <w:t>&lt;=60</w:t>
            </w:r>
          </w:p>
        </w:tc>
        <w:tc>
          <w:tcPr>
            <w:tcW w:w="688" w:type="dxa"/>
            <w:tcBorders>
              <w:top w:val="nil"/>
              <w:left w:val="nil"/>
              <w:bottom w:val="nil"/>
              <w:right w:val="nil"/>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color w:val="000000"/>
                <w:sz w:val="20"/>
                <w:szCs w:val="20"/>
                <w:lang w:eastAsia="en-US"/>
              </w:rPr>
            </w:pPr>
            <w:r w:rsidRPr="00463A62">
              <w:rPr>
                <w:rFonts w:ascii="Calibri" w:eastAsia="Times New Roman" w:hAnsi="Calibri" w:cs="Times New Roman"/>
                <w:color w:val="000000"/>
                <w:sz w:val="20"/>
                <w:szCs w:val="20"/>
                <w:lang w:eastAsia="en-US"/>
              </w:rPr>
              <w:t>1.26</w:t>
            </w:r>
          </w:p>
        </w:tc>
        <w:tc>
          <w:tcPr>
            <w:tcW w:w="1110" w:type="dxa"/>
            <w:tcBorders>
              <w:top w:val="nil"/>
              <w:left w:val="nil"/>
              <w:bottom w:val="nil"/>
              <w:right w:val="nil"/>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color w:val="000000"/>
                <w:sz w:val="20"/>
                <w:szCs w:val="20"/>
                <w:lang w:eastAsia="en-US"/>
              </w:rPr>
            </w:pPr>
            <w:r w:rsidRPr="00463A62">
              <w:rPr>
                <w:rFonts w:ascii="Calibri" w:eastAsia="Times New Roman" w:hAnsi="Calibri" w:cs="Times New Roman"/>
                <w:color w:val="000000"/>
                <w:sz w:val="20"/>
                <w:szCs w:val="20"/>
                <w:lang w:eastAsia="en-US"/>
              </w:rPr>
              <w:t>1.32</w:t>
            </w:r>
          </w:p>
        </w:tc>
        <w:tc>
          <w:tcPr>
            <w:tcW w:w="1110" w:type="dxa"/>
            <w:tcBorders>
              <w:top w:val="nil"/>
              <w:left w:val="nil"/>
              <w:bottom w:val="nil"/>
              <w:right w:val="nil"/>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color w:val="000000"/>
                <w:sz w:val="20"/>
                <w:szCs w:val="20"/>
                <w:lang w:eastAsia="en-US"/>
              </w:rPr>
            </w:pPr>
            <w:r w:rsidRPr="00463A62">
              <w:rPr>
                <w:rFonts w:ascii="Calibri" w:eastAsia="Times New Roman" w:hAnsi="Calibri" w:cs="Times New Roman"/>
                <w:color w:val="000000"/>
                <w:sz w:val="20"/>
                <w:szCs w:val="20"/>
                <w:lang w:eastAsia="en-US"/>
              </w:rPr>
              <w:t>1.46</w:t>
            </w:r>
          </w:p>
        </w:tc>
        <w:tc>
          <w:tcPr>
            <w:tcW w:w="1110" w:type="dxa"/>
            <w:tcBorders>
              <w:top w:val="nil"/>
              <w:left w:val="nil"/>
              <w:bottom w:val="nil"/>
              <w:right w:val="nil"/>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color w:val="000000"/>
                <w:sz w:val="20"/>
                <w:szCs w:val="20"/>
                <w:lang w:eastAsia="en-US"/>
              </w:rPr>
            </w:pPr>
            <w:r w:rsidRPr="00463A62">
              <w:rPr>
                <w:rFonts w:ascii="Calibri" w:eastAsia="Times New Roman" w:hAnsi="Calibri" w:cs="Times New Roman"/>
                <w:color w:val="000000"/>
                <w:sz w:val="20"/>
                <w:szCs w:val="20"/>
                <w:lang w:eastAsia="en-US"/>
              </w:rPr>
              <w:t>1.49</w:t>
            </w:r>
          </w:p>
        </w:tc>
        <w:tc>
          <w:tcPr>
            <w:tcW w:w="1110" w:type="dxa"/>
            <w:tcBorders>
              <w:top w:val="nil"/>
              <w:left w:val="nil"/>
              <w:bottom w:val="nil"/>
              <w:right w:val="nil"/>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color w:val="000000"/>
                <w:sz w:val="20"/>
                <w:szCs w:val="20"/>
                <w:lang w:eastAsia="en-US"/>
              </w:rPr>
            </w:pPr>
            <w:r w:rsidRPr="00463A62">
              <w:rPr>
                <w:rFonts w:ascii="Calibri" w:eastAsia="Times New Roman" w:hAnsi="Calibri" w:cs="Times New Roman"/>
                <w:color w:val="000000"/>
                <w:sz w:val="20"/>
                <w:szCs w:val="20"/>
                <w:lang w:eastAsia="en-US"/>
              </w:rPr>
              <w:t>1.29</w:t>
            </w:r>
          </w:p>
        </w:tc>
        <w:tc>
          <w:tcPr>
            <w:tcW w:w="1110" w:type="dxa"/>
            <w:tcBorders>
              <w:top w:val="nil"/>
              <w:left w:val="nil"/>
              <w:bottom w:val="nil"/>
              <w:right w:val="nil"/>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color w:val="000000"/>
                <w:sz w:val="20"/>
                <w:szCs w:val="20"/>
                <w:lang w:eastAsia="en-US"/>
              </w:rPr>
            </w:pPr>
            <w:r w:rsidRPr="00463A62">
              <w:rPr>
                <w:rFonts w:ascii="Calibri" w:eastAsia="Times New Roman" w:hAnsi="Calibri" w:cs="Times New Roman"/>
                <w:color w:val="000000"/>
                <w:sz w:val="20"/>
                <w:szCs w:val="20"/>
                <w:lang w:eastAsia="en-US"/>
              </w:rPr>
              <w:t>1.42</w:t>
            </w:r>
          </w:p>
        </w:tc>
        <w:tc>
          <w:tcPr>
            <w:tcW w:w="688" w:type="dxa"/>
            <w:tcBorders>
              <w:top w:val="nil"/>
              <w:left w:val="nil"/>
              <w:bottom w:val="nil"/>
              <w:right w:val="nil"/>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color w:val="000000"/>
                <w:sz w:val="20"/>
                <w:szCs w:val="20"/>
                <w:lang w:eastAsia="en-US"/>
              </w:rPr>
            </w:pPr>
            <w:r w:rsidRPr="00463A62">
              <w:rPr>
                <w:rFonts w:ascii="Calibri" w:eastAsia="Times New Roman" w:hAnsi="Calibri" w:cs="Times New Roman"/>
                <w:color w:val="000000"/>
                <w:sz w:val="20"/>
                <w:szCs w:val="20"/>
                <w:lang w:eastAsia="en-US"/>
              </w:rPr>
              <w:t>1.31</w:t>
            </w:r>
          </w:p>
        </w:tc>
        <w:tc>
          <w:tcPr>
            <w:tcW w:w="847" w:type="dxa"/>
            <w:tcBorders>
              <w:top w:val="nil"/>
              <w:left w:val="nil"/>
              <w:bottom w:val="nil"/>
              <w:right w:val="single" w:sz="8" w:space="0" w:color="auto"/>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b/>
                <w:bCs/>
                <w:color w:val="000000"/>
                <w:sz w:val="20"/>
                <w:szCs w:val="20"/>
                <w:lang w:eastAsia="en-US"/>
              </w:rPr>
            </w:pPr>
            <w:r w:rsidRPr="00463A62">
              <w:rPr>
                <w:rFonts w:ascii="Calibri" w:eastAsia="Times New Roman" w:hAnsi="Calibri" w:cs="Times New Roman"/>
                <w:b/>
                <w:bCs/>
                <w:color w:val="000000"/>
                <w:sz w:val="20"/>
                <w:szCs w:val="20"/>
                <w:lang w:eastAsia="en-US"/>
              </w:rPr>
              <w:t>1.36</w:t>
            </w:r>
          </w:p>
        </w:tc>
      </w:tr>
      <w:tr w:rsidR="00827E81" w:rsidRPr="00463A62" w:rsidTr="005810A1">
        <w:trPr>
          <w:trHeight w:val="300"/>
        </w:trPr>
        <w:tc>
          <w:tcPr>
            <w:tcW w:w="1189" w:type="dxa"/>
            <w:tcBorders>
              <w:top w:val="nil"/>
              <w:left w:val="single" w:sz="8" w:space="0" w:color="auto"/>
              <w:bottom w:val="nil"/>
              <w:right w:val="nil"/>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color w:val="000000"/>
                <w:sz w:val="20"/>
                <w:szCs w:val="20"/>
                <w:lang w:eastAsia="en-US"/>
              </w:rPr>
            </w:pPr>
            <w:r w:rsidRPr="00463A62">
              <w:rPr>
                <w:rFonts w:ascii="Calibri" w:eastAsia="Times New Roman" w:hAnsi="Calibri" w:cs="Times New Roman"/>
                <w:color w:val="000000"/>
                <w:sz w:val="20"/>
                <w:szCs w:val="20"/>
                <w:lang w:eastAsia="en-US"/>
              </w:rPr>
              <w:t>60.01-70</w:t>
            </w:r>
          </w:p>
        </w:tc>
        <w:tc>
          <w:tcPr>
            <w:tcW w:w="688" w:type="dxa"/>
            <w:tcBorders>
              <w:top w:val="nil"/>
              <w:left w:val="nil"/>
              <w:bottom w:val="nil"/>
              <w:right w:val="nil"/>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color w:val="000000"/>
                <w:sz w:val="20"/>
                <w:szCs w:val="20"/>
                <w:lang w:eastAsia="en-US"/>
              </w:rPr>
            </w:pPr>
            <w:r w:rsidRPr="00463A62">
              <w:rPr>
                <w:rFonts w:ascii="Calibri" w:eastAsia="Times New Roman" w:hAnsi="Calibri" w:cs="Times New Roman"/>
                <w:color w:val="000000"/>
                <w:sz w:val="20"/>
                <w:szCs w:val="20"/>
                <w:lang w:eastAsia="en-US"/>
              </w:rPr>
              <w:t>1.45</w:t>
            </w:r>
          </w:p>
        </w:tc>
        <w:tc>
          <w:tcPr>
            <w:tcW w:w="1110" w:type="dxa"/>
            <w:tcBorders>
              <w:top w:val="nil"/>
              <w:left w:val="nil"/>
              <w:bottom w:val="nil"/>
              <w:right w:val="nil"/>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color w:val="000000"/>
                <w:sz w:val="20"/>
                <w:szCs w:val="20"/>
                <w:lang w:eastAsia="en-US"/>
              </w:rPr>
            </w:pPr>
            <w:r w:rsidRPr="00463A62">
              <w:rPr>
                <w:rFonts w:ascii="Calibri" w:eastAsia="Times New Roman" w:hAnsi="Calibri" w:cs="Times New Roman"/>
                <w:color w:val="000000"/>
                <w:sz w:val="20"/>
                <w:szCs w:val="20"/>
                <w:lang w:eastAsia="en-US"/>
              </w:rPr>
              <w:t>1.52</w:t>
            </w:r>
          </w:p>
        </w:tc>
        <w:tc>
          <w:tcPr>
            <w:tcW w:w="1110" w:type="dxa"/>
            <w:tcBorders>
              <w:top w:val="nil"/>
              <w:left w:val="nil"/>
              <w:bottom w:val="nil"/>
              <w:right w:val="nil"/>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color w:val="000000"/>
                <w:sz w:val="20"/>
                <w:szCs w:val="20"/>
                <w:lang w:eastAsia="en-US"/>
              </w:rPr>
            </w:pPr>
            <w:r w:rsidRPr="00463A62">
              <w:rPr>
                <w:rFonts w:ascii="Calibri" w:eastAsia="Times New Roman" w:hAnsi="Calibri" w:cs="Times New Roman"/>
                <w:color w:val="000000"/>
                <w:sz w:val="20"/>
                <w:szCs w:val="20"/>
                <w:lang w:eastAsia="en-US"/>
              </w:rPr>
              <w:t>1.54</w:t>
            </w:r>
          </w:p>
        </w:tc>
        <w:tc>
          <w:tcPr>
            <w:tcW w:w="1110" w:type="dxa"/>
            <w:tcBorders>
              <w:top w:val="nil"/>
              <w:left w:val="nil"/>
              <w:bottom w:val="nil"/>
              <w:right w:val="nil"/>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color w:val="000000"/>
                <w:sz w:val="20"/>
                <w:szCs w:val="20"/>
                <w:lang w:eastAsia="en-US"/>
              </w:rPr>
            </w:pPr>
            <w:r w:rsidRPr="00463A62">
              <w:rPr>
                <w:rFonts w:ascii="Calibri" w:eastAsia="Times New Roman" w:hAnsi="Calibri" w:cs="Times New Roman"/>
                <w:color w:val="000000"/>
                <w:sz w:val="20"/>
                <w:szCs w:val="20"/>
                <w:lang w:eastAsia="en-US"/>
              </w:rPr>
              <w:t>1.65</w:t>
            </w:r>
          </w:p>
        </w:tc>
        <w:tc>
          <w:tcPr>
            <w:tcW w:w="1110" w:type="dxa"/>
            <w:tcBorders>
              <w:top w:val="nil"/>
              <w:left w:val="nil"/>
              <w:bottom w:val="nil"/>
              <w:right w:val="nil"/>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color w:val="000000"/>
                <w:sz w:val="20"/>
                <w:szCs w:val="20"/>
                <w:lang w:eastAsia="en-US"/>
              </w:rPr>
            </w:pPr>
            <w:r w:rsidRPr="00463A62">
              <w:rPr>
                <w:rFonts w:ascii="Calibri" w:eastAsia="Times New Roman" w:hAnsi="Calibri" w:cs="Times New Roman"/>
                <w:color w:val="000000"/>
                <w:sz w:val="20"/>
                <w:szCs w:val="20"/>
                <w:lang w:eastAsia="en-US"/>
              </w:rPr>
              <w:t>1.67</w:t>
            </w:r>
          </w:p>
        </w:tc>
        <w:tc>
          <w:tcPr>
            <w:tcW w:w="1110" w:type="dxa"/>
            <w:tcBorders>
              <w:top w:val="nil"/>
              <w:left w:val="nil"/>
              <w:bottom w:val="nil"/>
              <w:right w:val="nil"/>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color w:val="000000"/>
                <w:sz w:val="20"/>
                <w:szCs w:val="20"/>
                <w:lang w:eastAsia="en-US"/>
              </w:rPr>
            </w:pPr>
            <w:r w:rsidRPr="00463A62">
              <w:rPr>
                <w:rFonts w:ascii="Calibri" w:eastAsia="Times New Roman" w:hAnsi="Calibri" w:cs="Times New Roman"/>
                <w:color w:val="000000"/>
                <w:sz w:val="20"/>
                <w:szCs w:val="20"/>
                <w:lang w:eastAsia="en-US"/>
              </w:rPr>
              <w:t>1.89</w:t>
            </w:r>
          </w:p>
        </w:tc>
        <w:tc>
          <w:tcPr>
            <w:tcW w:w="688" w:type="dxa"/>
            <w:tcBorders>
              <w:top w:val="nil"/>
              <w:left w:val="nil"/>
              <w:bottom w:val="nil"/>
              <w:right w:val="nil"/>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color w:val="000000"/>
                <w:sz w:val="20"/>
                <w:szCs w:val="20"/>
                <w:lang w:eastAsia="en-US"/>
              </w:rPr>
            </w:pPr>
            <w:r w:rsidRPr="00463A62">
              <w:rPr>
                <w:rFonts w:ascii="Calibri" w:eastAsia="Times New Roman" w:hAnsi="Calibri" w:cs="Times New Roman"/>
                <w:color w:val="000000"/>
                <w:sz w:val="20"/>
                <w:szCs w:val="20"/>
                <w:lang w:eastAsia="en-US"/>
              </w:rPr>
              <w:t>1.59</w:t>
            </w:r>
          </w:p>
        </w:tc>
        <w:tc>
          <w:tcPr>
            <w:tcW w:w="847" w:type="dxa"/>
            <w:tcBorders>
              <w:top w:val="nil"/>
              <w:left w:val="nil"/>
              <w:bottom w:val="nil"/>
              <w:right w:val="single" w:sz="8" w:space="0" w:color="auto"/>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b/>
                <w:bCs/>
                <w:color w:val="000000"/>
                <w:sz w:val="20"/>
                <w:szCs w:val="20"/>
                <w:lang w:eastAsia="en-US"/>
              </w:rPr>
            </w:pPr>
            <w:r w:rsidRPr="00463A62">
              <w:rPr>
                <w:rFonts w:ascii="Calibri" w:eastAsia="Times New Roman" w:hAnsi="Calibri" w:cs="Times New Roman"/>
                <w:b/>
                <w:bCs/>
                <w:color w:val="000000"/>
                <w:sz w:val="20"/>
                <w:szCs w:val="20"/>
                <w:lang w:eastAsia="en-US"/>
              </w:rPr>
              <w:t>1.69</w:t>
            </w:r>
          </w:p>
        </w:tc>
      </w:tr>
      <w:tr w:rsidR="00827E81" w:rsidRPr="00463A62" w:rsidTr="005810A1">
        <w:trPr>
          <w:trHeight w:val="300"/>
        </w:trPr>
        <w:tc>
          <w:tcPr>
            <w:tcW w:w="1189" w:type="dxa"/>
            <w:tcBorders>
              <w:top w:val="nil"/>
              <w:left w:val="single" w:sz="8" w:space="0" w:color="auto"/>
              <w:bottom w:val="nil"/>
              <w:right w:val="nil"/>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color w:val="000000"/>
                <w:sz w:val="20"/>
                <w:szCs w:val="20"/>
                <w:lang w:eastAsia="en-US"/>
              </w:rPr>
            </w:pPr>
            <w:r w:rsidRPr="00463A62">
              <w:rPr>
                <w:rFonts w:ascii="Calibri" w:eastAsia="Times New Roman" w:hAnsi="Calibri" w:cs="Times New Roman"/>
                <w:color w:val="000000"/>
                <w:sz w:val="20"/>
                <w:szCs w:val="20"/>
                <w:lang w:eastAsia="en-US"/>
              </w:rPr>
              <w:t>70.01-75</w:t>
            </w:r>
          </w:p>
        </w:tc>
        <w:tc>
          <w:tcPr>
            <w:tcW w:w="688" w:type="dxa"/>
            <w:tcBorders>
              <w:top w:val="nil"/>
              <w:left w:val="nil"/>
              <w:bottom w:val="nil"/>
              <w:right w:val="nil"/>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color w:val="000000"/>
                <w:sz w:val="20"/>
                <w:szCs w:val="20"/>
                <w:lang w:eastAsia="en-US"/>
              </w:rPr>
            </w:pPr>
            <w:r w:rsidRPr="00463A62">
              <w:rPr>
                <w:rFonts w:ascii="Calibri" w:eastAsia="Times New Roman" w:hAnsi="Calibri" w:cs="Times New Roman"/>
                <w:color w:val="000000"/>
                <w:sz w:val="20"/>
                <w:szCs w:val="20"/>
                <w:lang w:eastAsia="en-US"/>
              </w:rPr>
              <w:t>1.43</w:t>
            </w:r>
          </w:p>
        </w:tc>
        <w:tc>
          <w:tcPr>
            <w:tcW w:w="1110" w:type="dxa"/>
            <w:tcBorders>
              <w:top w:val="nil"/>
              <w:left w:val="nil"/>
              <w:bottom w:val="nil"/>
              <w:right w:val="nil"/>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color w:val="000000"/>
                <w:sz w:val="20"/>
                <w:szCs w:val="20"/>
                <w:lang w:eastAsia="en-US"/>
              </w:rPr>
            </w:pPr>
            <w:r w:rsidRPr="00463A62">
              <w:rPr>
                <w:rFonts w:ascii="Calibri" w:eastAsia="Times New Roman" w:hAnsi="Calibri" w:cs="Times New Roman"/>
                <w:color w:val="000000"/>
                <w:sz w:val="20"/>
                <w:szCs w:val="20"/>
                <w:lang w:eastAsia="en-US"/>
              </w:rPr>
              <w:t>1.52</w:t>
            </w:r>
          </w:p>
        </w:tc>
        <w:tc>
          <w:tcPr>
            <w:tcW w:w="1110" w:type="dxa"/>
            <w:tcBorders>
              <w:top w:val="nil"/>
              <w:left w:val="nil"/>
              <w:bottom w:val="nil"/>
              <w:right w:val="nil"/>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color w:val="000000"/>
                <w:sz w:val="20"/>
                <w:szCs w:val="20"/>
                <w:lang w:eastAsia="en-US"/>
              </w:rPr>
            </w:pPr>
            <w:r w:rsidRPr="00463A62">
              <w:rPr>
                <w:rFonts w:ascii="Calibri" w:eastAsia="Times New Roman" w:hAnsi="Calibri" w:cs="Times New Roman"/>
                <w:color w:val="000000"/>
                <w:sz w:val="20"/>
                <w:szCs w:val="20"/>
                <w:lang w:eastAsia="en-US"/>
              </w:rPr>
              <w:t>1.63</w:t>
            </w:r>
          </w:p>
        </w:tc>
        <w:tc>
          <w:tcPr>
            <w:tcW w:w="1110" w:type="dxa"/>
            <w:tcBorders>
              <w:top w:val="nil"/>
              <w:left w:val="nil"/>
              <w:bottom w:val="nil"/>
              <w:right w:val="nil"/>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color w:val="000000"/>
                <w:sz w:val="20"/>
                <w:szCs w:val="20"/>
                <w:lang w:eastAsia="en-US"/>
              </w:rPr>
            </w:pPr>
            <w:r w:rsidRPr="00463A62">
              <w:rPr>
                <w:rFonts w:ascii="Calibri" w:eastAsia="Times New Roman" w:hAnsi="Calibri" w:cs="Times New Roman"/>
                <w:color w:val="000000"/>
                <w:sz w:val="20"/>
                <w:szCs w:val="20"/>
                <w:lang w:eastAsia="en-US"/>
              </w:rPr>
              <w:t>1.54</w:t>
            </w:r>
          </w:p>
        </w:tc>
        <w:tc>
          <w:tcPr>
            <w:tcW w:w="1110" w:type="dxa"/>
            <w:tcBorders>
              <w:top w:val="nil"/>
              <w:left w:val="nil"/>
              <w:bottom w:val="nil"/>
              <w:right w:val="nil"/>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color w:val="000000"/>
                <w:sz w:val="20"/>
                <w:szCs w:val="20"/>
                <w:lang w:eastAsia="en-US"/>
              </w:rPr>
            </w:pPr>
            <w:r w:rsidRPr="00463A62">
              <w:rPr>
                <w:rFonts w:ascii="Calibri" w:eastAsia="Times New Roman" w:hAnsi="Calibri" w:cs="Times New Roman"/>
                <w:color w:val="000000"/>
                <w:sz w:val="20"/>
                <w:szCs w:val="20"/>
                <w:lang w:eastAsia="en-US"/>
              </w:rPr>
              <w:t>1.37</w:t>
            </w:r>
          </w:p>
        </w:tc>
        <w:tc>
          <w:tcPr>
            <w:tcW w:w="1110" w:type="dxa"/>
            <w:tcBorders>
              <w:top w:val="nil"/>
              <w:left w:val="nil"/>
              <w:bottom w:val="nil"/>
              <w:right w:val="nil"/>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color w:val="000000"/>
                <w:sz w:val="20"/>
                <w:szCs w:val="20"/>
                <w:lang w:eastAsia="en-US"/>
              </w:rPr>
            </w:pPr>
            <w:r w:rsidRPr="00463A62">
              <w:rPr>
                <w:rFonts w:ascii="Calibri" w:eastAsia="Times New Roman" w:hAnsi="Calibri" w:cs="Times New Roman"/>
                <w:color w:val="000000"/>
                <w:sz w:val="20"/>
                <w:szCs w:val="20"/>
                <w:lang w:eastAsia="en-US"/>
              </w:rPr>
              <w:t>1.73</w:t>
            </w:r>
          </w:p>
        </w:tc>
        <w:tc>
          <w:tcPr>
            <w:tcW w:w="688" w:type="dxa"/>
            <w:tcBorders>
              <w:top w:val="nil"/>
              <w:left w:val="nil"/>
              <w:bottom w:val="nil"/>
              <w:right w:val="nil"/>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color w:val="000000"/>
                <w:sz w:val="20"/>
                <w:szCs w:val="20"/>
                <w:lang w:eastAsia="en-US"/>
              </w:rPr>
            </w:pPr>
            <w:r w:rsidRPr="00463A62">
              <w:rPr>
                <w:rFonts w:ascii="Calibri" w:eastAsia="Times New Roman" w:hAnsi="Calibri" w:cs="Times New Roman"/>
                <w:color w:val="000000"/>
                <w:sz w:val="20"/>
                <w:szCs w:val="20"/>
                <w:lang w:eastAsia="en-US"/>
              </w:rPr>
              <w:t>1.72</w:t>
            </w:r>
          </w:p>
        </w:tc>
        <w:tc>
          <w:tcPr>
            <w:tcW w:w="847" w:type="dxa"/>
            <w:tcBorders>
              <w:top w:val="nil"/>
              <w:left w:val="nil"/>
              <w:bottom w:val="nil"/>
              <w:right w:val="single" w:sz="8" w:space="0" w:color="auto"/>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b/>
                <w:bCs/>
                <w:color w:val="000000"/>
                <w:sz w:val="20"/>
                <w:szCs w:val="20"/>
                <w:lang w:eastAsia="en-US"/>
              </w:rPr>
            </w:pPr>
            <w:r w:rsidRPr="00463A62">
              <w:rPr>
                <w:rFonts w:ascii="Calibri" w:eastAsia="Times New Roman" w:hAnsi="Calibri" w:cs="Times New Roman"/>
                <w:b/>
                <w:bCs/>
                <w:color w:val="000000"/>
                <w:sz w:val="20"/>
                <w:szCs w:val="20"/>
                <w:lang w:eastAsia="en-US"/>
              </w:rPr>
              <w:t>1.65</w:t>
            </w:r>
          </w:p>
        </w:tc>
      </w:tr>
      <w:tr w:rsidR="00827E81" w:rsidRPr="00463A62" w:rsidTr="005810A1">
        <w:trPr>
          <w:trHeight w:val="300"/>
        </w:trPr>
        <w:tc>
          <w:tcPr>
            <w:tcW w:w="1189" w:type="dxa"/>
            <w:tcBorders>
              <w:top w:val="nil"/>
              <w:left w:val="single" w:sz="8" w:space="0" w:color="auto"/>
              <w:bottom w:val="nil"/>
              <w:right w:val="nil"/>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color w:val="000000"/>
                <w:sz w:val="20"/>
                <w:szCs w:val="20"/>
                <w:lang w:eastAsia="en-US"/>
              </w:rPr>
            </w:pPr>
            <w:r w:rsidRPr="00463A62">
              <w:rPr>
                <w:rFonts w:ascii="Calibri" w:eastAsia="Times New Roman" w:hAnsi="Calibri" w:cs="Times New Roman"/>
                <w:color w:val="000000"/>
                <w:sz w:val="20"/>
                <w:szCs w:val="20"/>
                <w:lang w:eastAsia="en-US"/>
              </w:rPr>
              <w:t>75.01-80</w:t>
            </w:r>
          </w:p>
        </w:tc>
        <w:tc>
          <w:tcPr>
            <w:tcW w:w="688" w:type="dxa"/>
            <w:tcBorders>
              <w:top w:val="nil"/>
              <w:left w:val="nil"/>
              <w:bottom w:val="nil"/>
              <w:right w:val="nil"/>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color w:val="000000"/>
                <w:sz w:val="20"/>
                <w:szCs w:val="20"/>
                <w:lang w:eastAsia="en-US"/>
              </w:rPr>
            </w:pPr>
            <w:r w:rsidRPr="00463A62">
              <w:rPr>
                <w:rFonts w:ascii="Calibri" w:eastAsia="Times New Roman" w:hAnsi="Calibri" w:cs="Times New Roman"/>
                <w:color w:val="000000"/>
                <w:sz w:val="20"/>
                <w:szCs w:val="20"/>
                <w:lang w:eastAsia="en-US"/>
              </w:rPr>
              <w:t>1.31</w:t>
            </w:r>
          </w:p>
        </w:tc>
        <w:tc>
          <w:tcPr>
            <w:tcW w:w="1110" w:type="dxa"/>
            <w:tcBorders>
              <w:top w:val="nil"/>
              <w:left w:val="nil"/>
              <w:bottom w:val="nil"/>
              <w:right w:val="nil"/>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color w:val="000000"/>
                <w:sz w:val="20"/>
                <w:szCs w:val="20"/>
                <w:lang w:eastAsia="en-US"/>
              </w:rPr>
            </w:pPr>
            <w:r w:rsidRPr="00463A62">
              <w:rPr>
                <w:rFonts w:ascii="Calibri" w:eastAsia="Times New Roman" w:hAnsi="Calibri" w:cs="Times New Roman"/>
                <w:color w:val="000000"/>
                <w:sz w:val="20"/>
                <w:szCs w:val="20"/>
                <w:lang w:eastAsia="en-US"/>
              </w:rPr>
              <w:t>1.43</w:t>
            </w:r>
          </w:p>
        </w:tc>
        <w:tc>
          <w:tcPr>
            <w:tcW w:w="1110" w:type="dxa"/>
            <w:tcBorders>
              <w:top w:val="nil"/>
              <w:left w:val="nil"/>
              <w:bottom w:val="nil"/>
              <w:right w:val="nil"/>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color w:val="000000"/>
                <w:sz w:val="20"/>
                <w:szCs w:val="20"/>
                <w:lang w:eastAsia="en-US"/>
              </w:rPr>
            </w:pPr>
            <w:r w:rsidRPr="00463A62">
              <w:rPr>
                <w:rFonts w:ascii="Calibri" w:eastAsia="Times New Roman" w:hAnsi="Calibri" w:cs="Times New Roman"/>
                <w:color w:val="000000"/>
                <w:sz w:val="20"/>
                <w:szCs w:val="20"/>
                <w:lang w:eastAsia="en-US"/>
              </w:rPr>
              <w:t>1.47</w:t>
            </w:r>
          </w:p>
        </w:tc>
        <w:tc>
          <w:tcPr>
            <w:tcW w:w="1110" w:type="dxa"/>
            <w:tcBorders>
              <w:top w:val="nil"/>
              <w:left w:val="nil"/>
              <w:bottom w:val="nil"/>
              <w:right w:val="nil"/>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color w:val="000000"/>
                <w:sz w:val="20"/>
                <w:szCs w:val="20"/>
                <w:lang w:eastAsia="en-US"/>
              </w:rPr>
            </w:pPr>
            <w:r w:rsidRPr="00463A62">
              <w:rPr>
                <w:rFonts w:ascii="Calibri" w:eastAsia="Times New Roman" w:hAnsi="Calibri" w:cs="Times New Roman"/>
                <w:color w:val="000000"/>
                <w:sz w:val="20"/>
                <w:szCs w:val="20"/>
                <w:lang w:eastAsia="en-US"/>
              </w:rPr>
              <w:t>1.55</w:t>
            </w:r>
          </w:p>
        </w:tc>
        <w:tc>
          <w:tcPr>
            <w:tcW w:w="1110" w:type="dxa"/>
            <w:tcBorders>
              <w:top w:val="nil"/>
              <w:left w:val="nil"/>
              <w:bottom w:val="nil"/>
              <w:right w:val="nil"/>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color w:val="000000"/>
                <w:sz w:val="20"/>
                <w:szCs w:val="20"/>
                <w:lang w:eastAsia="en-US"/>
              </w:rPr>
            </w:pPr>
            <w:r w:rsidRPr="00463A62">
              <w:rPr>
                <w:rFonts w:ascii="Calibri" w:eastAsia="Times New Roman" w:hAnsi="Calibri" w:cs="Times New Roman"/>
                <w:color w:val="000000"/>
                <w:sz w:val="20"/>
                <w:szCs w:val="20"/>
                <w:lang w:eastAsia="en-US"/>
              </w:rPr>
              <w:t>1.49</w:t>
            </w:r>
          </w:p>
        </w:tc>
        <w:tc>
          <w:tcPr>
            <w:tcW w:w="1110" w:type="dxa"/>
            <w:tcBorders>
              <w:top w:val="nil"/>
              <w:left w:val="nil"/>
              <w:bottom w:val="nil"/>
              <w:right w:val="nil"/>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color w:val="000000"/>
                <w:sz w:val="20"/>
                <w:szCs w:val="20"/>
                <w:lang w:eastAsia="en-US"/>
              </w:rPr>
            </w:pPr>
            <w:r w:rsidRPr="00463A62">
              <w:rPr>
                <w:rFonts w:ascii="Calibri" w:eastAsia="Times New Roman" w:hAnsi="Calibri" w:cs="Times New Roman"/>
                <w:color w:val="000000"/>
                <w:sz w:val="20"/>
                <w:szCs w:val="20"/>
                <w:lang w:eastAsia="en-US"/>
              </w:rPr>
              <w:t>1.69</w:t>
            </w:r>
          </w:p>
        </w:tc>
        <w:tc>
          <w:tcPr>
            <w:tcW w:w="688" w:type="dxa"/>
            <w:tcBorders>
              <w:top w:val="nil"/>
              <w:left w:val="nil"/>
              <w:bottom w:val="nil"/>
              <w:right w:val="nil"/>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color w:val="000000"/>
                <w:sz w:val="20"/>
                <w:szCs w:val="20"/>
                <w:lang w:eastAsia="en-US"/>
              </w:rPr>
            </w:pPr>
            <w:r w:rsidRPr="00463A62">
              <w:rPr>
                <w:rFonts w:ascii="Calibri" w:eastAsia="Times New Roman" w:hAnsi="Calibri" w:cs="Times New Roman"/>
                <w:color w:val="000000"/>
                <w:sz w:val="20"/>
                <w:szCs w:val="20"/>
                <w:lang w:eastAsia="en-US"/>
              </w:rPr>
              <w:t>1.66</w:t>
            </w:r>
          </w:p>
        </w:tc>
        <w:tc>
          <w:tcPr>
            <w:tcW w:w="847" w:type="dxa"/>
            <w:tcBorders>
              <w:top w:val="nil"/>
              <w:left w:val="nil"/>
              <w:bottom w:val="nil"/>
              <w:right w:val="single" w:sz="8" w:space="0" w:color="auto"/>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b/>
                <w:bCs/>
                <w:color w:val="000000"/>
                <w:sz w:val="20"/>
                <w:szCs w:val="20"/>
                <w:lang w:eastAsia="en-US"/>
              </w:rPr>
            </w:pPr>
            <w:r w:rsidRPr="00463A62">
              <w:rPr>
                <w:rFonts w:ascii="Calibri" w:eastAsia="Times New Roman" w:hAnsi="Calibri" w:cs="Times New Roman"/>
                <w:b/>
                <w:bCs/>
                <w:color w:val="000000"/>
                <w:sz w:val="20"/>
                <w:szCs w:val="20"/>
                <w:lang w:eastAsia="en-US"/>
              </w:rPr>
              <w:t>1.61</w:t>
            </w:r>
          </w:p>
        </w:tc>
      </w:tr>
      <w:tr w:rsidR="00827E81" w:rsidRPr="00463A62" w:rsidTr="005810A1">
        <w:trPr>
          <w:trHeight w:val="300"/>
        </w:trPr>
        <w:tc>
          <w:tcPr>
            <w:tcW w:w="1189" w:type="dxa"/>
            <w:tcBorders>
              <w:top w:val="nil"/>
              <w:left w:val="single" w:sz="8" w:space="0" w:color="auto"/>
              <w:bottom w:val="nil"/>
              <w:right w:val="nil"/>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color w:val="000000"/>
                <w:sz w:val="20"/>
                <w:szCs w:val="20"/>
                <w:lang w:eastAsia="en-US"/>
              </w:rPr>
            </w:pPr>
            <w:r w:rsidRPr="00463A62">
              <w:rPr>
                <w:rFonts w:ascii="Calibri" w:eastAsia="Times New Roman" w:hAnsi="Calibri" w:cs="Times New Roman"/>
                <w:color w:val="000000"/>
                <w:sz w:val="20"/>
                <w:szCs w:val="20"/>
                <w:lang w:eastAsia="en-US"/>
              </w:rPr>
              <w:t>80.01-85</w:t>
            </w:r>
          </w:p>
        </w:tc>
        <w:tc>
          <w:tcPr>
            <w:tcW w:w="688" w:type="dxa"/>
            <w:tcBorders>
              <w:top w:val="nil"/>
              <w:left w:val="nil"/>
              <w:bottom w:val="nil"/>
              <w:right w:val="nil"/>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color w:val="000000"/>
                <w:sz w:val="20"/>
                <w:szCs w:val="20"/>
                <w:lang w:eastAsia="en-US"/>
              </w:rPr>
            </w:pPr>
            <w:r w:rsidRPr="00463A62">
              <w:rPr>
                <w:rFonts w:ascii="Calibri" w:eastAsia="Times New Roman" w:hAnsi="Calibri" w:cs="Times New Roman"/>
                <w:color w:val="000000"/>
                <w:sz w:val="20"/>
                <w:szCs w:val="20"/>
                <w:lang w:eastAsia="en-US"/>
              </w:rPr>
              <w:t>1.63</w:t>
            </w:r>
          </w:p>
        </w:tc>
        <w:tc>
          <w:tcPr>
            <w:tcW w:w="1110" w:type="dxa"/>
            <w:tcBorders>
              <w:top w:val="nil"/>
              <w:left w:val="nil"/>
              <w:bottom w:val="nil"/>
              <w:right w:val="nil"/>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color w:val="000000"/>
                <w:sz w:val="20"/>
                <w:szCs w:val="20"/>
                <w:lang w:eastAsia="en-US"/>
              </w:rPr>
            </w:pPr>
            <w:r w:rsidRPr="00463A62">
              <w:rPr>
                <w:rFonts w:ascii="Calibri" w:eastAsia="Times New Roman" w:hAnsi="Calibri" w:cs="Times New Roman"/>
                <w:color w:val="000000"/>
                <w:sz w:val="20"/>
                <w:szCs w:val="20"/>
                <w:lang w:eastAsia="en-US"/>
              </w:rPr>
              <w:t>1.72</w:t>
            </w:r>
          </w:p>
        </w:tc>
        <w:tc>
          <w:tcPr>
            <w:tcW w:w="1110" w:type="dxa"/>
            <w:tcBorders>
              <w:top w:val="nil"/>
              <w:left w:val="nil"/>
              <w:bottom w:val="nil"/>
              <w:right w:val="nil"/>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color w:val="000000"/>
                <w:sz w:val="20"/>
                <w:szCs w:val="20"/>
                <w:lang w:eastAsia="en-US"/>
              </w:rPr>
            </w:pPr>
            <w:r w:rsidRPr="00463A62">
              <w:rPr>
                <w:rFonts w:ascii="Calibri" w:eastAsia="Times New Roman" w:hAnsi="Calibri" w:cs="Times New Roman"/>
                <w:color w:val="000000"/>
                <w:sz w:val="20"/>
                <w:szCs w:val="20"/>
                <w:lang w:eastAsia="en-US"/>
              </w:rPr>
              <w:t>1.78</w:t>
            </w:r>
          </w:p>
        </w:tc>
        <w:tc>
          <w:tcPr>
            <w:tcW w:w="1110" w:type="dxa"/>
            <w:tcBorders>
              <w:top w:val="nil"/>
              <w:left w:val="nil"/>
              <w:bottom w:val="nil"/>
              <w:right w:val="nil"/>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color w:val="000000"/>
                <w:sz w:val="20"/>
                <w:szCs w:val="20"/>
                <w:lang w:eastAsia="en-US"/>
              </w:rPr>
            </w:pPr>
            <w:r w:rsidRPr="00463A62">
              <w:rPr>
                <w:rFonts w:ascii="Calibri" w:eastAsia="Times New Roman" w:hAnsi="Calibri" w:cs="Times New Roman"/>
                <w:color w:val="000000"/>
                <w:sz w:val="20"/>
                <w:szCs w:val="20"/>
                <w:lang w:eastAsia="en-US"/>
              </w:rPr>
              <w:t>1.77</w:t>
            </w:r>
          </w:p>
        </w:tc>
        <w:tc>
          <w:tcPr>
            <w:tcW w:w="1110" w:type="dxa"/>
            <w:tcBorders>
              <w:top w:val="nil"/>
              <w:left w:val="nil"/>
              <w:bottom w:val="nil"/>
              <w:right w:val="nil"/>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color w:val="000000"/>
                <w:sz w:val="20"/>
                <w:szCs w:val="20"/>
                <w:lang w:eastAsia="en-US"/>
              </w:rPr>
            </w:pPr>
            <w:r w:rsidRPr="00463A62">
              <w:rPr>
                <w:rFonts w:ascii="Calibri" w:eastAsia="Times New Roman" w:hAnsi="Calibri" w:cs="Times New Roman"/>
                <w:color w:val="000000"/>
                <w:sz w:val="20"/>
                <w:szCs w:val="20"/>
                <w:lang w:eastAsia="en-US"/>
              </w:rPr>
              <w:t>1.86</w:t>
            </w:r>
          </w:p>
        </w:tc>
        <w:tc>
          <w:tcPr>
            <w:tcW w:w="1110" w:type="dxa"/>
            <w:tcBorders>
              <w:top w:val="nil"/>
              <w:left w:val="nil"/>
              <w:bottom w:val="nil"/>
              <w:right w:val="nil"/>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color w:val="000000"/>
                <w:sz w:val="20"/>
                <w:szCs w:val="20"/>
                <w:lang w:eastAsia="en-US"/>
              </w:rPr>
            </w:pPr>
            <w:r w:rsidRPr="00463A62">
              <w:rPr>
                <w:rFonts w:ascii="Calibri" w:eastAsia="Times New Roman" w:hAnsi="Calibri" w:cs="Times New Roman"/>
                <w:color w:val="000000"/>
                <w:sz w:val="20"/>
                <w:szCs w:val="20"/>
                <w:lang w:eastAsia="en-US"/>
              </w:rPr>
              <w:t>1.93</w:t>
            </w:r>
          </w:p>
        </w:tc>
        <w:tc>
          <w:tcPr>
            <w:tcW w:w="688" w:type="dxa"/>
            <w:tcBorders>
              <w:top w:val="nil"/>
              <w:left w:val="nil"/>
              <w:bottom w:val="nil"/>
              <w:right w:val="nil"/>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color w:val="000000"/>
                <w:sz w:val="20"/>
                <w:szCs w:val="20"/>
                <w:lang w:eastAsia="en-US"/>
              </w:rPr>
            </w:pPr>
            <w:r w:rsidRPr="00463A62">
              <w:rPr>
                <w:rFonts w:ascii="Calibri" w:eastAsia="Times New Roman" w:hAnsi="Calibri" w:cs="Times New Roman"/>
                <w:color w:val="000000"/>
                <w:sz w:val="20"/>
                <w:szCs w:val="20"/>
                <w:lang w:eastAsia="en-US"/>
              </w:rPr>
              <w:t>1.88</w:t>
            </w:r>
          </w:p>
        </w:tc>
        <w:tc>
          <w:tcPr>
            <w:tcW w:w="847" w:type="dxa"/>
            <w:tcBorders>
              <w:top w:val="nil"/>
              <w:left w:val="nil"/>
              <w:bottom w:val="nil"/>
              <w:right w:val="single" w:sz="8" w:space="0" w:color="auto"/>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b/>
                <w:bCs/>
                <w:color w:val="000000"/>
                <w:sz w:val="20"/>
                <w:szCs w:val="20"/>
                <w:lang w:eastAsia="en-US"/>
              </w:rPr>
            </w:pPr>
            <w:r w:rsidRPr="00463A62">
              <w:rPr>
                <w:rFonts w:ascii="Calibri" w:eastAsia="Times New Roman" w:hAnsi="Calibri" w:cs="Times New Roman"/>
                <w:b/>
                <w:bCs/>
                <w:color w:val="000000"/>
                <w:sz w:val="20"/>
                <w:szCs w:val="20"/>
                <w:lang w:eastAsia="en-US"/>
              </w:rPr>
              <w:t>1.87</w:t>
            </w:r>
          </w:p>
        </w:tc>
      </w:tr>
      <w:tr w:rsidR="00827E81" w:rsidRPr="00463A62" w:rsidTr="005810A1">
        <w:trPr>
          <w:trHeight w:val="300"/>
        </w:trPr>
        <w:tc>
          <w:tcPr>
            <w:tcW w:w="1189" w:type="dxa"/>
            <w:tcBorders>
              <w:top w:val="nil"/>
              <w:left w:val="single" w:sz="8" w:space="0" w:color="auto"/>
              <w:bottom w:val="nil"/>
              <w:right w:val="nil"/>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color w:val="000000"/>
                <w:sz w:val="20"/>
                <w:szCs w:val="20"/>
                <w:lang w:eastAsia="en-US"/>
              </w:rPr>
            </w:pPr>
            <w:r w:rsidRPr="00463A62">
              <w:rPr>
                <w:rFonts w:ascii="Calibri" w:eastAsia="Times New Roman" w:hAnsi="Calibri" w:cs="Times New Roman"/>
                <w:color w:val="000000"/>
                <w:sz w:val="20"/>
                <w:szCs w:val="20"/>
                <w:lang w:eastAsia="en-US"/>
              </w:rPr>
              <w:t>85.01-90</w:t>
            </w:r>
          </w:p>
        </w:tc>
        <w:tc>
          <w:tcPr>
            <w:tcW w:w="688" w:type="dxa"/>
            <w:tcBorders>
              <w:top w:val="nil"/>
              <w:left w:val="nil"/>
              <w:bottom w:val="nil"/>
              <w:right w:val="nil"/>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color w:val="000000"/>
                <w:sz w:val="20"/>
                <w:szCs w:val="20"/>
                <w:lang w:eastAsia="en-US"/>
              </w:rPr>
            </w:pPr>
            <w:r w:rsidRPr="00463A62">
              <w:rPr>
                <w:rFonts w:ascii="Calibri" w:eastAsia="Times New Roman" w:hAnsi="Calibri" w:cs="Times New Roman"/>
                <w:color w:val="000000"/>
                <w:sz w:val="20"/>
                <w:szCs w:val="20"/>
                <w:lang w:eastAsia="en-US"/>
              </w:rPr>
              <w:t>1.49</w:t>
            </w:r>
          </w:p>
        </w:tc>
        <w:tc>
          <w:tcPr>
            <w:tcW w:w="1110" w:type="dxa"/>
            <w:tcBorders>
              <w:top w:val="nil"/>
              <w:left w:val="nil"/>
              <w:bottom w:val="nil"/>
              <w:right w:val="nil"/>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color w:val="000000"/>
                <w:sz w:val="20"/>
                <w:szCs w:val="20"/>
                <w:lang w:eastAsia="en-US"/>
              </w:rPr>
            </w:pPr>
            <w:r w:rsidRPr="00463A62">
              <w:rPr>
                <w:rFonts w:ascii="Calibri" w:eastAsia="Times New Roman" w:hAnsi="Calibri" w:cs="Times New Roman"/>
                <w:color w:val="000000"/>
                <w:sz w:val="20"/>
                <w:szCs w:val="20"/>
                <w:lang w:eastAsia="en-US"/>
              </w:rPr>
              <w:t>1.69</w:t>
            </w:r>
          </w:p>
        </w:tc>
        <w:tc>
          <w:tcPr>
            <w:tcW w:w="1110" w:type="dxa"/>
            <w:tcBorders>
              <w:top w:val="nil"/>
              <w:left w:val="nil"/>
              <w:bottom w:val="nil"/>
              <w:right w:val="nil"/>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color w:val="000000"/>
                <w:sz w:val="20"/>
                <w:szCs w:val="20"/>
                <w:lang w:eastAsia="en-US"/>
              </w:rPr>
            </w:pPr>
            <w:r w:rsidRPr="00463A62">
              <w:rPr>
                <w:rFonts w:ascii="Calibri" w:eastAsia="Times New Roman" w:hAnsi="Calibri" w:cs="Times New Roman"/>
                <w:color w:val="000000"/>
                <w:sz w:val="20"/>
                <w:szCs w:val="20"/>
                <w:lang w:eastAsia="en-US"/>
              </w:rPr>
              <w:t>1.72</w:t>
            </w:r>
          </w:p>
        </w:tc>
        <w:tc>
          <w:tcPr>
            <w:tcW w:w="1110" w:type="dxa"/>
            <w:tcBorders>
              <w:top w:val="nil"/>
              <w:left w:val="nil"/>
              <w:bottom w:val="nil"/>
              <w:right w:val="nil"/>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color w:val="000000"/>
                <w:sz w:val="20"/>
                <w:szCs w:val="20"/>
                <w:lang w:eastAsia="en-US"/>
              </w:rPr>
            </w:pPr>
            <w:r w:rsidRPr="00463A62">
              <w:rPr>
                <w:rFonts w:ascii="Calibri" w:eastAsia="Times New Roman" w:hAnsi="Calibri" w:cs="Times New Roman"/>
                <w:color w:val="000000"/>
                <w:sz w:val="20"/>
                <w:szCs w:val="20"/>
                <w:lang w:eastAsia="en-US"/>
              </w:rPr>
              <w:t>1.80</w:t>
            </w:r>
          </w:p>
        </w:tc>
        <w:tc>
          <w:tcPr>
            <w:tcW w:w="1110" w:type="dxa"/>
            <w:tcBorders>
              <w:top w:val="nil"/>
              <w:left w:val="nil"/>
              <w:bottom w:val="nil"/>
              <w:right w:val="nil"/>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color w:val="000000"/>
                <w:sz w:val="20"/>
                <w:szCs w:val="20"/>
                <w:lang w:eastAsia="en-US"/>
              </w:rPr>
            </w:pPr>
            <w:r w:rsidRPr="00463A62">
              <w:rPr>
                <w:rFonts w:ascii="Calibri" w:eastAsia="Times New Roman" w:hAnsi="Calibri" w:cs="Times New Roman"/>
                <w:color w:val="000000"/>
                <w:sz w:val="20"/>
                <w:szCs w:val="20"/>
                <w:lang w:eastAsia="en-US"/>
              </w:rPr>
              <w:t>2.06</w:t>
            </w:r>
          </w:p>
        </w:tc>
        <w:tc>
          <w:tcPr>
            <w:tcW w:w="1110" w:type="dxa"/>
            <w:tcBorders>
              <w:top w:val="nil"/>
              <w:left w:val="nil"/>
              <w:bottom w:val="nil"/>
              <w:right w:val="nil"/>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color w:val="000000"/>
                <w:sz w:val="20"/>
                <w:szCs w:val="20"/>
                <w:lang w:eastAsia="en-US"/>
              </w:rPr>
            </w:pPr>
            <w:r w:rsidRPr="00463A62">
              <w:rPr>
                <w:rFonts w:ascii="Calibri" w:eastAsia="Times New Roman" w:hAnsi="Calibri" w:cs="Times New Roman"/>
                <w:color w:val="000000"/>
                <w:sz w:val="20"/>
                <w:szCs w:val="20"/>
                <w:lang w:eastAsia="en-US"/>
              </w:rPr>
              <w:t>2.23</w:t>
            </w:r>
          </w:p>
        </w:tc>
        <w:tc>
          <w:tcPr>
            <w:tcW w:w="688" w:type="dxa"/>
            <w:tcBorders>
              <w:top w:val="nil"/>
              <w:left w:val="nil"/>
              <w:bottom w:val="nil"/>
              <w:right w:val="nil"/>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color w:val="000000"/>
                <w:sz w:val="20"/>
                <w:szCs w:val="20"/>
                <w:lang w:eastAsia="en-US"/>
              </w:rPr>
            </w:pPr>
            <w:r w:rsidRPr="00463A62">
              <w:rPr>
                <w:rFonts w:ascii="Calibri" w:eastAsia="Times New Roman" w:hAnsi="Calibri" w:cs="Times New Roman"/>
                <w:color w:val="000000"/>
                <w:sz w:val="20"/>
                <w:szCs w:val="20"/>
                <w:lang w:eastAsia="en-US"/>
              </w:rPr>
              <w:t>2.58</w:t>
            </w:r>
          </w:p>
        </w:tc>
        <w:tc>
          <w:tcPr>
            <w:tcW w:w="847" w:type="dxa"/>
            <w:tcBorders>
              <w:top w:val="nil"/>
              <w:left w:val="nil"/>
              <w:bottom w:val="nil"/>
              <w:right w:val="single" w:sz="8" w:space="0" w:color="auto"/>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b/>
                <w:bCs/>
                <w:color w:val="000000"/>
                <w:sz w:val="20"/>
                <w:szCs w:val="20"/>
                <w:lang w:eastAsia="en-US"/>
              </w:rPr>
            </w:pPr>
            <w:r w:rsidRPr="00463A62">
              <w:rPr>
                <w:rFonts w:ascii="Calibri" w:eastAsia="Times New Roman" w:hAnsi="Calibri" w:cs="Times New Roman"/>
                <w:b/>
                <w:bCs/>
                <w:color w:val="000000"/>
                <w:sz w:val="20"/>
                <w:szCs w:val="20"/>
                <w:lang w:eastAsia="en-US"/>
              </w:rPr>
              <w:t>2.15</w:t>
            </w:r>
          </w:p>
        </w:tc>
      </w:tr>
      <w:tr w:rsidR="00827E81" w:rsidRPr="00463A62" w:rsidTr="005810A1">
        <w:trPr>
          <w:trHeight w:val="315"/>
        </w:trPr>
        <w:tc>
          <w:tcPr>
            <w:tcW w:w="1189" w:type="dxa"/>
            <w:tcBorders>
              <w:top w:val="nil"/>
              <w:left w:val="single" w:sz="8" w:space="0" w:color="auto"/>
              <w:bottom w:val="nil"/>
              <w:right w:val="nil"/>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color w:val="000000"/>
                <w:sz w:val="20"/>
                <w:szCs w:val="20"/>
                <w:lang w:eastAsia="en-US"/>
              </w:rPr>
            </w:pPr>
            <w:r w:rsidRPr="00463A62">
              <w:rPr>
                <w:rFonts w:ascii="Calibri" w:eastAsia="Times New Roman" w:hAnsi="Calibri" w:cs="Times New Roman"/>
                <w:color w:val="000000"/>
                <w:sz w:val="20"/>
                <w:szCs w:val="20"/>
                <w:lang w:eastAsia="en-US"/>
              </w:rPr>
              <w:t>90.01-95</w:t>
            </w:r>
          </w:p>
        </w:tc>
        <w:tc>
          <w:tcPr>
            <w:tcW w:w="688" w:type="dxa"/>
            <w:tcBorders>
              <w:top w:val="nil"/>
              <w:left w:val="nil"/>
              <w:bottom w:val="nil"/>
              <w:right w:val="nil"/>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color w:val="000000"/>
                <w:sz w:val="20"/>
                <w:szCs w:val="20"/>
                <w:lang w:eastAsia="en-US"/>
              </w:rPr>
            </w:pPr>
            <w:r w:rsidRPr="00463A62">
              <w:rPr>
                <w:rFonts w:ascii="Calibri" w:eastAsia="Times New Roman" w:hAnsi="Calibri" w:cs="Times New Roman"/>
                <w:color w:val="000000"/>
                <w:sz w:val="20"/>
                <w:szCs w:val="20"/>
                <w:lang w:eastAsia="en-US"/>
              </w:rPr>
              <w:t>1.80</w:t>
            </w:r>
          </w:p>
        </w:tc>
        <w:tc>
          <w:tcPr>
            <w:tcW w:w="1110" w:type="dxa"/>
            <w:tcBorders>
              <w:top w:val="nil"/>
              <w:left w:val="nil"/>
              <w:bottom w:val="nil"/>
              <w:right w:val="nil"/>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color w:val="000000"/>
                <w:sz w:val="20"/>
                <w:szCs w:val="20"/>
                <w:lang w:eastAsia="en-US"/>
              </w:rPr>
            </w:pPr>
            <w:r w:rsidRPr="00463A62">
              <w:rPr>
                <w:rFonts w:ascii="Calibri" w:eastAsia="Times New Roman" w:hAnsi="Calibri" w:cs="Times New Roman"/>
                <w:color w:val="000000"/>
                <w:sz w:val="20"/>
                <w:szCs w:val="20"/>
                <w:lang w:eastAsia="en-US"/>
              </w:rPr>
              <w:t>1.96</w:t>
            </w:r>
          </w:p>
        </w:tc>
        <w:tc>
          <w:tcPr>
            <w:tcW w:w="1110" w:type="dxa"/>
            <w:tcBorders>
              <w:top w:val="nil"/>
              <w:left w:val="nil"/>
              <w:bottom w:val="nil"/>
              <w:right w:val="nil"/>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color w:val="000000"/>
                <w:sz w:val="20"/>
                <w:szCs w:val="20"/>
                <w:lang w:eastAsia="en-US"/>
              </w:rPr>
            </w:pPr>
            <w:r w:rsidRPr="00463A62">
              <w:rPr>
                <w:rFonts w:ascii="Calibri" w:eastAsia="Times New Roman" w:hAnsi="Calibri" w:cs="Times New Roman"/>
                <w:color w:val="000000"/>
                <w:sz w:val="20"/>
                <w:szCs w:val="20"/>
                <w:lang w:eastAsia="en-US"/>
              </w:rPr>
              <w:t>1.95</w:t>
            </w:r>
          </w:p>
        </w:tc>
        <w:tc>
          <w:tcPr>
            <w:tcW w:w="1110" w:type="dxa"/>
            <w:tcBorders>
              <w:top w:val="nil"/>
              <w:left w:val="nil"/>
              <w:bottom w:val="nil"/>
              <w:right w:val="nil"/>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color w:val="000000"/>
                <w:sz w:val="20"/>
                <w:szCs w:val="20"/>
                <w:lang w:eastAsia="en-US"/>
              </w:rPr>
            </w:pPr>
            <w:r w:rsidRPr="00463A62">
              <w:rPr>
                <w:rFonts w:ascii="Calibri" w:eastAsia="Times New Roman" w:hAnsi="Calibri" w:cs="Times New Roman"/>
                <w:color w:val="000000"/>
                <w:sz w:val="20"/>
                <w:szCs w:val="20"/>
                <w:lang w:eastAsia="en-US"/>
              </w:rPr>
              <w:t>1.98</w:t>
            </w:r>
          </w:p>
        </w:tc>
        <w:tc>
          <w:tcPr>
            <w:tcW w:w="1110" w:type="dxa"/>
            <w:tcBorders>
              <w:top w:val="nil"/>
              <w:left w:val="nil"/>
              <w:bottom w:val="nil"/>
              <w:right w:val="nil"/>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color w:val="000000"/>
                <w:sz w:val="20"/>
                <w:szCs w:val="20"/>
                <w:lang w:eastAsia="en-US"/>
              </w:rPr>
            </w:pPr>
            <w:r w:rsidRPr="00463A62">
              <w:rPr>
                <w:rFonts w:ascii="Calibri" w:eastAsia="Times New Roman" w:hAnsi="Calibri" w:cs="Times New Roman"/>
                <w:color w:val="000000"/>
                <w:sz w:val="20"/>
                <w:szCs w:val="20"/>
                <w:lang w:eastAsia="en-US"/>
              </w:rPr>
              <w:t>2.12</w:t>
            </w:r>
          </w:p>
        </w:tc>
        <w:tc>
          <w:tcPr>
            <w:tcW w:w="1110" w:type="dxa"/>
            <w:tcBorders>
              <w:top w:val="nil"/>
              <w:left w:val="nil"/>
              <w:bottom w:val="nil"/>
              <w:right w:val="nil"/>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color w:val="000000"/>
                <w:sz w:val="20"/>
                <w:szCs w:val="20"/>
                <w:lang w:eastAsia="en-US"/>
              </w:rPr>
            </w:pPr>
            <w:r w:rsidRPr="00463A62">
              <w:rPr>
                <w:rFonts w:ascii="Calibri" w:eastAsia="Times New Roman" w:hAnsi="Calibri" w:cs="Times New Roman"/>
                <w:color w:val="000000"/>
                <w:sz w:val="20"/>
                <w:szCs w:val="20"/>
                <w:lang w:eastAsia="en-US"/>
              </w:rPr>
              <w:t>1.95</w:t>
            </w:r>
          </w:p>
        </w:tc>
        <w:tc>
          <w:tcPr>
            <w:tcW w:w="688" w:type="dxa"/>
            <w:tcBorders>
              <w:top w:val="nil"/>
              <w:left w:val="nil"/>
              <w:bottom w:val="nil"/>
              <w:right w:val="nil"/>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color w:val="000000"/>
                <w:sz w:val="20"/>
                <w:szCs w:val="20"/>
                <w:lang w:eastAsia="en-US"/>
              </w:rPr>
            </w:pPr>
            <w:r w:rsidRPr="00463A62">
              <w:rPr>
                <w:rFonts w:ascii="Calibri" w:eastAsia="Times New Roman" w:hAnsi="Calibri" w:cs="Times New Roman"/>
                <w:color w:val="000000"/>
                <w:sz w:val="20"/>
                <w:szCs w:val="20"/>
                <w:lang w:eastAsia="en-US"/>
              </w:rPr>
              <w:t>1.83</w:t>
            </w:r>
          </w:p>
        </w:tc>
        <w:tc>
          <w:tcPr>
            <w:tcW w:w="847" w:type="dxa"/>
            <w:tcBorders>
              <w:top w:val="nil"/>
              <w:left w:val="nil"/>
              <w:bottom w:val="nil"/>
              <w:right w:val="single" w:sz="8" w:space="0" w:color="auto"/>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b/>
                <w:bCs/>
                <w:color w:val="000000"/>
                <w:sz w:val="20"/>
                <w:szCs w:val="20"/>
                <w:lang w:eastAsia="en-US"/>
              </w:rPr>
            </w:pPr>
            <w:r w:rsidRPr="00463A62">
              <w:rPr>
                <w:rFonts w:ascii="Calibri" w:eastAsia="Times New Roman" w:hAnsi="Calibri" w:cs="Times New Roman"/>
                <w:b/>
                <w:bCs/>
                <w:color w:val="000000"/>
                <w:sz w:val="20"/>
                <w:szCs w:val="20"/>
                <w:lang w:eastAsia="en-US"/>
              </w:rPr>
              <w:t>1.95</w:t>
            </w:r>
          </w:p>
        </w:tc>
      </w:tr>
      <w:tr w:rsidR="00827E81" w:rsidRPr="00463A62" w:rsidTr="005810A1">
        <w:trPr>
          <w:trHeight w:val="330"/>
        </w:trPr>
        <w:tc>
          <w:tcPr>
            <w:tcW w:w="1189" w:type="dxa"/>
            <w:tcBorders>
              <w:top w:val="nil"/>
              <w:left w:val="single" w:sz="8" w:space="0" w:color="auto"/>
              <w:bottom w:val="nil"/>
              <w:right w:val="nil"/>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color w:val="000000"/>
                <w:sz w:val="20"/>
                <w:szCs w:val="20"/>
                <w:lang w:eastAsia="en-US"/>
              </w:rPr>
            </w:pPr>
            <w:r w:rsidRPr="00463A62">
              <w:rPr>
                <w:rFonts w:ascii="Calibri" w:eastAsia="Times New Roman" w:hAnsi="Calibri" w:cs="Times New Roman"/>
                <w:color w:val="000000"/>
                <w:sz w:val="20"/>
                <w:szCs w:val="20"/>
                <w:lang w:eastAsia="en-US"/>
              </w:rPr>
              <w:t>&gt;95</w:t>
            </w:r>
          </w:p>
        </w:tc>
        <w:tc>
          <w:tcPr>
            <w:tcW w:w="688" w:type="dxa"/>
            <w:tcBorders>
              <w:top w:val="nil"/>
              <w:left w:val="nil"/>
              <w:bottom w:val="nil"/>
              <w:right w:val="nil"/>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color w:val="000000"/>
                <w:sz w:val="20"/>
                <w:szCs w:val="20"/>
                <w:lang w:eastAsia="en-US"/>
              </w:rPr>
            </w:pPr>
            <w:r w:rsidRPr="00463A62">
              <w:rPr>
                <w:rFonts w:ascii="Calibri" w:eastAsia="Times New Roman" w:hAnsi="Calibri" w:cs="Times New Roman"/>
                <w:color w:val="000000"/>
                <w:sz w:val="20"/>
                <w:szCs w:val="20"/>
                <w:lang w:eastAsia="en-US"/>
              </w:rPr>
              <w:t>1.50</w:t>
            </w:r>
          </w:p>
        </w:tc>
        <w:tc>
          <w:tcPr>
            <w:tcW w:w="1110" w:type="dxa"/>
            <w:tcBorders>
              <w:top w:val="nil"/>
              <w:left w:val="nil"/>
              <w:bottom w:val="nil"/>
              <w:right w:val="nil"/>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color w:val="000000"/>
                <w:sz w:val="20"/>
                <w:szCs w:val="20"/>
                <w:lang w:eastAsia="en-US"/>
              </w:rPr>
            </w:pPr>
            <w:r w:rsidRPr="00463A62">
              <w:rPr>
                <w:rFonts w:ascii="Calibri" w:eastAsia="Times New Roman" w:hAnsi="Calibri" w:cs="Times New Roman"/>
                <w:color w:val="000000"/>
                <w:sz w:val="20"/>
                <w:szCs w:val="20"/>
                <w:lang w:eastAsia="en-US"/>
              </w:rPr>
              <w:t>1.53</w:t>
            </w:r>
          </w:p>
        </w:tc>
        <w:tc>
          <w:tcPr>
            <w:tcW w:w="1110" w:type="dxa"/>
            <w:tcBorders>
              <w:top w:val="nil"/>
              <w:left w:val="nil"/>
              <w:bottom w:val="nil"/>
              <w:right w:val="nil"/>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color w:val="000000"/>
                <w:sz w:val="20"/>
                <w:szCs w:val="20"/>
                <w:lang w:eastAsia="en-US"/>
              </w:rPr>
            </w:pPr>
            <w:r w:rsidRPr="00463A62">
              <w:rPr>
                <w:rFonts w:ascii="Calibri" w:eastAsia="Times New Roman" w:hAnsi="Calibri" w:cs="Times New Roman"/>
                <w:color w:val="000000"/>
                <w:sz w:val="20"/>
                <w:szCs w:val="20"/>
                <w:lang w:eastAsia="en-US"/>
              </w:rPr>
              <w:t>1.60</w:t>
            </w:r>
          </w:p>
        </w:tc>
        <w:tc>
          <w:tcPr>
            <w:tcW w:w="1110" w:type="dxa"/>
            <w:tcBorders>
              <w:top w:val="nil"/>
              <w:left w:val="nil"/>
              <w:bottom w:val="nil"/>
              <w:right w:val="nil"/>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color w:val="000000"/>
                <w:sz w:val="20"/>
                <w:szCs w:val="20"/>
                <w:lang w:eastAsia="en-US"/>
              </w:rPr>
            </w:pPr>
            <w:r w:rsidRPr="00463A62">
              <w:rPr>
                <w:rFonts w:ascii="Calibri" w:eastAsia="Times New Roman" w:hAnsi="Calibri" w:cs="Times New Roman"/>
                <w:color w:val="000000"/>
                <w:sz w:val="20"/>
                <w:szCs w:val="20"/>
                <w:lang w:eastAsia="en-US"/>
              </w:rPr>
              <w:t>1.72</w:t>
            </w:r>
          </w:p>
        </w:tc>
        <w:tc>
          <w:tcPr>
            <w:tcW w:w="1110" w:type="dxa"/>
            <w:tcBorders>
              <w:top w:val="nil"/>
              <w:left w:val="nil"/>
              <w:bottom w:val="nil"/>
              <w:right w:val="nil"/>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color w:val="000000"/>
                <w:sz w:val="20"/>
                <w:szCs w:val="20"/>
                <w:lang w:eastAsia="en-US"/>
              </w:rPr>
            </w:pPr>
            <w:r w:rsidRPr="00463A62">
              <w:rPr>
                <w:rFonts w:ascii="Calibri" w:eastAsia="Times New Roman" w:hAnsi="Calibri" w:cs="Times New Roman"/>
                <w:color w:val="000000"/>
                <w:sz w:val="20"/>
                <w:szCs w:val="20"/>
                <w:lang w:eastAsia="en-US"/>
              </w:rPr>
              <w:t>1.54</w:t>
            </w:r>
          </w:p>
        </w:tc>
        <w:tc>
          <w:tcPr>
            <w:tcW w:w="1110" w:type="dxa"/>
            <w:tcBorders>
              <w:top w:val="nil"/>
              <w:left w:val="nil"/>
              <w:bottom w:val="nil"/>
              <w:right w:val="nil"/>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color w:val="000000"/>
                <w:sz w:val="20"/>
                <w:szCs w:val="20"/>
                <w:lang w:eastAsia="en-US"/>
              </w:rPr>
            </w:pPr>
            <w:r w:rsidRPr="00463A62">
              <w:rPr>
                <w:rFonts w:ascii="Calibri" w:eastAsia="Times New Roman" w:hAnsi="Calibri" w:cs="Times New Roman"/>
                <w:color w:val="000000"/>
                <w:sz w:val="20"/>
                <w:szCs w:val="20"/>
                <w:lang w:eastAsia="en-US"/>
              </w:rPr>
              <w:t>1.67</w:t>
            </w:r>
          </w:p>
        </w:tc>
        <w:tc>
          <w:tcPr>
            <w:tcW w:w="688" w:type="dxa"/>
            <w:tcBorders>
              <w:top w:val="nil"/>
              <w:left w:val="nil"/>
              <w:bottom w:val="nil"/>
              <w:right w:val="nil"/>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color w:val="000000"/>
                <w:sz w:val="20"/>
                <w:szCs w:val="20"/>
                <w:lang w:eastAsia="en-US"/>
              </w:rPr>
            </w:pPr>
            <w:r w:rsidRPr="00463A62">
              <w:rPr>
                <w:rFonts w:ascii="Calibri" w:eastAsia="Times New Roman" w:hAnsi="Calibri" w:cs="Times New Roman"/>
                <w:color w:val="000000"/>
                <w:sz w:val="20"/>
                <w:szCs w:val="20"/>
                <w:lang w:eastAsia="en-US"/>
              </w:rPr>
              <w:t>1.42</w:t>
            </w:r>
          </w:p>
        </w:tc>
        <w:tc>
          <w:tcPr>
            <w:tcW w:w="847" w:type="dxa"/>
            <w:tcBorders>
              <w:top w:val="nil"/>
              <w:left w:val="nil"/>
              <w:bottom w:val="nil"/>
              <w:right w:val="single" w:sz="8" w:space="0" w:color="auto"/>
            </w:tcBorders>
            <w:shd w:val="clear" w:color="auto" w:fill="auto"/>
            <w:noWrap/>
            <w:vAlign w:val="bottom"/>
            <w:hideMark/>
          </w:tcPr>
          <w:p w:rsidR="00827E81" w:rsidRPr="00463A62" w:rsidRDefault="00827E81" w:rsidP="005810A1">
            <w:pPr>
              <w:spacing w:after="0"/>
              <w:jc w:val="center"/>
              <w:rPr>
                <w:rFonts w:ascii="Calibri" w:eastAsia="Times New Roman" w:hAnsi="Calibri" w:cs="Times New Roman"/>
                <w:b/>
                <w:bCs/>
                <w:color w:val="000000"/>
                <w:sz w:val="20"/>
                <w:szCs w:val="20"/>
                <w:lang w:eastAsia="en-US"/>
              </w:rPr>
            </w:pPr>
            <w:r w:rsidRPr="00463A62">
              <w:rPr>
                <w:rFonts w:ascii="Calibri" w:eastAsia="Times New Roman" w:hAnsi="Calibri" w:cs="Times New Roman"/>
                <w:b/>
                <w:bCs/>
                <w:color w:val="000000"/>
                <w:sz w:val="20"/>
                <w:szCs w:val="20"/>
                <w:lang w:eastAsia="en-US"/>
              </w:rPr>
              <w:t>1.60</w:t>
            </w:r>
          </w:p>
        </w:tc>
      </w:tr>
      <w:tr w:rsidR="00827E81" w:rsidRPr="00463A62" w:rsidTr="005810A1">
        <w:trPr>
          <w:trHeight w:val="300"/>
        </w:trPr>
        <w:tc>
          <w:tcPr>
            <w:tcW w:w="1189" w:type="dxa"/>
            <w:tcBorders>
              <w:top w:val="nil"/>
              <w:left w:val="single" w:sz="8" w:space="0" w:color="auto"/>
              <w:bottom w:val="nil"/>
              <w:right w:val="nil"/>
            </w:tcBorders>
            <w:shd w:val="clear" w:color="auto" w:fill="auto"/>
            <w:noWrap/>
            <w:vAlign w:val="bottom"/>
            <w:hideMark/>
          </w:tcPr>
          <w:p w:rsidR="00827E81" w:rsidRPr="00463A62" w:rsidRDefault="00827E81" w:rsidP="005810A1">
            <w:pPr>
              <w:spacing w:after="0"/>
              <w:rPr>
                <w:rFonts w:ascii="Calibri" w:eastAsia="Times New Roman" w:hAnsi="Calibri" w:cs="Times New Roman"/>
                <w:color w:val="000000"/>
                <w:sz w:val="22"/>
                <w:szCs w:val="22"/>
                <w:lang w:eastAsia="en-US"/>
              </w:rPr>
            </w:pPr>
            <w:r w:rsidRPr="00463A62">
              <w:rPr>
                <w:rFonts w:ascii="Calibri" w:eastAsia="Times New Roman" w:hAnsi="Calibri" w:cs="Times New Roman"/>
                <w:color w:val="000000"/>
                <w:sz w:val="22"/>
                <w:szCs w:val="22"/>
                <w:lang w:eastAsia="en-US"/>
              </w:rPr>
              <w:t> </w:t>
            </w:r>
          </w:p>
        </w:tc>
        <w:tc>
          <w:tcPr>
            <w:tcW w:w="688" w:type="dxa"/>
            <w:tcBorders>
              <w:top w:val="nil"/>
              <w:left w:val="nil"/>
              <w:bottom w:val="nil"/>
              <w:right w:val="nil"/>
            </w:tcBorders>
            <w:shd w:val="clear" w:color="auto" w:fill="auto"/>
            <w:noWrap/>
            <w:vAlign w:val="bottom"/>
            <w:hideMark/>
          </w:tcPr>
          <w:p w:rsidR="00827E81" w:rsidRPr="00463A62" w:rsidRDefault="00827E81" w:rsidP="005810A1">
            <w:pPr>
              <w:spacing w:after="0"/>
              <w:rPr>
                <w:rFonts w:ascii="Calibri" w:eastAsia="Times New Roman" w:hAnsi="Calibri" w:cs="Times New Roman"/>
                <w:color w:val="000000"/>
                <w:sz w:val="22"/>
                <w:szCs w:val="22"/>
                <w:lang w:eastAsia="en-US"/>
              </w:rPr>
            </w:pPr>
          </w:p>
        </w:tc>
        <w:tc>
          <w:tcPr>
            <w:tcW w:w="1110" w:type="dxa"/>
            <w:tcBorders>
              <w:top w:val="nil"/>
              <w:left w:val="nil"/>
              <w:bottom w:val="nil"/>
              <w:right w:val="nil"/>
            </w:tcBorders>
            <w:shd w:val="clear" w:color="auto" w:fill="auto"/>
            <w:noWrap/>
            <w:vAlign w:val="bottom"/>
            <w:hideMark/>
          </w:tcPr>
          <w:p w:rsidR="00827E81" w:rsidRPr="00463A62" w:rsidRDefault="00827E81" w:rsidP="005810A1">
            <w:pPr>
              <w:spacing w:after="0"/>
              <w:rPr>
                <w:rFonts w:ascii="Calibri" w:eastAsia="Times New Roman" w:hAnsi="Calibri" w:cs="Times New Roman"/>
                <w:color w:val="000000"/>
                <w:sz w:val="22"/>
                <w:szCs w:val="22"/>
                <w:lang w:eastAsia="en-US"/>
              </w:rPr>
            </w:pPr>
          </w:p>
        </w:tc>
        <w:tc>
          <w:tcPr>
            <w:tcW w:w="1110" w:type="dxa"/>
            <w:tcBorders>
              <w:top w:val="nil"/>
              <w:left w:val="nil"/>
              <w:bottom w:val="nil"/>
              <w:right w:val="nil"/>
            </w:tcBorders>
            <w:shd w:val="clear" w:color="auto" w:fill="auto"/>
            <w:noWrap/>
            <w:vAlign w:val="bottom"/>
            <w:hideMark/>
          </w:tcPr>
          <w:p w:rsidR="00827E81" w:rsidRPr="00463A62" w:rsidRDefault="00827E81" w:rsidP="005810A1">
            <w:pPr>
              <w:spacing w:after="0"/>
              <w:rPr>
                <w:rFonts w:ascii="Calibri" w:eastAsia="Times New Roman" w:hAnsi="Calibri" w:cs="Times New Roman"/>
                <w:color w:val="000000"/>
                <w:sz w:val="22"/>
                <w:szCs w:val="22"/>
                <w:lang w:eastAsia="en-US"/>
              </w:rPr>
            </w:pPr>
          </w:p>
        </w:tc>
        <w:tc>
          <w:tcPr>
            <w:tcW w:w="1110" w:type="dxa"/>
            <w:tcBorders>
              <w:top w:val="nil"/>
              <w:left w:val="nil"/>
              <w:bottom w:val="nil"/>
              <w:right w:val="nil"/>
            </w:tcBorders>
            <w:shd w:val="clear" w:color="auto" w:fill="auto"/>
            <w:noWrap/>
            <w:vAlign w:val="bottom"/>
            <w:hideMark/>
          </w:tcPr>
          <w:p w:rsidR="00827E81" w:rsidRPr="00463A62" w:rsidRDefault="00827E81" w:rsidP="005810A1">
            <w:pPr>
              <w:spacing w:after="0"/>
              <w:rPr>
                <w:rFonts w:ascii="Calibri" w:eastAsia="Times New Roman" w:hAnsi="Calibri" w:cs="Times New Roman"/>
                <w:color w:val="000000"/>
                <w:sz w:val="22"/>
                <w:szCs w:val="22"/>
                <w:lang w:eastAsia="en-US"/>
              </w:rPr>
            </w:pPr>
          </w:p>
        </w:tc>
        <w:tc>
          <w:tcPr>
            <w:tcW w:w="1110" w:type="dxa"/>
            <w:tcBorders>
              <w:top w:val="nil"/>
              <w:left w:val="nil"/>
              <w:bottom w:val="nil"/>
              <w:right w:val="nil"/>
            </w:tcBorders>
            <w:shd w:val="clear" w:color="auto" w:fill="auto"/>
            <w:noWrap/>
            <w:vAlign w:val="bottom"/>
            <w:hideMark/>
          </w:tcPr>
          <w:p w:rsidR="00827E81" w:rsidRPr="00463A62" w:rsidRDefault="00827E81" w:rsidP="005810A1">
            <w:pPr>
              <w:spacing w:after="0"/>
              <w:rPr>
                <w:rFonts w:ascii="Calibri" w:eastAsia="Times New Roman" w:hAnsi="Calibri" w:cs="Times New Roman"/>
                <w:color w:val="000000"/>
                <w:sz w:val="22"/>
                <w:szCs w:val="22"/>
                <w:lang w:eastAsia="en-US"/>
              </w:rPr>
            </w:pPr>
          </w:p>
        </w:tc>
        <w:tc>
          <w:tcPr>
            <w:tcW w:w="1110" w:type="dxa"/>
            <w:tcBorders>
              <w:top w:val="nil"/>
              <w:left w:val="nil"/>
              <w:bottom w:val="nil"/>
              <w:right w:val="nil"/>
            </w:tcBorders>
            <w:shd w:val="clear" w:color="auto" w:fill="auto"/>
            <w:noWrap/>
            <w:vAlign w:val="bottom"/>
            <w:hideMark/>
          </w:tcPr>
          <w:p w:rsidR="00827E81" w:rsidRPr="00463A62" w:rsidRDefault="00827E81" w:rsidP="005810A1">
            <w:pPr>
              <w:spacing w:after="0"/>
              <w:rPr>
                <w:rFonts w:ascii="Calibri" w:eastAsia="Times New Roman" w:hAnsi="Calibri" w:cs="Times New Roman"/>
                <w:color w:val="000000"/>
                <w:sz w:val="22"/>
                <w:szCs w:val="22"/>
                <w:lang w:eastAsia="en-US"/>
              </w:rPr>
            </w:pPr>
          </w:p>
        </w:tc>
        <w:tc>
          <w:tcPr>
            <w:tcW w:w="688" w:type="dxa"/>
            <w:tcBorders>
              <w:top w:val="nil"/>
              <w:left w:val="nil"/>
              <w:bottom w:val="nil"/>
              <w:right w:val="nil"/>
            </w:tcBorders>
            <w:shd w:val="clear" w:color="auto" w:fill="auto"/>
            <w:noWrap/>
            <w:vAlign w:val="bottom"/>
            <w:hideMark/>
          </w:tcPr>
          <w:p w:rsidR="00827E81" w:rsidRPr="00463A62" w:rsidRDefault="00827E81" w:rsidP="005810A1">
            <w:pPr>
              <w:spacing w:after="0"/>
              <w:rPr>
                <w:rFonts w:ascii="Calibri" w:eastAsia="Times New Roman" w:hAnsi="Calibri" w:cs="Times New Roman"/>
                <w:color w:val="000000"/>
                <w:sz w:val="22"/>
                <w:szCs w:val="22"/>
                <w:lang w:eastAsia="en-US"/>
              </w:rPr>
            </w:pPr>
          </w:p>
        </w:tc>
        <w:tc>
          <w:tcPr>
            <w:tcW w:w="847" w:type="dxa"/>
            <w:tcBorders>
              <w:top w:val="nil"/>
              <w:left w:val="nil"/>
              <w:bottom w:val="nil"/>
              <w:right w:val="single" w:sz="8" w:space="0" w:color="auto"/>
            </w:tcBorders>
            <w:shd w:val="clear" w:color="auto" w:fill="auto"/>
            <w:noWrap/>
            <w:vAlign w:val="bottom"/>
            <w:hideMark/>
          </w:tcPr>
          <w:p w:rsidR="00827E81" w:rsidRPr="00463A62" w:rsidRDefault="00827E81" w:rsidP="005810A1">
            <w:pPr>
              <w:spacing w:after="0"/>
              <w:rPr>
                <w:rFonts w:ascii="Calibri" w:eastAsia="Times New Roman" w:hAnsi="Calibri" w:cs="Times New Roman"/>
                <w:color w:val="000000"/>
                <w:sz w:val="22"/>
                <w:szCs w:val="22"/>
                <w:lang w:eastAsia="en-US"/>
              </w:rPr>
            </w:pPr>
            <w:r w:rsidRPr="00463A62">
              <w:rPr>
                <w:rFonts w:ascii="Calibri" w:eastAsia="Times New Roman" w:hAnsi="Calibri" w:cs="Times New Roman"/>
                <w:color w:val="000000"/>
                <w:sz w:val="22"/>
                <w:szCs w:val="22"/>
                <w:lang w:eastAsia="en-US"/>
              </w:rPr>
              <w:t> </w:t>
            </w:r>
          </w:p>
        </w:tc>
      </w:tr>
      <w:tr w:rsidR="00827E81" w:rsidRPr="00463A62" w:rsidTr="005810A1">
        <w:trPr>
          <w:trHeight w:val="300"/>
        </w:trPr>
        <w:tc>
          <w:tcPr>
            <w:tcW w:w="8962" w:type="dxa"/>
            <w:gridSpan w:val="9"/>
            <w:tcBorders>
              <w:top w:val="nil"/>
              <w:left w:val="single" w:sz="8" w:space="0" w:color="auto"/>
              <w:bottom w:val="nil"/>
              <w:right w:val="single" w:sz="8" w:space="0" w:color="000000"/>
            </w:tcBorders>
            <w:shd w:val="clear" w:color="000000" w:fill="99FFCC"/>
            <w:noWrap/>
            <w:vAlign w:val="bottom"/>
            <w:hideMark/>
          </w:tcPr>
          <w:p w:rsidR="00827E81" w:rsidRPr="00463A62" w:rsidRDefault="00827E81" w:rsidP="005810A1">
            <w:pPr>
              <w:spacing w:after="0"/>
              <w:jc w:val="center"/>
              <w:rPr>
                <w:rFonts w:ascii="Calibri" w:eastAsia="Times New Roman" w:hAnsi="Calibri" w:cs="Times New Roman"/>
                <w:b/>
                <w:bCs/>
                <w:color w:val="000000"/>
                <w:sz w:val="22"/>
                <w:szCs w:val="22"/>
                <w:lang w:eastAsia="en-US"/>
              </w:rPr>
            </w:pPr>
            <w:r w:rsidRPr="00463A62">
              <w:rPr>
                <w:rFonts w:ascii="Calibri" w:eastAsia="Times New Roman" w:hAnsi="Calibri" w:cs="Times New Roman"/>
                <w:b/>
                <w:bCs/>
                <w:color w:val="000000"/>
                <w:sz w:val="22"/>
                <w:szCs w:val="22"/>
                <w:lang w:eastAsia="en-US"/>
              </w:rPr>
              <w:t xml:space="preserve"> Performance Of Rate and Term Refinanced Loans Worsens Relative</w:t>
            </w:r>
          </w:p>
        </w:tc>
      </w:tr>
      <w:tr w:rsidR="00827E81" w:rsidRPr="00463A62" w:rsidTr="005810A1">
        <w:trPr>
          <w:trHeight w:val="315"/>
        </w:trPr>
        <w:tc>
          <w:tcPr>
            <w:tcW w:w="8962" w:type="dxa"/>
            <w:gridSpan w:val="9"/>
            <w:tcBorders>
              <w:top w:val="nil"/>
              <w:left w:val="single" w:sz="8" w:space="0" w:color="auto"/>
              <w:bottom w:val="single" w:sz="8" w:space="0" w:color="auto"/>
              <w:right w:val="single" w:sz="8" w:space="0" w:color="000000"/>
            </w:tcBorders>
            <w:shd w:val="clear" w:color="000000" w:fill="99FFCC"/>
            <w:noWrap/>
            <w:vAlign w:val="bottom"/>
            <w:hideMark/>
          </w:tcPr>
          <w:p w:rsidR="00827E81" w:rsidRPr="00463A62" w:rsidRDefault="00827E81" w:rsidP="005810A1">
            <w:pPr>
              <w:spacing w:after="0"/>
              <w:jc w:val="center"/>
              <w:rPr>
                <w:rFonts w:ascii="Calibri" w:eastAsia="Times New Roman" w:hAnsi="Calibri" w:cs="Times New Roman"/>
                <w:b/>
                <w:bCs/>
                <w:color w:val="000000"/>
                <w:sz w:val="22"/>
                <w:szCs w:val="22"/>
                <w:lang w:eastAsia="en-US"/>
              </w:rPr>
            </w:pPr>
            <w:r w:rsidRPr="00463A62">
              <w:rPr>
                <w:rFonts w:ascii="Calibri" w:eastAsia="Times New Roman" w:hAnsi="Calibri" w:cs="Times New Roman"/>
                <w:b/>
                <w:bCs/>
                <w:color w:val="000000"/>
                <w:sz w:val="22"/>
                <w:szCs w:val="22"/>
                <w:lang w:eastAsia="en-US"/>
              </w:rPr>
              <w:t>To Purchase Loans With  Higher FICO and Higher LTV</w:t>
            </w:r>
          </w:p>
        </w:tc>
      </w:tr>
    </w:tbl>
    <w:p w:rsidR="00637449" w:rsidRDefault="00637449" w:rsidP="006E6E2D"/>
    <w:p w:rsidR="00463A62" w:rsidRPr="005B75F7" w:rsidRDefault="006E6E2D" w:rsidP="006E6E2D">
      <w:r w:rsidRPr="005B75F7">
        <w:t>Examination of the ratios reveals that the relative differences</w:t>
      </w:r>
      <w:r w:rsidR="00882337">
        <w:t xml:space="preserve"> between rate and term </w:t>
      </w:r>
      <w:proofErr w:type="spellStart"/>
      <w:r w:rsidR="00882337">
        <w:t>refis</w:t>
      </w:r>
      <w:proofErr w:type="spellEnd"/>
      <w:r w:rsidR="00882337">
        <w:t xml:space="preserve"> and purchase loans </w:t>
      </w:r>
      <w:r w:rsidRPr="005B75F7">
        <w:t xml:space="preserve">worsen not only as one moves to higher LTV groupings, but the performance worsens also as one moves up the FICO scale. Also note the relatively small differences between rate and term refinanced loans and purchase loans for the greater than 95 LTV loans. Typically, most refinanced loans are generally found in LTV groupings lower than the original LTV.  Consequently, it is more surprising that ratios for greater than 95 refinanced loans are as high as </w:t>
      </w:r>
      <w:r w:rsidRPr="005B75F7">
        <w:lastRenderedPageBreak/>
        <w:t>they are. Historically, there have been relatively few rate and term refinanced loans with LTVs greater than 95.</w:t>
      </w:r>
    </w:p>
    <w:p w:rsidR="00312DF5" w:rsidRDefault="00312DF5" w:rsidP="00345335"/>
    <w:p w:rsidR="00345335" w:rsidRDefault="005B75F7" w:rsidP="00345335">
      <w:r w:rsidRPr="005B75F7">
        <w:t>In addition, not only are there significant differences in default frequency, there are also differences in loss severity for the same LTV level. Several years ago, Robert Van Order while he was Chief Economist for Freddie Mac pointed out that rate-and-term refinanced mortgages were riskier than purchase loans. Generally speaking, refinanced mortgages suffer from inappropriate LTV measurement in that the value of the property is no more than the opinion of the appraiser, without the benefit of a true sales transaction. As a result, the recovery values relative to stated value at origination on refinanced properties that go to foreclosure often average seven to eight points lower than purchase loans. With average loss severities on most 80 LTV loans running between 25-35%, a 7 to 8 point difference in the recovery value can mean about a 30% difference in loss severity. In Table 3, we show the effects of a 7 point difference in recovery values on loss severity by LTV.</w:t>
      </w:r>
    </w:p>
    <w:p w:rsidR="00312DF5" w:rsidRDefault="00312DF5" w:rsidP="00345335"/>
    <w:tbl>
      <w:tblPr>
        <w:tblW w:w="7941" w:type="dxa"/>
        <w:tblInd w:w="93" w:type="dxa"/>
        <w:tblLook w:val="04A0" w:firstRow="1" w:lastRow="0" w:firstColumn="1" w:lastColumn="0" w:noHBand="0" w:noVBand="1"/>
      </w:tblPr>
      <w:tblGrid>
        <w:gridCol w:w="1327"/>
        <w:gridCol w:w="2162"/>
        <w:gridCol w:w="2162"/>
        <w:gridCol w:w="2162"/>
        <w:gridCol w:w="266"/>
      </w:tblGrid>
      <w:tr w:rsidR="00345335" w:rsidRPr="00345335" w:rsidTr="00345335">
        <w:trPr>
          <w:trHeight w:val="315"/>
        </w:trPr>
        <w:tc>
          <w:tcPr>
            <w:tcW w:w="7941" w:type="dxa"/>
            <w:gridSpan w:val="5"/>
            <w:tcBorders>
              <w:top w:val="single" w:sz="8" w:space="0" w:color="auto"/>
              <w:left w:val="single" w:sz="8" w:space="0" w:color="auto"/>
              <w:bottom w:val="nil"/>
              <w:right w:val="single" w:sz="8" w:space="0" w:color="000000"/>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lang w:eastAsia="en-US"/>
              </w:rPr>
            </w:pPr>
            <w:r w:rsidRPr="00345335">
              <w:rPr>
                <w:rFonts w:ascii="Calibri" w:eastAsia="Times New Roman" w:hAnsi="Calibri" w:cs="Times New Roman"/>
                <w:b/>
                <w:bCs/>
                <w:color w:val="000000"/>
                <w:lang w:eastAsia="en-US"/>
              </w:rPr>
              <w:t xml:space="preserve">Table 3. Estimation of Ratio Of Cumulative Loss Rates </w:t>
            </w:r>
            <w:proofErr w:type="spellStart"/>
            <w:r w:rsidRPr="00345335">
              <w:rPr>
                <w:rFonts w:ascii="Calibri" w:eastAsia="Times New Roman" w:hAnsi="Calibri" w:cs="Times New Roman"/>
                <w:b/>
                <w:bCs/>
                <w:color w:val="000000"/>
                <w:lang w:eastAsia="en-US"/>
              </w:rPr>
              <w:t>Refis</w:t>
            </w:r>
            <w:proofErr w:type="spellEnd"/>
            <w:r w:rsidRPr="00345335">
              <w:rPr>
                <w:rFonts w:ascii="Calibri" w:eastAsia="Times New Roman" w:hAnsi="Calibri" w:cs="Times New Roman"/>
                <w:b/>
                <w:bCs/>
                <w:color w:val="000000"/>
                <w:lang w:eastAsia="en-US"/>
              </w:rPr>
              <w:t xml:space="preserve"> Vs. Purchase</w:t>
            </w:r>
          </w:p>
        </w:tc>
      </w:tr>
      <w:tr w:rsidR="00345335" w:rsidRPr="00345335" w:rsidTr="00345335">
        <w:trPr>
          <w:trHeight w:val="315"/>
        </w:trPr>
        <w:tc>
          <w:tcPr>
            <w:tcW w:w="1327" w:type="dxa"/>
            <w:tcBorders>
              <w:top w:val="nil"/>
              <w:left w:val="single" w:sz="8" w:space="0" w:color="auto"/>
              <w:bottom w:val="nil"/>
              <w:right w:val="nil"/>
            </w:tcBorders>
            <w:shd w:val="clear" w:color="auto" w:fill="auto"/>
            <w:noWrap/>
            <w:vAlign w:val="bottom"/>
            <w:hideMark/>
          </w:tcPr>
          <w:p w:rsidR="00345335" w:rsidRPr="00345335" w:rsidRDefault="00345335" w:rsidP="00345335">
            <w:pPr>
              <w:spacing w:after="0"/>
              <w:rPr>
                <w:rFonts w:ascii="Calibri" w:eastAsia="Times New Roman" w:hAnsi="Calibri" w:cs="Times New Roman"/>
                <w:color w:val="000000"/>
                <w:sz w:val="22"/>
                <w:szCs w:val="22"/>
                <w:lang w:eastAsia="en-US"/>
              </w:rPr>
            </w:pPr>
            <w:r w:rsidRPr="00345335">
              <w:rPr>
                <w:rFonts w:ascii="Calibri" w:eastAsia="Times New Roman" w:hAnsi="Calibri" w:cs="Times New Roman"/>
                <w:color w:val="000000"/>
                <w:sz w:val="22"/>
                <w:szCs w:val="22"/>
                <w:lang w:eastAsia="en-US"/>
              </w:rPr>
              <w:t> </w:t>
            </w:r>
          </w:p>
        </w:tc>
        <w:tc>
          <w:tcPr>
            <w:tcW w:w="2162" w:type="dxa"/>
            <w:tcBorders>
              <w:top w:val="nil"/>
              <w:left w:val="nil"/>
              <w:bottom w:val="nil"/>
              <w:right w:val="nil"/>
            </w:tcBorders>
            <w:shd w:val="clear" w:color="auto" w:fill="auto"/>
            <w:noWrap/>
            <w:vAlign w:val="bottom"/>
            <w:hideMark/>
          </w:tcPr>
          <w:p w:rsidR="00345335" w:rsidRPr="00345335" w:rsidRDefault="00345335" w:rsidP="00345335">
            <w:pPr>
              <w:spacing w:after="0"/>
              <w:rPr>
                <w:rFonts w:ascii="Calibri" w:eastAsia="Times New Roman" w:hAnsi="Calibri" w:cs="Times New Roman"/>
                <w:color w:val="000000"/>
                <w:sz w:val="22"/>
                <w:szCs w:val="22"/>
                <w:lang w:eastAsia="en-US"/>
              </w:rPr>
            </w:pPr>
          </w:p>
        </w:tc>
        <w:tc>
          <w:tcPr>
            <w:tcW w:w="2162" w:type="dxa"/>
            <w:tcBorders>
              <w:top w:val="nil"/>
              <w:left w:val="nil"/>
              <w:bottom w:val="nil"/>
              <w:right w:val="nil"/>
            </w:tcBorders>
            <w:shd w:val="clear" w:color="auto" w:fill="auto"/>
            <w:noWrap/>
            <w:vAlign w:val="bottom"/>
            <w:hideMark/>
          </w:tcPr>
          <w:p w:rsidR="00345335" w:rsidRPr="00345335" w:rsidRDefault="00345335" w:rsidP="00345335">
            <w:pPr>
              <w:spacing w:after="0"/>
              <w:rPr>
                <w:rFonts w:ascii="Calibri" w:eastAsia="Times New Roman" w:hAnsi="Calibri" w:cs="Times New Roman"/>
                <w:color w:val="000000"/>
                <w:sz w:val="22"/>
                <w:szCs w:val="22"/>
                <w:lang w:eastAsia="en-US"/>
              </w:rPr>
            </w:pPr>
          </w:p>
        </w:tc>
        <w:tc>
          <w:tcPr>
            <w:tcW w:w="2162" w:type="dxa"/>
            <w:tcBorders>
              <w:top w:val="nil"/>
              <w:left w:val="nil"/>
              <w:bottom w:val="nil"/>
              <w:right w:val="nil"/>
            </w:tcBorders>
            <w:shd w:val="clear" w:color="auto" w:fill="auto"/>
            <w:noWrap/>
            <w:vAlign w:val="bottom"/>
            <w:hideMark/>
          </w:tcPr>
          <w:p w:rsidR="00345335" w:rsidRPr="00345335" w:rsidRDefault="00345335" w:rsidP="00345335">
            <w:pPr>
              <w:spacing w:after="0"/>
              <w:rPr>
                <w:rFonts w:ascii="Calibri" w:eastAsia="Times New Roman" w:hAnsi="Calibri" w:cs="Times New Roman"/>
                <w:color w:val="000000"/>
                <w:sz w:val="22"/>
                <w:szCs w:val="22"/>
                <w:lang w:eastAsia="en-US"/>
              </w:rPr>
            </w:pPr>
          </w:p>
        </w:tc>
        <w:tc>
          <w:tcPr>
            <w:tcW w:w="128" w:type="dxa"/>
            <w:tcBorders>
              <w:top w:val="nil"/>
              <w:left w:val="nil"/>
              <w:bottom w:val="nil"/>
              <w:right w:val="single" w:sz="8" w:space="0" w:color="auto"/>
            </w:tcBorders>
            <w:shd w:val="clear" w:color="auto" w:fill="auto"/>
            <w:noWrap/>
            <w:vAlign w:val="bottom"/>
            <w:hideMark/>
          </w:tcPr>
          <w:p w:rsidR="00345335" w:rsidRPr="00345335" w:rsidRDefault="00345335" w:rsidP="00345335">
            <w:pPr>
              <w:spacing w:after="0"/>
              <w:rPr>
                <w:rFonts w:ascii="Calibri" w:eastAsia="Times New Roman" w:hAnsi="Calibri" w:cs="Times New Roman"/>
                <w:color w:val="000000"/>
                <w:sz w:val="22"/>
                <w:szCs w:val="22"/>
                <w:lang w:eastAsia="en-US"/>
              </w:rPr>
            </w:pPr>
            <w:r w:rsidRPr="00345335">
              <w:rPr>
                <w:rFonts w:ascii="Calibri" w:eastAsia="Times New Roman" w:hAnsi="Calibri" w:cs="Times New Roman"/>
                <w:color w:val="000000"/>
                <w:sz w:val="22"/>
                <w:szCs w:val="22"/>
                <w:lang w:eastAsia="en-US"/>
              </w:rPr>
              <w:t> </w:t>
            </w:r>
          </w:p>
        </w:tc>
      </w:tr>
      <w:tr w:rsidR="00345335" w:rsidRPr="00345335" w:rsidTr="00345335">
        <w:trPr>
          <w:trHeight w:val="300"/>
        </w:trPr>
        <w:tc>
          <w:tcPr>
            <w:tcW w:w="1327" w:type="dxa"/>
            <w:tcBorders>
              <w:top w:val="nil"/>
              <w:left w:val="single" w:sz="8" w:space="0" w:color="auto"/>
              <w:bottom w:val="nil"/>
              <w:right w:val="nil"/>
            </w:tcBorders>
            <w:shd w:val="clear" w:color="auto" w:fill="auto"/>
            <w:noWrap/>
            <w:vAlign w:val="bottom"/>
            <w:hideMark/>
          </w:tcPr>
          <w:p w:rsidR="00345335" w:rsidRPr="00345335" w:rsidRDefault="00345335" w:rsidP="00345335">
            <w:pPr>
              <w:spacing w:after="0"/>
              <w:rPr>
                <w:rFonts w:ascii="Calibri" w:eastAsia="Times New Roman" w:hAnsi="Calibri" w:cs="Times New Roman"/>
                <w:color w:val="000000"/>
                <w:sz w:val="22"/>
                <w:szCs w:val="22"/>
                <w:lang w:eastAsia="en-US"/>
              </w:rPr>
            </w:pPr>
            <w:r w:rsidRPr="00345335">
              <w:rPr>
                <w:rFonts w:ascii="Calibri" w:eastAsia="Times New Roman" w:hAnsi="Calibri" w:cs="Times New Roman"/>
                <w:color w:val="000000"/>
                <w:sz w:val="22"/>
                <w:szCs w:val="22"/>
                <w:lang w:eastAsia="en-US"/>
              </w:rPr>
              <w:t> </w:t>
            </w:r>
          </w:p>
        </w:tc>
        <w:tc>
          <w:tcPr>
            <w:tcW w:w="2162"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2"/>
                <w:szCs w:val="22"/>
                <w:lang w:eastAsia="en-US"/>
              </w:rPr>
            </w:pPr>
            <w:r w:rsidRPr="00345335">
              <w:rPr>
                <w:rFonts w:ascii="Calibri" w:eastAsia="Times New Roman" w:hAnsi="Calibri" w:cs="Times New Roman"/>
                <w:b/>
                <w:bCs/>
                <w:color w:val="000000"/>
                <w:sz w:val="22"/>
                <w:szCs w:val="22"/>
                <w:lang w:eastAsia="en-US"/>
              </w:rPr>
              <w:t>Ratio Of Loss</w:t>
            </w:r>
          </w:p>
        </w:tc>
        <w:tc>
          <w:tcPr>
            <w:tcW w:w="2162"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2"/>
                <w:szCs w:val="22"/>
                <w:lang w:eastAsia="en-US"/>
              </w:rPr>
            </w:pPr>
            <w:r w:rsidRPr="00345335">
              <w:rPr>
                <w:rFonts w:ascii="Calibri" w:eastAsia="Times New Roman" w:hAnsi="Calibri" w:cs="Times New Roman"/>
                <w:b/>
                <w:bCs/>
                <w:color w:val="000000"/>
                <w:sz w:val="22"/>
                <w:szCs w:val="22"/>
                <w:lang w:eastAsia="en-US"/>
              </w:rPr>
              <w:t xml:space="preserve">Ratios Of </w:t>
            </w:r>
          </w:p>
        </w:tc>
        <w:tc>
          <w:tcPr>
            <w:tcW w:w="2162"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2"/>
                <w:szCs w:val="22"/>
                <w:lang w:eastAsia="en-US"/>
              </w:rPr>
            </w:pPr>
            <w:r w:rsidRPr="00345335">
              <w:rPr>
                <w:rFonts w:ascii="Calibri" w:eastAsia="Times New Roman" w:hAnsi="Calibri" w:cs="Times New Roman"/>
                <w:b/>
                <w:bCs/>
                <w:color w:val="000000"/>
                <w:sz w:val="22"/>
                <w:szCs w:val="22"/>
                <w:lang w:eastAsia="en-US"/>
              </w:rPr>
              <w:t>Ratios Of</w:t>
            </w:r>
          </w:p>
        </w:tc>
        <w:tc>
          <w:tcPr>
            <w:tcW w:w="128" w:type="dxa"/>
            <w:tcBorders>
              <w:top w:val="nil"/>
              <w:left w:val="nil"/>
              <w:bottom w:val="nil"/>
              <w:right w:val="single" w:sz="8" w:space="0" w:color="auto"/>
            </w:tcBorders>
            <w:shd w:val="clear" w:color="auto" w:fill="auto"/>
            <w:noWrap/>
            <w:vAlign w:val="bottom"/>
            <w:hideMark/>
          </w:tcPr>
          <w:p w:rsidR="00345335" w:rsidRPr="00345335" w:rsidRDefault="00345335" w:rsidP="00345335">
            <w:pPr>
              <w:spacing w:after="0"/>
              <w:rPr>
                <w:rFonts w:ascii="Calibri" w:eastAsia="Times New Roman" w:hAnsi="Calibri" w:cs="Times New Roman"/>
                <w:color w:val="000000"/>
                <w:sz w:val="22"/>
                <w:szCs w:val="22"/>
                <w:lang w:eastAsia="en-US"/>
              </w:rPr>
            </w:pPr>
            <w:r w:rsidRPr="00345335">
              <w:rPr>
                <w:rFonts w:ascii="Calibri" w:eastAsia="Times New Roman" w:hAnsi="Calibri" w:cs="Times New Roman"/>
                <w:color w:val="000000"/>
                <w:sz w:val="22"/>
                <w:szCs w:val="22"/>
                <w:lang w:eastAsia="en-US"/>
              </w:rPr>
              <w:t> </w:t>
            </w:r>
          </w:p>
        </w:tc>
      </w:tr>
      <w:tr w:rsidR="00345335" w:rsidRPr="00345335" w:rsidTr="00345335">
        <w:trPr>
          <w:trHeight w:val="300"/>
        </w:trPr>
        <w:tc>
          <w:tcPr>
            <w:tcW w:w="1327" w:type="dxa"/>
            <w:tcBorders>
              <w:top w:val="nil"/>
              <w:left w:val="single" w:sz="8" w:space="0" w:color="auto"/>
              <w:bottom w:val="nil"/>
              <w:right w:val="nil"/>
            </w:tcBorders>
            <w:shd w:val="clear" w:color="auto" w:fill="auto"/>
            <w:noWrap/>
            <w:vAlign w:val="bottom"/>
            <w:hideMark/>
          </w:tcPr>
          <w:p w:rsidR="00345335" w:rsidRPr="00345335" w:rsidRDefault="00345335" w:rsidP="00345335">
            <w:pPr>
              <w:spacing w:after="0"/>
              <w:rPr>
                <w:rFonts w:ascii="Calibri" w:eastAsia="Times New Roman" w:hAnsi="Calibri" w:cs="Times New Roman"/>
                <w:color w:val="000000"/>
                <w:sz w:val="22"/>
                <w:szCs w:val="22"/>
                <w:lang w:eastAsia="en-US"/>
              </w:rPr>
            </w:pPr>
            <w:r w:rsidRPr="00345335">
              <w:rPr>
                <w:rFonts w:ascii="Calibri" w:eastAsia="Times New Roman" w:hAnsi="Calibri" w:cs="Times New Roman"/>
                <w:color w:val="000000"/>
                <w:sz w:val="22"/>
                <w:szCs w:val="22"/>
                <w:lang w:eastAsia="en-US"/>
              </w:rPr>
              <w:t> </w:t>
            </w:r>
          </w:p>
        </w:tc>
        <w:tc>
          <w:tcPr>
            <w:tcW w:w="2162"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2"/>
                <w:szCs w:val="22"/>
                <w:lang w:eastAsia="en-US"/>
              </w:rPr>
            </w:pPr>
            <w:r w:rsidRPr="00345335">
              <w:rPr>
                <w:rFonts w:ascii="Calibri" w:eastAsia="Times New Roman" w:hAnsi="Calibri" w:cs="Times New Roman"/>
                <w:b/>
                <w:bCs/>
                <w:color w:val="000000"/>
                <w:sz w:val="22"/>
                <w:szCs w:val="22"/>
                <w:lang w:eastAsia="en-US"/>
              </w:rPr>
              <w:t>Severity</w:t>
            </w:r>
          </w:p>
        </w:tc>
        <w:tc>
          <w:tcPr>
            <w:tcW w:w="2162"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2"/>
                <w:szCs w:val="22"/>
                <w:lang w:eastAsia="en-US"/>
              </w:rPr>
            </w:pPr>
            <w:r w:rsidRPr="00345335">
              <w:rPr>
                <w:rFonts w:ascii="Calibri" w:eastAsia="Times New Roman" w:hAnsi="Calibri" w:cs="Times New Roman"/>
                <w:b/>
                <w:bCs/>
                <w:color w:val="000000"/>
                <w:sz w:val="22"/>
                <w:szCs w:val="22"/>
                <w:lang w:eastAsia="en-US"/>
              </w:rPr>
              <w:t>Cumulative</w:t>
            </w:r>
          </w:p>
        </w:tc>
        <w:tc>
          <w:tcPr>
            <w:tcW w:w="2162"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2"/>
                <w:szCs w:val="22"/>
                <w:lang w:eastAsia="en-US"/>
              </w:rPr>
            </w:pPr>
            <w:r w:rsidRPr="00345335">
              <w:rPr>
                <w:rFonts w:ascii="Calibri" w:eastAsia="Times New Roman" w:hAnsi="Calibri" w:cs="Times New Roman"/>
                <w:b/>
                <w:bCs/>
                <w:color w:val="000000"/>
                <w:sz w:val="22"/>
                <w:szCs w:val="22"/>
                <w:lang w:eastAsia="en-US"/>
              </w:rPr>
              <w:t>Cumulative</w:t>
            </w:r>
          </w:p>
        </w:tc>
        <w:tc>
          <w:tcPr>
            <w:tcW w:w="128" w:type="dxa"/>
            <w:tcBorders>
              <w:top w:val="nil"/>
              <w:left w:val="nil"/>
              <w:bottom w:val="nil"/>
              <w:right w:val="single" w:sz="8" w:space="0" w:color="auto"/>
            </w:tcBorders>
            <w:shd w:val="clear" w:color="auto" w:fill="auto"/>
            <w:noWrap/>
            <w:vAlign w:val="bottom"/>
            <w:hideMark/>
          </w:tcPr>
          <w:p w:rsidR="00345335" w:rsidRPr="00345335" w:rsidRDefault="00345335" w:rsidP="00345335">
            <w:pPr>
              <w:spacing w:after="0"/>
              <w:rPr>
                <w:rFonts w:ascii="Calibri" w:eastAsia="Times New Roman" w:hAnsi="Calibri" w:cs="Times New Roman"/>
                <w:color w:val="000000"/>
                <w:sz w:val="22"/>
                <w:szCs w:val="22"/>
                <w:lang w:eastAsia="en-US"/>
              </w:rPr>
            </w:pPr>
            <w:r w:rsidRPr="00345335">
              <w:rPr>
                <w:rFonts w:ascii="Calibri" w:eastAsia="Times New Roman" w:hAnsi="Calibri" w:cs="Times New Roman"/>
                <w:color w:val="000000"/>
                <w:sz w:val="22"/>
                <w:szCs w:val="22"/>
                <w:lang w:eastAsia="en-US"/>
              </w:rPr>
              <w:t> </w:t>
            </w:r>
          </w:p>
        </w:tc>
      </w:tr>
      <w:tr w:rsidR="00345335" w:rsidRPr="00345335" w:rsidTr="00345335">
        <w:trPr>
          <w:trHeight w:val="300"/>
        </w:trPr>
        <w:tc>
          <w:tcPr>
            <w:tcW w:w="1327" w:type="dxa"/>
            <w:tcBorders>
              <w:top w:val="nil"/>
              <w:left w:val="single" w:sz="8" w:space="0" w:color="auto"/>
              <w:bottom w:val="nil"/>
              <w:right w:val="nil"/>
            </w:tcBorders>
            <w:shd w:val="clear" w:color="auto" w:fill="auto"/>
            <w:noWrap/>
            <w:vAlign w:val="bottom"/>
            <w:hideMark/>
          </w:tcPr>
          <w:p w:rsidR="00345335" w:rsidRPr="00345335" w:rsidRDefault="00345335" w:rsidP="00345335">
            <w:pPr>
              <w:spacing w:after="0"/>
              <w:rPr>
                <w:rFonts w:ascii="Calibri" w:eastAsia="Times New Roman" w:hAnsi="Calibri" w:cs="Times New Roman"/>
                <w:color w:val="000000"/>
                <w:sz w:val="22"/>
                <w:szCs w:val="22"/>
                <w:lang w:eastAsia="en-US"/>
              </w:rPr>
            </w:pPr>
            <w:r w:rsidRPr="00345335">
              <w:rPr>
                <w:rFonts w:ascii="Calibri" w:eastAsia="Times New Roman" w:hAnsi="Calibri" w:cs="Times New Roman"/>
                <w:color w:val="000000"/>
                <w:sz w:val="22"/>
                <w:szCs w:val="22"/>
                <w:lang w:eastAsia="en-US"/>
              </w:rPr>
              <w:t> </w:t>
            </w:r>
          </w:p>
        </w:tc>
        <w:tc>
          <w:tcPr>
            <w:tcW w:w="2162"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2"/>
                <w:szCs w:val="22"/>
                <w:lang w:eastAsia="en-US"/>
              </w:rPr>
            </w:pPr>
            <w:r w:rsidRPr="00345335">
              <w:rPr>
                <w:rFonts w:ascii="Calibri" w:eastAsia="Times New Roman" w:hAnsi="Calibri" w:cs="Times New Roman"/>
                <w:b/>
                <w:bCs/>
                <w:color w:val="000000"/>
                <w:sz w:val="22"/>
                <w:szCs w:val="22"/>
                <w:lang w:eastAsia="en-US"/>
              </w:rPr>
              <w:t>Differences</w:t>
            </w:r>
          </w:p>
        </w:tc>
        <w:tc>
          <w:tcPr>
            <w:tcW w:w="2162"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2"/>
                <w:szCs w:val="22"/>
                <w:lang w:eastAsia="en-US"/>
              </w:rPr>
            </w:pPr>
            <w:r w:rsidRPr="00345335">
              <w:rPr>
                <w:rFonts w:ascii="Calibri" w:eastAsia="Times New Roman" w:hAnsi="Calibri" w:cs="Times New Roman"/>
                <w:b/>
                <w:bCs/>
                <w:color w:val="000000"/>
                <w:sz w:val="22"/>
                <w:szCs w:val="22"/>
                <w:lang w:eastAsia="en-US"/>
              </w:rPr>
              <w:t>Default Rates</w:t>
            </w:r>
          </w:p>
        </w:tc>
        <w:tc>
          <w:tcPr>
            <w:tcW w:w="2162"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2"/>
                <w:szCs w:val="22"/>
                <w:lang w:eastAsia="en-US"/>
              </w:rPr>
            </w:pPr>
            <w:r w:rsidRPr="00345335">
              <w:rPr>
                <w:rFonts w:ascii="Calibri" w:eastAsia="Times New Roman" w:hAnsi="Calibri" w:cs="Times New Roman"/>
                <w:b/>
                <w:bCs/>
                <w:color w:val="000000"/>
                <w:sz w:val="22"/>
                <w:szCs w:val="22"/>
                <w:lang w:eastAsia="en-US"/>
              </w:rPr>
              <w:t>Loss Rates</w:t>
            </w:r>
          </w:p>
        </w:tc>
        <w:tc>
          <w:tcPr>
            <w:tcW w:w="128" w:type="dxa"/>
            <w:tcBorders>
              <w:top w:val="nil"/>
              <w:left w:val="nil"/>
              <w:bottom w:val="nil"/>
              <w:right w:val="single" w:sz="8" w:space="0" w:color="auto"/>
            </w:tcBorders>
            <w:shd w:val="clear" w:color="auto" w:fill="auto"/>
            <w:noWrap/>
            <w:vAlign w:val="bottom"/>
            <w:hideMark/>
          </w:tcPr>
          <w:p w:rsidR="00345335" w:rsidRPr="00345335" w:rsidRDefault="00345335" w:rsidP="00345335">
            <w:pPr>
              <w:spacing w:after="0"/>
              <w:rPr>
                <w:rFonts w:ascii="Calibri" w:eastAsia="Times New Roman" w:hAnsi="Calibri" w:cs="Times New Roman"/>
                <w:color w:val="000000"/>
                <w:sz w:val="22"/>
                <w:szCs w:val="22"/>
                <w:lang w:eastAsia="en-US"/>
              </w:rPr>
            </w:pPr>
            <w:r w:rsidRPr="00345335">
              <w:rPr>
                <w:rFonts w:ascii="Calibri" w:eastAsia="Times New Roman" w:hAnsi="Calibri" w:cs="Times New Roman"/>
                <w:color w:val="000000"/>
                <w:sz w:val="22"/>
                <w:szCs w:val="22"/>
                <w:lang w:eastAsia="en-US"/>
              </w:rPr>
              <w:t> </w:t>
            </w:r>
          </w:p>
        </w:tc>
      </w:tr>
      <w:tr w:rsidR="00345335" w:rsidRPr="00345335" w:rsidTr="00345335">
        <w:trPr>
          <w:trHeight w:val="300"/>
        </w:trPr>
        <w:tc>
          <w:tcPr>
            <w:tcW w:w="1327" w:type="dxa"/>
            <w:tcBorders>
              <w:top w:val="nil"/>
              <w:left w:val="single" w:sz="8" w:space="0" w:color="auto"/>
              <w:bottom w:val="nil"/>
              <w:right w:val="nil"/>
            </w:tcBorders>
            <w:shd w:val="clear" w:color="auto" w:fill="auto"/>
            <w:noWrap/>
            <w:vAlign w:val="bottom"/>
            <w:hideMark/>
          </w:tcPr>
          <w:p w:rsidR="00345335" w:rsidRPr="00345335" w:rsidRDefault="00345335" w:rsidP="00345335">
            <w:pPr>
              <w:spacing w:after="0"/>
              <w:rPr>
                <w:rFonts w:ascii="Calibri" w:eastAsia="Times New Roman" w:hAnsi="Calibri" w:cs="Times New Roman"/>
                <w:color w:val="000000"/>
                <w:sz w:val="22"/>
                <w:szCs w:val="22"/>
                <w:lang w:eastAsia="en-US"/>
              </w:rPr>
            </w:pPr>
            <w:r w:rsidRPr="00345335">
              <w:rPr>
                <w:rFonts w:ascii="Calibri" w:eastAsia="Times New Roman" w:hAnsi="Calibri" w:cs="Times New Roman"/>
                <w:color w:val="000000"/>
                <w:sz w:val="22"/>
                <w:szCs w:val="22"/>
                <w:lang w:eastAsia="en-US"/>
              </w:rPr>
              <w:t> </w:t>
            </w:r>
          </w:p>
        </w:tc>
        <w:tc>
          <w:tcPr>
            <w:tcW w:w="2162"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2"/>
                <w:szCs w:val="22"/>
                <w:u w:val="single"/>
                <w:lang w:eastAsia="en-US"/>
              </w:rPr>
            </w:pPr>
            <w:r w:rsidRPr="00345335">
              <w:rPr>
                <w:rFonts w:ascii="Calibri" w:eastAsia="Times New Roman" w:hAnsi="Calibri" w:cs="Times New Roman"/>
                <w:b/>
                <w:bCs/>
                <w:color w:val="000000"/>
                <w:sz w:val="22"/>
                <w:szCs w:val="22"/>
                <w:u w:val="single"/>
                <w:lang w:eastAsia="en-US"/>
              </w:rPr>
              <w:t>REFI/Purchase</w:t>
            </w:r>
          </w:p>
        </w:tc>
        <w:tc>
          <w:tcPr>
            <w:tcW w:w="2162"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2"/>
                <w:szCs w:val="22"/>
                <w:u w:val="single"/>
                <w:lang w:eastAsia="en-US"/>
              </w:rPr>
            </w:pPr>
            <w:r w:rsidRPr="00345335">
              <w:rPr>
                <w:rFonts w:ascii="Calibri" w:eastAsia="Times New Roman" w:hAnsi="Calibri" w:cs="Times New Roman"/>
                <w:b/>
                <w:bCs/>
                <w:color w:val="000000"/>
                <w:sz w:val="22"/>
                <w:szCs w:val="22"/>
                <w:u w:val="single"/>
                <w:lang w:eastAsia="en-US"/>
              </w:rPr>
              <w:t>REFI/Purchase</w:t>
            </w:r>
          </w:p>
        </w:tc>
        <w:tc>
          <w:tcPr>
            <w:tcW w:w="2162"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2"/>
                <w:szCs w:val="22"/>
                <w:u w:val="single"/>
                <w:lang w:eastAsia="en-US"/>
              </w:rPr>
            </w:pPr>
            <w:r w:rsidRPr="00345335">
              <w:rPr>
                <w:rFonts w:ascii="Calibri" w:eastAsia="Times New Roman" w:hAnsi="Calibri" w:cs="Times New Roman"/>
                <w:b/>
                <w:bCs/>
                <w:color w:val="000000"/>
                <w:sz w:val="22"/>
                <w:szCs w:val="22"/>
                <w:u w:val="single"/>
                <w:lang w:eastAsia="en-US"/>
              </w:rPr>
              <w:t>REFI/Purchase</w:t>
            </w:r>
          </w:p>
        </w:tc>
        <w:tc>
          <w:tcPr>
            <w:tcW w:w="128" w:type="dxa"/>
            <w:tcBorders>
              <w:top w:val="nil"/>
              <w:left w:val="nil"/>
              <w:bottom w:val="nil"/>
              <w:right w:val="single" w:sz="8" w:space="0" w:color="auto"/>
            </w:tcBorders>
            <w:shd w:val="clear" w:color="auto" w:fill="auto"/>
            <w:noWrap/>
            <w:vAlign w:val="bottom"/>
            <w:hideMark/>
          </w:tcPr>
          <w:p w:rsidR="00345335" w:rsidRPr="00345335" w:rsidRDefault="00345335" w:rsidP="00345335">
            <w:pPr>
              <w:spacing w:after="0"/>
              <w:rPr>
                <w:rFonts w:ascii="Calibri" w:eastAsia="Times New Roman" w:hAnsi="Calibri" w:cs="Times New Roman"/>
                <w:color w:val="000000"/>
                <w:sz w:val="22"/>
                <w:szCs w:val="22"/>
                <w:lang w:eastAsia="en-US"/>
              </w:rPr>
            </w:pPr>
            <w:r w:rsidRPr="00345335">
              <w:rPr>
                <w:rFonts w:ascii="Calibri" w:eastAsia="Times New Roman" w:hAnsi="Calibri" w:cs="Times New Roman"/>
                <w:color w:val="000000"/>
                <w:sz w:val="22"/>
                <w:szCs w:val="22"/>
                <w:lang w:eastAsia="en-US"/>
              </w:rPr>
              <w:t> </w:t>
            </w:r>
          </w:p>
        </w:tc>
      </w:tr>
      <w:tr w:rsidR="00345335" w:rsidRPr="00345335" w:rsidTr="00345335">
        <w:trPr>
          <w:trHeight w:val="300"/>
        </w:trPr>
        <w:tc>
          <w:tcPr>
            <w:tcW w:w="1327" w:type="dxa"/>
            <w:tcBorders>
              <w:top w:val="nil"/>
              <w:left w:val="single" w:sz="8" w:space="0" w:color="auto"/>
              <w:bottom w:val="nil"/>
              <w:right w:val="nil"/>
            </w:tcBorders>
            <w:shd w:val="clear" w:color="auto" w:fill="auto"/>
            <w:noWrap/>
            <w:vAlign w:val="bottom"/>
            <w:hideMark/>
          </w:tcPr>
          <w:p w:rsidR="00345335" w:rsidRPr="00345335" w:rsidRDefault="00345335" w:rsidP="00345335">
            <w:pPr>
              <w:spacing w:after="0"/>
              <w:rPr>
                <w:rFonts w:ascii="Calibri" w:eastAsia="Times New Roman" w:hAnsi="Calibri" w:cs="Times New Roman"/>
                <w:color w:val="000000"/>
                <w:sz w:val="22"/>
                <w:szCs w:val="22"/>
                <w:lang w:eastAsia="en-US"/>
              </w:rPr>
            </w:pPr>
            <w:r w:rsidRPr="00345335">
              <w:rPr>
                <w:rFonts w:ascii="Calibri" w:eastAsia="Times New Roman" w:hAnsi="Calibri" w:cs="Times New Roman"/>
                <w:color w:val="000000"/>
                <w:sz w:val="22"/>
                <w:szCs w:val="22"/>
                <w:lang w:eastAsia="en-US"/>
              </w:rPr>
              <w:t> </w:t>
            </w:r>
          </w:p>
        </w:tc>
        <w:tc>
          <w:tcPr>
            <w:tcW w:w="2162"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2"/>
                <w:szCs w:val="22"/>
                <w:lang w:eastAsia="en-US"/>
              </w:rPr>
            </w:pPr>
            <w:r w:rsidRPr="00345335">
              <w:rPr>
                <w:rFonts w:ascii="Calibri" w:eastAsia="Times New Roman" w:hAnsi="Calibri" w:cs="Times New Roman"/>
                <w:b/>
                <w:bCs/>
                <w:color w:val="000000"/>
                <w:sz w:val="22"/>
                <w:szCs w:val="22"/>
                <w:lang w:eastAsia="en-US"/>
              </w:rPr>
              <w:t>Col 1</w:t>
            </w:r>
          </w:p>
        </w:tc>
        <w:tc>
          <w:tcPr>
            <w:tcW w:w="2162"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2"/>
                <w:szCs w:val="22"/>
                <w:lang w:eastAsia="en-US"/>
              </w:rPr>
            </w:pPr>
            <w:r w:rsidRPr="00345335">
              <w:rPr>
                <w:rFonts w:ascii="Calibri" w:eastAsia="Times New Roman" w:hAnsi="Calibri" w:cs="Times New Roman"/>
                <w:b/>
                <w:bCs/>
                <w:color w:val="000000"/>
                <w:sz w:val="22"/>
                <w:szCs w:val="22"/>
                <w:lang w:eastAsia="en-US"/>
              </w:rPr>
              <w:t>Col 2</w:t>
            </w:r>
          </w:p>
        </w:tc>
        <w:tc>
          <w:tcPr>
            <w:tcW w:w="2162"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2"/>
                <w:szCs w:val="22"/>
                <w:lang w:eastAsia="en-US"/>
              </w:rPr>
            </w:pPr>
            <w:r w:rsidRPr="00345335">
              <w:rPr>
                <w:rFonts w:ascii="Calibri" w:eastAsia="Times New Roman" w:hAnsi="Calibri" w:cs="Times New Roman"/>
                <w:b/>
                <w:bCs/>
                <w:color w:val="000000"/>
                <w:sz w:val="22"/>
                <w:szCs w:val="22"/>
                <w:lang w:eastAsia="en-US"/>
              </w:rPr>
              <w:t>Col 1 X Col 2</w:t>
            </w:r>
          </w:p>
        </w:tc>
        <w:tc>
          <w:tcPr>
            <w:tcW w:w="128" w:type="dxa"/>
            <w:tcBorders>
              <w:top w:val="nil"/>
              <w:left w:val="nil"/>
              <w:bottom w:val="nil"/>
              <w:right w:val="single" w:sz="8" w:space="0" w:color="auto"/>
            </w:tcBorders>
            <w:shd w:val="clear" w:color="auto" w:fill="auto"/>
            <w:noWrap/>
            <w:vAlign w:val="bottom"/>
            <w:hideMark/>
          </w:tcPr>
          <w:p w:rsidR="00345335" w:rsidRPr="00345335" w:rsidRDefault="00345335" w:rsidP="00345335">
            <w:pPr>
              <w:spacing w:after="0"/>
              <w:rPr>
                <w:rFonts w:ascii="Calibri" w:eastAsia="Times New Roman" w:hAnsi="Calibri" w:cs="Times New Roman"/>
                <w:color w:val="000000"/>
                <w:sz w:val="22"/>
                <w:szCs w:val="22"/>
                <w:lang w:eastAsia="en-US"/>
              </w:rPr>
            </w:pPr>
            <w:r w:rsidRPr="00345335">
              <w:rPr>
                <w:rFonts w:ascii="Calibri" w:eastAsia="Times New Roman" w:hAnsi="Calibri" w:cs="Times New Roman"/>
                <w:color w:val="000000"/>
                <w:sz w:val="22"/>
                <w:szCs w:val="22"/>
                <w:lang w:eastAsia="en-US"/>
              </w:rPr>
              <w:t> </w:t>
            </w:r>
          </w:p>
        </w:tc>
      </w:tr>
      <w:tr w:rsidR="00345335" w:rsidRPr="00345335" w:rsidTr="00345335">
        <w:trPr>
          <w:trHeight w:val="300"/>
        </w:trPr>
        <w:tc>
          <w:tcPr>
            <w:tcW w:w="1327" w:type="dxa"/>
            <w:tcBorders>
              <w:top w:val="nil"/>
              <w:left w:val="single" w:sz="8" w:space="0" w:color="auto"/>
              <w:bottom w:val="nil"/>
              <w:right w:val="nil"/>
            </w:tcBorders>
            <w:shd w:val="clear" w:color="auto" w:fill="auto"/>
            <w:noWrap/>
            <w:vAlign w:val="bottom"/>
            <w:hideMark/>
          </w:tcPr>
          <w:p w:rsidR="00345335" w:rsidRPr="00345335" w:rsidRDefault="00345335" w:rsidP="00345335">
            <w:pPr>
              <w:spacing w:after="0"/>
              <w:rPr>
                <w:rFonts w:ascii="Calibri" w:eastAsia="Times New Roman" w:hAnsi="Calibri" w:cs="Times New Roman"/>
                <w:color w:val="000000"/>
                <w:sz w:val="22"/>
                <w:szCs w:val="22"/>
                <w:lang w:eastAsia="en-US"/>
              </w:rPr>
            </w:pPr>
            <w:r w:rsidRPr="00345335">
              <w:rPr>
                <w:rFonts w:ascii="Calibri" w:eastAsia="Times New Roman" w:hAnsi="Calibri" w:cs="Times New Roman"/>
                <w:color w:val="000000"/>
                <w:sz w:val="22"/>
                <w:szCs w:val="22"/>
                <w:lang w:eastAsia="en-US"/>
              </w:rPr>
              <w:t> </w:t>
            </w:r>
          </w:p>
        </w:tc>
        <w:tc>
          <w:tcPr>
            <w:tcW w:w="2162" w:type="dxa"/>
            <w:tcBorders>
              <w:top w:val="nil"/>
              <w:left w:val="nil"/>
              <w:bottom w:val="nil"/>
              <w:right w:val="nil"/>
            </w:tcBorders>
            <w:shd w:val="clear" w:color="auto" w:fill="auto"/>
            <w:noWrap/>
            <w:vAlign w:val="bottom"/>
            <w:hideMark/>
          </w:tcPr>
          <w:p w:rsidR="00345335" w:rsidRPr="00345335" w:rsidRDefault="00345335" w:rsidP="00345335">
            <w:pPr>
              <w:spacing w:after="0"/>
              <w:rPr>
                <w:rFonts w:ascii="Calibri" w:eastAsia="Times New Roman" w:hAnsi="Calibri" w:cs="Times New Roman"/>
                <w:color w:val="000000"/>
                <w:sz w:val="22"/>
                <w:szCs w:val="22"/>
                <w:lang w:eastAsia="en-US"/>
              </w:rPr>
            </w:pPr>
          </w:p>
        </w:tc>
        <w:tc>
          <w:tcPr>
            <w:tcW w:w="2162" w:type="dxa"/>
            <w:tcBorders>
              <w:top w:val="nil"/>
              <w:left w:val="nil"/>
              <w:bottom w:val="nil"/>
              <w:right w:val="nil"/>
            </w:tcBorders>
            <w:shd w:val="clear" w:color="auto" w:fill="auto"/>
            <w:noWrap/>
            <w:vAlign w:val="bottom"/>
            <w:hideMark/>
          </w:tcPr>
          <w:p w:rsidR="00345335" w:rsidRPr="00345335" w:rsidRDefault="00345335" w:rsidP="00345335">
            <w:pPr>
              <w:spacing w:after="0"/>
              <w:rPr>
                <w:rFonts w:ascii="Calibri" w:eastAsia="Times New Roman" w:hAnsi="Calibri" w:cs="Times New Roman"/>
                <w:color w:val="000000"/>
                <w:sz w:val="22"/>
                <w:szCs w:val="22"/>
                <w:lang w:eastAsia="en-US"/>
              </w:rPr>
            </w:pPr>
          </w:p>
        </w:tc>
        <w:tc>
          <w:tcPr>
            <w:tcW w:w="2162" w:type="dxa"/>
            <w:tcBorders>
              <w:top w:val="nil"/>
              <w:left w:val="nil"/>
              <w:bottom w:val="nil"/>
              <w:right w:val="nil"/>
            </w:tcBorders>
            <w:shd w:val="clear" w:color="auto" w:fill="auto"/>
            <w:noWrap/>
            <w:vAlign w:val="bottom"/>
            <w:hideMark/>
          </w:tcPr>
          <w:p w:rsidR="00345335" w:rsidRPr="00345335" w:rsidRDefault="00345335" w:rsidP="00345335">
            <w:pPr>
              <w:spacing w:after="0"/>
              <w:rPr>
                <w:rFonts w:ascii="Calibri" w:eastAsia="Times New Roman" w:hAnsi="Calibri" w:cs="Times New Roman"/>
                <w:color w:val="000000"/>
                <w:sz w:val="22"/>
                <w:szCs w:val="22"/>
                <w:lang w:eastAsia="en-US"/>
              </w:rPr>
            </w:pPr>
          </w:p>
        </w:tc>
        <w:tc>
          <w:tcPr>
            <w:tcW w:w="128" w:type="dxa"/>
            <w:tcBorders>
              <w:top w:val="nil"/>
              <w:left w:val="nil"/>
              <w:bottom w:val="nil"/>
              <w:right w:val="single" w:sz="8" w:space="0" w:color="auto"/>
            </w:tcBorders>
            <w:shd w:val="clear" w:color="auto" w:fill="auto"/>
            <w:noWrap/>
            <w:vAlign w:val="bottom"/>
            <w:hideMark/>
          </w:tcPr>
          <w:p w:rsidR="00345335" w:rsidRPr="00345335" w:rsidRDefault="00345335" w:rsidP="00345335">
            <w:pPr>
              <w:spacing w:after="0"/>
              <w:rPr>
                <w:rFonts w:ascii="Calibri" w:eastAsia="Times New Roman" w:hAnsi="Calibri" w:cs="Times New Roman"/>
                <w:color w:val="000000"/>
                <w:sz w:val="22"/>
                <w:szCs w:val="22"/>
                <w:lang w:eastAsia="en-US"/>
              </w:rPr>
            </w:pPr>
            <w:r w:rsidRPr="00345335">
              <w:rPr>
                <w:rFonts w:ascii="Calibri" w:eastAsia="Times New Roman" w:hAnsi="Calibri" w:cs="Times New Roman"/>
                <w:color w:val="000000"/>
                <w:sz w:val="22"/>
                <w:szCs w:val="22"/>
                <w:lang w:eastAsia="en-US"/>
              </w:rPr>
              <w:t> </w:t>
            </w:r>
          </w:p>
        </w:tc>
      </w:tr>
      <w:tr w:rsidR="00345335" w:rsidRPr="00345335" w:rsidTr="00345335">
        <w:trPr>
          <w:trHeight w:val="300"/>
        </w:trPr>
        <w:tc>
          <w:tcPr>
            <w:tcW w:w="1327" w:type="dxa"/>
            <w:tcBorders>
              <w:top w:val="nil"/>
              <w:left w:val="single" w:sz="8" w:space="0" w:color="auto"/>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2"/>
                <w:szCs w:val="22"/>
                <w:lang w:eastAsia="en-US"/>
              </w:rPr>
            </w:pPr>
            <w:r w:rsidRPr="00345335">
              <w:rPr>
                <w:rFonts w:ascii="Calibri" w:eastAsia="Times New Roman" w:hAnsi="Calibri" w:cs="Times New Roman"/>
                <w:b/>
                <w:bCs/>
                <w:color w:val="000000"/>
                <w:sz w:val="22"/>
                <w:szCs w:val="22"/>
                <w:lang w:eastAsia="en-US"/>
              </w:rPr>
              <w:t>&lt;=60</w:t>
            </w:r>
          </w:p>
        </w:tc>
        <w:tc>
          <w:tcPr>
            <w:tcW w:w="2162"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2"/>
                <w:szCs w:val="22"/>
                <w:lang w:eastAsia="en-US"/>
              </w:rPr>
            </w:pPr>
            <w:r w:rsidRPr="00345335">
              <w:rPr>
                <w:rFonts w:ascii="Calibri" w:eastAsia="Times New Roman" w:hAnsi="Calibri" w:cs="Times New Roman"/>
                <w:b/>
                <w:bCs/>
                <w:color w:val="000000"/>
                <w:sz w:val="22"/>
                <w:szCs w:val="22"/>
                <w:lang w:eastAsia="en-US"/>
              </w:rPr>
              <w:t>1.33</w:t>
            </w:r>
          </w:p>
        </w:tc>
        <w:tc>
          <w:tcPr>
            <w:tcW w:w="2162"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2"/>
                <w:szCs w:val="22"/>
                <w:lang w:eastAsia="en-US"/>
              </w:rPr>
            </w:pPr>
            <w:r w:rsidRPr="00345335">
              <w:rPr>
                <w:rFonts w:ascii="Calibri" w:eastAsia="Times New Roman" w:hAnsi="Calibri" w:cs="Times New Roman"/>
                <w:b/>
                <w:bCs/>
                <w:color w:val="000000"/>
                <w:sz w:val="22"/>
                <w:szCs w:val="22"/>
                <w:lang w:eastAsia="en-US"/>
              </w:rPr>
              <w:t>1.36</w:t>
            </w:r>
          </w:p>
        </w:tc>
        <w:tc>
          <w:tcPr>
            <w:tcW w:w="2162"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2"/>
                <w:szCs w:val="22"/>
                <w:lang w:eastAsia="en-US"/>
              </w:rPr>
            </w:pPr>
            <w:r w:rsidRPr="00345335">
              <w:rPr>
                <w:rFonts w:ascii="Calibri" w:eastAsia="Times New Roman" w:hAnsi="Calibri" w:cs="Times New Roman"/>
                <w:b/>
                <w:bCs/>
                <w:color w:val="000000"/>
                <w:sz w:val="22"/>
                <w:szCs w:val="22"/>
                <w:lang w:eastAsia="en-US"/>
              </w:rPr>
              <w:t>1.81</w:t>
            </w:r>
          </w:p>
        </w:tc>
        <w:tc>
          <w:tcPr>
            <w:tcW w:w="128" w:type="dxa"/>
            <w:tcBorders>
              <w:top w:val="nil"/>
              <w:left w:val="nil"/>
              <w:bottom w:val="nil"/>
              <w:right w:val="single" w:sz="8" w:space="0" w:color="auto"/>
            </w:tcBorders>
            <w:shd w:val="clear" w:color="auto" w:fill="auto"/>
            <w:noWrap/>
            <w:vAlign w:val="bottom"/>
            <w:hideMark/>
          </w:tcPr>
          <w:p w:rsidR="00345335" w:rsidRPr="00345335" w:rsidRDefault="00345335" w:rsidP="00345335">
            <w:pPr>
              <w:spacing w:after="0"/>
              <w:rPr>
                <w:rFonts w:ascii="Calibri" w:eastAsia="Times New Roman" w:hAnsi="Calibri" w:cs="Times New Roman"/>
                <w:color w:val="000000"/>
                <w:sz w:val="22"/>
                <w:szCs w:val="22"/>
                <w:lang w:eastAsia="en-US"/>
              </w:rPr>
            </w:pPr>
            <w:r w:rsidRPr="00345335">
              <w:rPr>
                <w:rFonts w:ascii="Calibri" w:eastAsia="Times New Roman" w:hAnsi="Calibri" w:cs="Times New Roman"/>
                <w:color w:val="000000"/>
                <w:sz w:val="22"/>
                <w:szCs w:val="22"/>
                <w:lang w:eastAsia="en-US"/>
              </w:rPr>
              <w:t> </w:t>
            </w:r>
          </w:p>
        </w:tc>
      </w:tr>
      <w:tr w:rsidR="00345335" w:rsidRPr="00345335" w:rsidTr="00345335">
        <w:trPr>
          <w:trHeight w:val="300"/>
        </w:trPr>
        <w:tc>
          <w:tcPr>
            <w:tcW w:w="1327" w:type="dxa"/>
            <w:tcBorders>
              <w:top w:val="nil"/>
              <w:left w:val="single" w:sz="8" w:space="0" w:color="auto"/>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2"/>
                <w:szCs w:val="22"/>
                <w:lang w:eastAsia="en-US"/>
              </w:rPr>
            </w:pPr>
            <w:r w:rsidRPr="00345335">
              <w:rPr>
                <w:rFonts w:ascii="Calibri" w:eastAsia="Times New Roman" w:hAnsi="Calibri" w:cs="Times New Roman"/>
                <w:b/>
                <w:bCs/>
                <w:color w:val="000000"/>
                <w:sz w:val="22"/>
                <w:szCs w:val="22"/>
                <w:lang w:eastAsia="en-US"/>
              </w:rPr>
              <w:t>60.01-70</w:t>
            </w:r>
          </w:p>
        </w:tc>
        <w:tc>
          <w:tcPr>
            <w:tcW w:w="2162"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2"/>
                <w:szCs w:val="22"/>
                <w:lang w:eastAsia="en-US"/>
              </w:rPr>
            </w:pPr>
            <w:r w:rsidRPr="00345335">
              <w:rPr>
                <w:rFonts w:ascii="Calibri" w:eastAsia="Times New Roman" w:hAnsi="Calibri" w:cs="Times New Roman"/>
                <w:b/>
                <w:bCs/>
                <w:color w:val="000000"/>
                <w:sz w:val="22"/>
                <w:szCs w:val="22"/>
                <w:lang w:eastAsia="en-US"/>
              </w:rPr>
              <w:t>1.21</w:t>
            </w:r>
          </w:p>
        </w:tc>
        <w:tc>
          <w:tcPr>
            <w:tcW w:w="2162"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2"/>
                <w:szCs w:val="22"/>
                <w:lang w:eastAsia="en-US"/>
              </w:rPr>
            </w:pPr>
            <w:r w:rsidRPr="00345335">
              <w:rPr>
                <w:rFonts w:ascii="Calibri" w:eastAsia="Times New Roman" w:hAnsi="Calibri" w:cs="Times New Roman"/>
                <w:b/>
                <w:bCs/>
                <w:color w:val="000000"/>
                <w:sz w:val="22"/>
                <w:szCs w:val="22"/>
                <w:lang w:eastAsia="en-US"/>
              </w:rPr>
              <w:t>1.69</w:t>
            </w:r>
          </w:p>
        </w:tc>
        <w:tc>
          <w:tcPr>
            <w:tcW w:w="2162"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2"/>
                <w:szCs w:val="22"/>
                <w:lang w:eastAsia="en-US"/>
              </w:rPr>
            </w:pPr>
            <w:r w:rsidRPr="00345335">
              <w:rPr>
                <w:rFonts w:ascii="Calibri" w:eastAsia="Times New Roman" w:hAnsi="Calibri" w:cs="Times New Roman"/>
                <w:b/>
                <w:bCs/>
                <w:color w:val="000000"/>
                <w:sz w:val="22"/>
                <w:szCs w:val="22"/>
                <w:lang w:eastAsia="en-US"/>
              </w:rPr>
              <w:t>2.06</w:t>
            </w:r>
          </w:p>
        </w:tc>
        <w:tc>
          <w:tcPr>
            <w:tcW w:w="128" w:type="dxa"/>
            <w:tcBorders>
              <w:top w:val="nil"/>
              <w:left w:val="nil"/>
              <w:bottom w:val="nil"/>
              <w:right w:val="single" w:sz="8" w:space="0" w:color="auto"/>
            </w:tcBorders>
            <w:shd w:val="clear" w:color="auto" w:fill="auto"/>
            <w:noWrap/>
            <w:vAlign w:val="bottom"/>
            <w:hideMark/>
          </w:tcPr>
          <w:p w:rsidR="00345335" w:rsidRPr="00345335" w:rsidRDefault="00345335" w:rsidP="00345335">
            <w:pPr>
              <w:spacing w:after="0"/>
              <w:rPr>
                <w:rFonts w:ascii="Calibri" w:eastAsia="Times New Roman" w:hAnsi="Calibri" w:cs="Times New Roman"/>
                <w:color w:val="000000"/>
                <w:sz w:val="22"/>
                <w:szCs w:val="22"/>
                <w:lang w:eastAsia="en-US"/>
              </w:rPr>
            </w:pPr>
            <w:r w:rsidRPr="00345335">
              <w:rPr>
                <w:rFonts w:ascii="Calibri" w:eastAsia="Times New Roman" w:hAnsi="Calibri" w:cs="Times New Roman"/>
                <w:color w:val="000000"/>
                <w:sz w:val="22"/>
                <w:szCs w:val="22"/>
                <w:lang w:eastAsia="en-US"/>
              </w:rPr>
              <w:t> </w:t>
            </w:r>
          </w:p>
        </w:tc>
      </w:tr>
      <w:tr w:rsidR="00345335" w:rsidRPr="00345335" w:rsidTr="00345335">
        <w:trPr>
          <w:trHeight w:val="300"/>
        </w:trPr>
        <w:tc>
          <w:tcPr>
            <w:tcW w:w="1327" w:type="dxa"/>
            <w:tcBorders>
              <w:top w:val="nil"/>
              <w:left w:val="single" w:sz="8" w:space="0" w:color="auto"/>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2"/>
                <w:szCs w:val="22"/>
                <w:lang w:eastAsia="en-US"/>
              </w:rPr>
            </w:pPr>
            <w:r w:rsidRPr="00345335">
              <w:rPr>
                <w:rFonts w:ascii="Calibri" w:eastAsia="Times New Roman" w:hAnsi="Calibri" w:cs="Times New Roman"/>
                <w:b/>
                <w:bCs/>
                <w:color w:val="000000"/>
                <w:sz w:val="22"/>
                <w:szCs w:val="22"/>
                <w:lang w:eastAsia="en-US"/>
              </w:rPr>
              <w:t>70.01-75</w:t>
            </w:r>
          </w:p>
        </w:tc>
        <w:tc>
          <w:tcPr>
            <w:tcW w:w="2162"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2"/>
                <w:szCs w:val="22"/>
                <w:lang w:eastAsia="en-US"/>
              </w:rPr>
            </w:pPr>
            <w:r w:rsidRPr="00345335">
              <w:rPr>
                <w:rFonts w:ascii="Calibri" w:eastAsia="Times New Roman" w:hAnsi="Calibri" w:cs="Times New Roman"/>
                <w:b/>
                <w:bCs/>
                <w:color w:val="000000"/>
                <w:sz w:val="22"/>
                <w:szCs w:val="22"/>
                <w:lang w:eastAsia="en-US"/>
              </w:rPr>
              <w:t>1.18</w:t>
            </w:r>
          </w:p>
        </w:tc>
        <w:tc>
          <w:tcPr>
            <w:tcW w:w="2162"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2"/>
                <w:szCs w:val="22"/>
                <w:lang w:eastAsia="en-US"/>
              </w:rPr>
            </w:pPr>
            <w:r w:rsidRPr="00345335">
              <w:rPr>
                <w:rFonts w:ascii="Calibri" w:eastAsia="Times New Roman" w:hAnsi="Calibri" w:cs="Times New Roman"/>
                <w:b/>
                <w:bCs/>
                <w:color w:val="000000"/>
                <w:sz w:val="22"/>
                <w:szCs w:val="22"/>
                <w:lang w:eastAsia="en-US"/>
              </w:rPr>
              <w:t>1.65</w:t>
            </w:r>
          </w:p>
        </w:tc>
        <w:tc>
          <w:tcPr>
            <w:tcW w:w="2162"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2"/>
                <w:szCs w:val="22"/>
                <w:lang w:eastAsia="en-US"/>
              </w:rPr>
            </w:pPr>
            <w:r w:rsidRPr="00345335">
              <w:rPr>
                <w:rFonts w:ascii="Calibri" w:eastAsia="Times New Roman" w:hAnsi="Calibri" w:cs="Times New Roman"/>
                <w:b/>
                <w:bCs/>
                <w:color w:val="000000"/>
                <w:sz w:val="22"/>
                <w:szCs w:val="22"/>
                <w:lang w:eastAsia="en-US"/>
              </w:rPr>
              <w:t>1.95</w:t>
            </w:r>
          </w:p>
        </w:tc>
        <w:tc>
          <w:tcPr>
            <w:tcW w:w="128" w:type="dxa"/>
            <w:tcBorders>
              <w:top w:val="nil"/>
              <w:left w:val="nil"/>
              <w:bottom w:val="nil"/>
              <w:right w:val="single" w:sz="8" w:space="0" w:color="auto"/>
            </w:tcBorders>
            <w:shd w:val="clear" w:color="auto" w:fill="auto"/>
            <w:noWrap/>
            <w:vAlign w:val="bottom"/>
            <w:hideMark/>
          </w:tcPr>
          <w:p w:rsidR="00345335" w:rsidRPr="00345335" w:rsidRDefault="00345335" w:rsidP="00345335">
            <w:pPr>
              <w:spacing w:after="0"/>
              <w:rPr>
                <w:rFonts w:ascii="Calibri" w:eastAsia="Times New Roman" w:hAnsi="Calibri" w:cs="Times New Roman"/>
                <w:color w:val="000000"/>
                <w:sz w:val="22"/>
                <w:szCs w:val="22"/>
                <w:lang w:eastAsia="en-US"/>
              </w:rPr>
            </w:pPr>
            <w:r w:rsidRPr="00345335">
              <w:rPr>
                <w:rFonts w:ascii="Calibri" w:eastAsia="Times New Roman" w:hAnsi="Calibri" w:cs="Times New Roman"/>
                <w:color w:val="000000"/>
                <w:sz w:val="22"/>
                <w:szCs w:val="22"/>
                <w:lang w:eastAsia="en-US"/>
              </w:rPr>
              <w:t> </w:t>
            </w:r>
          </w:p>
        </w:tc>
      </w:tr>
      <w:tr w:rsidR="00345335" w:rsidRPr="00345335" w:rsidTr="00345335">
        <w:trPr>
          <w:trHeight w:val="300"/>
        </w:trPr>
        <w:tc>
          <w:tcPr>
            <w:tcW w:w="1327" w:type="dxa"/>
            <w:tcBorders>
              <w:top w:val="nil"/>
              <w:left w:val="single" w:sz="8" w:space="0" w:color="auto"/>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2"/>
                <w:szCs w:val="22"/>
                <w:lang w:eastAsia="en-US"/>
              </w:rPr>
            </w:pPr>
            <w:r w:rsidRPr="00345335">
              <w:rPr>
                <w:rFonts w:ascii="Calibri" w:eastAsia="Times New Roman" w:hAnsi="Calibri" w:cs="Times New Roman"/>
                <w:b/>
                <w:bCs/>
                <w:color w:val="000000"/>
                <w:sz w:val="22"/>
                <w:szCs w:val="22"/>
                <w:lang w:eastAsia="en-US"/>
              </w:rPr>
              <w:t>75.01-80</w:t>
            </w:r>
          </w:p>
        </w:tc>
        <w:tc>
          <w:tcPr>
            <w:tcW w:w="2162"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2"/>
                <w:szCs w:val="22"/>
                <w:lang w:eastAsia="en-US"/>
              </w:rPr>
            </w:pPr>
            <w:r w:rsidRPr="00345335">
              <w:rPr>
                <w:rFonts w:ascii="Calibri" w:eastAsia="Times New Roman" w:hAnsi="Calibri" w:cs="Times New Roman"/>
                <w:b/>
                <w:bCs/>
                <w:color w:val="000000"/>
                <w:sz w:val="22"/>
                <w:szCs w:val="22"/>
                <w:lang w:eastAsia="en-US"/>
              </w:rPr>
              <w:t>1.12</w:t>
            </w:r>
          </w:p>
        </w:tc>
        <w:tc>
          <w:tcPr>
            <w:tcW w:w="2162"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2"/>
                <w:szCs w:val="22"/>
                <w:lang w:eastAsia="en-US"/>
              </w:rPr>
            </w:pPr>
            <w:r w:rsidRPr="00345335">
              <w:rPr>
                <w:rFonts w:ascii="Calibri" w:eastAsia="Times New Roman" w:hAnsi="Calibri" w:cs="Times New Roman"/>
                <w:b/>
                <w:bCs/>
                <w:color w:val="000000"/>
                <w:sz w:val="22"/>
                <w:szCs w:val="22"/>
                <w:lang w:eastAsia="en-US"/>
              </w:rPr>
              <w:t>1.61</w:t>
            </w:r>
          </w:p>
        </w:tc>
        <w:tc>
          <w:tcPr>
            <w:tcW w:w="2162"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2"/>
                <w:szCs w:val="22"/>
                <w:lang w:eastAsia="en-US"/>
              </w:rPr>
            </w:pPr>
            <w:r w:rsidRPr="00345335">
              <w:rPr>
                <w:rFonts w:ascii="Calibri" w:eastAsia="Times New Roman" w:hAnsi="Calibri" w:cs="Times New Roman"/>
                <w:b/>
                <w:bCs/>
                <w:color w:val="000000"/>
                <w:sz w:val="22"/>
                <w:szCs w:val="22"/>
                <w:lang w:eastAsia="en-US"/>
              </w:rPr>
              <w:t>1.81</w:t>
            </w:r>
          </w:p>
        </w:tc>
        <w:tc>
          <w:tcPr>
            <w:tcW w:w="128" w:type="dxa"/>
            <w:tcBorders>
              <w:top w:val="nil"/>
              <w:left w:val="nil"/>
              <w:bottom w:val="nil"/>
              <w:right w:val="single" w:sz="8" w:space="0" w:color="auto"/>
            </w:tcBorders>
            <w:shd w:val="clear" w:color="auto" w:fill="auto"/>
            <w:noWrap/>
            <w:vAlign w:val="bottom"/>
            <w:hideMark/>
          </w:tcPr>
          <w:p w:rsidR="00345335" w:rsidRPr="00345335" w:rsidRDefault="00345335" w:rsidP="00345335">
            <w:pPr>
              <w:spacing w:after="0"/>
              <w:rPr>
                <w:rFonts w:ascii="Calibri" w:eastAsia="Times New Roman" w:hAnsi="Calibri" w:cs="Times New Roman"/>
                <w:color w:val="000000"/>
                <w:sz w:val="22"/>
                <w:szCs w:val="22"/>
                <w:lang w:eastAsia="en-US"/>
              </w:rPr>
            </w:pPr>
            <w:r w:rsidRPr="00345335">
              <w:rPr>
                <w:rFonts w:ascii="Calibri" w:eastAsia="Times New Roman" w:hAnsi="Calibri" w:cs="Times New Roman"/>
                <w:color w:val="000000"/>
                <w:sz w:val="22"/>
                <w:szCs w:val="22"/>
                <w:lang w:eastAsia="en-US"/>
              </w:rPr>
              <w:t> </w:t>
            </w:r>
          </w:p>
        </w:tc>
      </w:tr>
      <w:tr w:rsidR="00345335" w:rsidRPr="00345335" w:rsidTr="00345335">
        <w:trPr>
          <w:trHeight w:val="300"/>
        </w:trPr>
        <w:tc>
          <w:tcPr>
            <w:tcW w:w="1327" w:type="dxa"/>
            <w:tcBorders>
              <w:top w:val="nil"/>
              <w:left w:val="single" w:sz="8" w:space="0" w:color="auto"/>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2"/>
                <w:szCs w:val="22"/>
                <w:lang w:eastAsia="en-US"/>
              </w:rPr>
            </w:pPr>
            <w:r w:rsidRPr="00345335">
              <w:rPr>
                <w:rFonts w:ascii="Calibri" w:eastAsia="Times New Roman" w:hAnsi="Calibri" w:cs="Times New Roman"/>
                <w:b/>
                <w:bCs/>
                <w:color w:val="000000"/>
                <w:sz w:val="22"/>
                <w:szCs w:val="22"/>
                <w:lang w:eastAsia="en-US"/>
              </w:rPr>
              <w:t>80.01-85</w:t>
            </w:r>
          </w:p>
        </w:tc>
        <w:tc>
          <w:tcPr>
            <w:tcW w:w="2162"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2"/>
                <w:szCs w:val="22"/>
                <w:lang w:eastAsia="en-US"/>
              </w:rPr>
            </w:pPr>
            <w:r w:rsidRPr="00345335">
              <w:rPr>
                <w:rFonts w:ascii="Calibri" w:eastAsia="Times New Roman" w:hAnsi="Calibri" w:cs="Times New Roman"/>
                <w:b/>
                <w:bCs/>
                <w:color w:val="000000"/>
                <w:sz w:val="22"/>
                <w:szCs w:val="22"/>
                <w:lang w:eastAsia="en-US"/>
              </w:rPr>
              <w:t>1.20</w:t>
            </w:r>
          </w:p>
        </w:tc>
        <w:tc>
          <w:tcPr>
            <w:tcW w:w="2162"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2"/>
                <w:szCs w:val="22"/>
                <w:lang w:eastAsia="en-US"/>
              </w:rPr>
            </w:pPr>
            <w:r w:rsidRPr="00345335">
              <w:rPr>
                <w:rFonts w:ascii="Calibri" w:eastAsia="Times New Roman" w:hAnsi="Calibri" w:cs="Times New Roman"/>
                <w:b/>
                <w:bCs/>
                <w:color w:val="000000"/>
                <w:sz w:val="22"/>
                <w:szCs w:val="22"/>
                <w:lang w:eastAsia="en-US"/>
              </w:rPr>
              <w:t>1.87</w:t>
            </w:r>
          </w:p>
        </w:tc>
        <w:tc>
          <w:tcPr>
            <w:tcW w:w="2162"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2"/>
                <w:szCs w:val="22"/>
                <w:lang w:eastAsia="en-US"/>
              </w:rPr>
            </w:pPr>
            <w:r w:rsidRPr="00345335">
              <w:rPr>
                <w:rFonts w:ascii="Calibri" w:eastAsia="Times New Roman" w:hAnsi="Calibri" w:cs="Times New Roman"/>
                <w:b/>
                <w:bCs/>
                <w:color w:val="000000"/>
                <w:sz w:val="22"/>
                <w:szCs w:val="22"/>
                <w:lang w:eastAsia="en-US"/>
              </w:rPr>
              <w:t>2.23</w:t>
            </w:r>
          </w:p>
        </w:tc>
        <w:tc>
          <w:tcPr>
            <w:tcW w:w="128" w:type="dxa"/>
            <w:tcBorders>
              <w:top w:val="nil"/>
              <w:left w:val="nil"/>
              <w:bottom w:val="nil"/>
              <w:right w:val="single" w:sz="8" w:space="0" w:color="auto"/>
            </w:tcBorders>
            <w:shd w:val="clear" w:color="auto" w:fill="auto"/>
            <w:noWrap/>
            <w:vAlign w:val="bottom"/>
            <w:hideMark/>
          </w:tcPr>
          <w:p w:rsidR="00345335" w:rsidRPr="00345335" w:rsidRDefault="00345335" w:rsidP="00345335">
            <w:pPr>
              <w:spacing w:after="0"/>
              <w:rPr>
                <w:rFonts w:ascii="Calibri" w:eastAsia="Times New Roman" w:hAnsi="Calibri" w:cs="Times New Roman"/>
                <w:color w:val="000000"/>
                <w:sz w:val="22"/>
                <w:szCs w:val="22"/>
                <w:lang w:eastAsia="en-US"/>
              </w:rPr>
            </w:pPr>
            <w:r w:rsidRPr="00345335">
              <w:rPr>
                <w:rFonts w:ascii="Calibri" w:eastAsia="Times New Roman" w:hAnsi="Calibri" w:cs="Times New Roman"/>
                <w:color w:val="000000"/>
                <w:sz w:val="22"/>
                <w:szCs w:val="22"/>
                <w:lang w:eastAsia="en-US"/>
              </w:rPr>
              <w:t> </w:t>
            </w:r>
          </w:p>
        </w:tc>
      </w:tr>
      <w:tr w:rsidR="00345335" w:rsidRPr="00345335" w:rsidTr="00345335">
        <w:trPr>
          <w:trHeight w:val="300"/>
        </w:trPr>
        <w:tc>
          <w:tcPr>
            <w:tcW w:w="1327" w:type="dxa"/>
            <w:tcBorders>
              <w:top w:val="nil"/>
              <w:left w:val="single" w:sz="8" w:space="0" w:color="auto"/>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2"/>
                <w:szCs w:val="22"/>
                <w:lang w:eastAsia="en-US"/>
              </w:rPr>
            </w:pPr>
            <w:r w:rsidRPr="00345335">
              <w:rPr>
                <w:rFonts w:ascii="Calibri" w:eastAsia="Times New Roman" w:hAnsi="Calibri" w:cs="Times New Roman"/>
                <w:b/>
                <w:bCs/>
                <w:color w:val="000000"/>
                <w:sz w:val="22"/>
                <w:szCs w:val="22"/>
                <w:lang w:eastAsia="en-US"/>
              </w:rPr>
              <w:t>85.01-90</w:t>
            </w:r>
          </w:p>
        </w:tc>
        <w:tc>
          <w:tcPr>
            <w:tcW w:w="2162"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2"/>
                <w:szCs w:val="22"/>
                <w:lang w:eastAsia="en-US"/>
              </w:rPr>
            </w:pPr>
            <w:r w:rsidRPr="00345335">
              <w:rPr>
                <w:rFonts w:ascii="Calibri" w:eastAsia="Times New Roman" w:hAnsi="Calibri" w:cs="Times New Roman"/>
                <w:b/>
                <w:bCs/>
                <w:color w:val="000000"/>
                <w:sz w:val="22"/>
                <w:szCs w:val="22"/>
                <w:lang w:eastAsia="en-US"/>
              </w:rPr>
              <w:t>1.25</w:t>
            </w:r>
          </w:p>
        </w:tc>
        <w:tc>
          <w:tcPr>
            <w:tcW w:w="2162"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2"/>
                <w:szCs w:val="22"/>
                <w:lang w:eastAsia="en-US"/>
              </w:rPr>
            </w:pPr>
            <w:r w:rsidRPr="00345335">
              <w:rPr>
                <w:rFonts w:ascii="Calibri" w:eastAsia="Times New Roman" w:hAnsi="Calibri" w:cs="Times New Roman"/>
                <w:b/>
                <w:bCs/>
                <w:color w:val="000000"/>
                <w:sz w:val="22"/>
                <w:szCs w:val="22"/>
                <w:lang w:eastAsia="en-US"/>
              </w:rPr>
              <w:t>2.15</w:t>
            </w:r>
          </w:p>
        </w:tc>
        <w:tc>
          <w:tcPr>
            <w:tcW w:w="2162"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2"/>
                <w:szCs w:val="22"/>
                <w:lang w:eastAsia="en-US"/>
              </w:rPr>
            </w:pPr>
            <w:r w:rsidRPr="00345335">
              <w:rPr>
                <w:rFonts w:ascii="Calibri" w:eastAsia="Times New Roman" w:hAnsi="Calibri" w:cs="Times New Roman"/>
                <w:b/>
                <w:bCs/>
                <w:color w:val="000000"/>
                <w:sz w:val="22"/>
                <w:szCs w:val="22"/>
                <w:lang w:eastAsia="en-US"/>
              </w:rPr>
              <w:t>2.69</w:t>
            </w:r>
          </w:p>
        </w:tc>
        <w:tc>
          <w:tcPr>
            <w:tcW w:w="128" w:type="dxa"/>
            <w:tcBorders>
              <w:top w:val="nil"/>
              <w:left w:val="nil"/>
              <w:bottom w:val="nil"/>
              <w:right w:val="single" w:sz="8" w:space="0" w:color="auto"/>
            </w:tcBorders>
            <w:shd w:val="clear" w:color="auto" w:fill="auto"/>
            <w:noWrap/>
            <w:vAlign w:val="bottom"/>
            <w:hideMark/>
          </w:tcPr>
          <w:p w:rsidR="00345335" w:rsidRPr="00345335" w:rsidRDefault="00345335" w:rsidP="00345335">
            <w:pPr>
              <w:spacing w:after="0"/>
              <w:rPr>
                <w:rFonts w:ascii="Calibri" w:eastAsia="Times New Roman" w:hAnsi="Calibri" w:cs="Times New Roman"/>
                <w:color w:val="000000"/>
                <w:sz w:val="22"/>
                <w:szCs w:val="22"/>
                <w:lang w:eastAsia="en-US"/>
              </w:rPr>
            </w:pPr>
            <w:r w:rsidRPr="00345335">
              <w:rPr>
                <w:rFonts w:ascii="Calibri" w:eastAsia="Times New Roman" w:hAnsi="Calibri" w:cs="Times New Roman"/>
                <w:color w:val="000000"/>
                <w:sz w:val="22"/>
                <w:szCs w:val="22"/>
                <w:lang w:eastAsia="en-US"/>
              </w:rPr>
              <w:t> </w:t>
            </w:r>
          </w:p>
        </w:tc>
      </w:tr>
      <w:tr w:rsidR="00345335" w:rsidRPr="00345335" w:rsidTr="00345335">
        <w:trPr>
          <w:trHeight w:val="300"/>
        </w:trPr>
        <w:tc>
          <w:tcPr>
            <w:tcW w:w="1327" w:type="dxa"/>
            <w:tcBorders>
              <w:top w:val="nil"/>
              <w:left w:val="single" w:sz="8" w:space="0" w:color="auto"/>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2"/>
                <w:szCs w:val="22"/>
                <w:lang w:eastAsia="en-US"/>
              </w:rPr>
            </w:pPr>
            <w:r w:rsidRPr="00345335">
              <w:rPr>
                <w:rFonts w:ascii="Calibri" w:eastAsia="Times New Roman" w:hAnsi="Calibri" w:cs="Times New Roman"/>
                <w:b/>
                <w:bCs/>
                <w:color w:val="000000"/>
                <w:sz w:val="22"/>
                <w:szCs w:val="22"/>
                <w:lang w:eastAsia="en-US"/>
              </w:rPr>
              <w:t>90.01-95</w:t>
            </w:r>
          </w:p>
        </w:tc>
        <w:tc>
          <w:tcPr>
            <w:tcW w:w="2162"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2"/>
                <w:szCs w:val="22"/>
                <w:lang w:eastAsia="en-US"/>
              </w:rPr>
            </w:pPr>
            <w:r w:rsidRPr="00345335">
              <w:rPr>
                <w:rFonts w:ascii="Calibri" w:eastAsia="Times New Roman" w:hAnsi="Calibri" w:cs="Times New Roman"/>
                <w:b/>
                <w:bCs/>
                <w:color w:val="000000"/>
                <w:sz w:val="22"/>
                <w:szCs w:val="22"/>
                <w:lang w:eastAsia="en-US"/>
              </w:rPr>
              <w:t>1.25</w:t>
            </w:r>
          </w:p>
        </w:tc>
        <w:tc>
          <w:tcPr>
            <w:tcW w:w="2162"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2"/>
                <w:szCs w:val="22"/>
                <w:lang w:eastAsia="en-US"/>
              </w:rPr>
            </w:pPr>
            <w:r w:rsidRPr="00345335">
              <w:rPr>
                <w:rFonts w:ascii="Calibri" w:eastAsia="Times New Roman" w:hAnsi="Calibri" w:cs="Times New Roman"/>
                <w:b/>
                <w:bCs/>
                <w:color w:val="000000"/>
                <w:sz w:val="22"/>
                <w:szCs w:val="22"/>
                <w:lang w:eastAsia="en-US"/>
              </w:rPr>
              <w:t>1.95</w:t>
            </w:r>
          </w:p>
        </w:tc>
        <w:tc>
          <w:tcPr>
            <w:tcW w:w="2162"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2"/>
                <w:szCs w:val="22"/>
                <w:lang w:eastAsia="en-US"/>
              </w:rPr>
            </w:pPr>
            <w:r w:rsidRPr="00345335">
              <w:rPr>
                <w:rFonts w:ascii="Calibri" w:eastAsia="Times New Roman" w:hAnsi="Calibri" w:cs="Times New Roman"/>
                <w:b/>
                <w:bCs/>
                <w:color w:val="000000"/>
                <w:sz w:val="22"/>
                <w:szCs w:val="22"/>
                <w:lang w:eastAsia="en-US"/>
              </w:rPr>
              <w:t>2.43</w:t>
            </w:r>
          </w:p>
        </w:tc>
        <w:tc>
          <w:tcPr>
            <w:tcW w:w="128" w:type="dxa"/>
            <w:tcBorders>
              <w:top w:val="nil"/>
              <w:left w:val="nil"/>
              <w:bottom w:val="nil"/>
              <w:right w:val="single" w:sz="8" w:space="0" w:color="auto"/>
            </w:tcBorders>
            <w:shd w:val="clear" w:color="auto" w:fill="auto"/>
            <w:noWrap/>
            <w:vAlign w:val="bottom"/>
            <w:hideMark/>
          </w:tcPr>
          <w:p w:rsidR="00345335" w:rsidRPr="00345335" w:rsidRDefault="00345335" w:rsidP="00345335">
            <w:pPr>
              <w:spacing w:after="0"/>
              <w:rPr>
                <w:rFonts w:ascii="Calibri" w:eastAsia="Times New Roman" w:hAnsi="Calibri" w:cs="Times New Roman"/>
                <w:color w:val="000000"/>
                <w:sz w:val="22"/>
                <w:szCs w:val="22"/>
                <w:lang w:eastAsia="en-US"/>
              </w:rPr>
            </w:pPr>
            <w:r w:rsidRPr="00345335">
              <w:rPr>
                <w:rFonts w:ascii="Calibri" w:eastAsia="Times New Roman" w:hAnsi="Calibri" w:cs="Times New Roman"/>
                <w:color w:val="000000"/>
                <w:sz w:val="22"/>
                <w:szCs w:val="22"/>
                <w:lang w:eastAsia="en-US"/>
              </w:rPr>
              <w:t> </w:t>
            </w:r>
          </w:p>
        </w:tc>
      </w:tr>
      <w:tr w:rsidR="00345335" w:rsidRPr="00345335" w:rsidTr="00345335">
        <w:trPr>
          <w:trHeight w:val="300"/>
        </w:trPr>
        <w:tc>
          <w:tcPr>
            <w:tcW w:w="1327" w:type="dxa"/>
            <w:tcBorders>
              <w:top w:val="nil"/>
              <w:left w:val="single" w:sz="8" w:space="0" w:color="auto"/>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2"/>
                <w:szCs w:val="22"/>
                <w:lang w:eastAsia="en-US"/>
              </w:rPr>
            </w:pPr>
            <w:r w:rsidRPr="00345335">
              <w:rPr>
                <w:rFonts w:ascii="Calibri" w:eastAsia="Times New Roman" w:hAnsi="Calibri" w:cs="Times New Roman"/>
                <w:b/>
                <w:bCs/>
                <w:color w:val="000000"/>
                <w:sz w:val="22"/>
                <w:szCs w:val="22"/>
                <w:lang w:eastAsia="en-US"/>
              </w:rPr>
              <w:t>&gt;95</w:t>
            </w:r>
          </w:p>
        </w:tc>
        <w:tc>
          <w:tcPr>
            <w:tcW w:w="2162"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2"/>
                <w:szCs w:val="22"/>
                <w:lang w:eastAsia="en-US"/>
              </w:rPr>
            </w:pPr>
            <w:r w:rsidRPr="00345335">
              <w:rPr>
                <w:rFonts w:ascii="Calibri" w:eastAsia="Times New Roman" w:hAnsi="Calibri" w:cs="Times New Roman"/>
                <w:b/>
                <w:bCs/>
                <w:color w:val="000000"/>
                <w:sz w:val="22"/>
                <w:szCs w:val="22"/>
                <w:lang w:eastAsia="en-US"/>
              </w:rPr>
              <w:t>1.30</w:t>
            </w:r>
          </w:p>
        </w:tc>
        <w:tc>
          <w:tcPr>
            <w:tcW w:w="2162"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2"/>
                <w:szCs w:val="22"/>
                <w:lang w:eastAsia="en-US"/>
              </w:rPr>
            </w:pPr>
            <w:r w:rsidRPr="00345335">
              <w:rPr>
                <w:rFonts w:ascii="Calibri" w:eastAsia="Times New Roman" w:hAnsi="Calibri" w:cs="Times New Roman"/>
                <w:b/>
                <w:bCs/>
                <w:color w:val="000000"/>
                <w:sz w:val="22"/>
                <w:szCs w:val="22"/>
                <w:lang w:eastAsia="en-US"/>
              </w:rPr>
              <w:t>1.60</w:t>
            </w:r>
          </w:p>
        </w:tc>
        <w:tc>
          <w:tcPr>
            <w:tcW w:w="2162" w:type="dxa"/>
            <w:tcBorders>
              <w:top w:val="nil"/>
              <w:left w:val="nil"/>
              <w:bottom w:val="nil"/>
              <w:right w:val="nil"/>
            </w:tcBorders>
            <w:shd w:val="clear" w:color="auto" w:fill="auto"/>
            <w:noWrap/>
            <w:vAlign w:val="bottom"/>
            <w:hideMark/>
          </w:tcPr>
          <w:p w:rsidR="00345335" w:rsidRPr="00345335" w:rsidRDefault="00345335" w:rsidP="00345335">
            <w:pPr>
              <w:spacing w:after="0"/>
              <w:jc w:val="center"/>
              <w:rPr>
                <w:rFonts w:ascii="Calibri" w:eastAsia="Times New Roman" w:hAnsi="Calibri" w:cs="Times New Roman"/>
                <w:b/>
                <w:bCs/>
                <w:color w:val="000000"/>
                <w:sz w:val="22"/>
                <w:szCs w:val="22"/>
                <w:lang w:eastAsia="en-US"/>
              </w:rPr>
            </w:pPr>
            <w:r w:rsidRPr="00345335">
              <w:rPr>
                <w:rFonts w:ascii="Calibri" w:eastAsia="Times New Roman" w:hAnsi="Calibri" w:cs="Times New Roman"/>
                <w:b/>
                <w:bCs/>
                <w:color w:val="000000"/>
                <w:sz w:val="22"/>
                <w:szCs w:val="22"/>
                <w:lang w:eastAsia="en-US"/>
              </w:rPr>
              <w:t>2.08</w:t>
            </w:r>
          </w:p>
        </w:tc>
        <w:tc>
          <w:tcPr>
            <w:tcW w:w="128" w:type="dxa"/>
            <w:tcBorders>
              <w:top w:val="nil"/>
              <w:left w:val="nil"/>
              <w:bottom w:val="nil"/>
              <w:right w:val="single" w:sz="8" w:space="0" w:color="auto"/>
            </w:tcBorders>
            <w:shd w:val="clear" w:color="auto" w:fill="auto"/>
            <w:noWrap/>
            <w:vAlign w:val="bottom"/>
            <w:hideMark/>
          </w:tcPr>
          <w:p w:rsidR="00345335" w:rsidRPr="00345335" w:rsidRDefault="00345335" w:rsidP="00345335">
            <w:pPr>
              <w:spacing w:after="0"/>
              <w:rPr>
                <w:rFonts w:ascii="Calibri" w:eastAsia="Times New Roman" w:hAnsi="Calibri" w:cs="Times New Roman"/>
                <w:color w:val="000000"/>
                <w:sz w:val="22"/>
                <w:szCs w:val="22"/>
                <w:lang w:eastAsia="en-US"/>
              </w:rPr>
            </w:pPr>
            <w:r w:rsidRPr="00345335">
              <w:rPr>
                <w:rFonts w:ascii="Calibri" w:eastAsia="Times New Roman" w:hAnsi="Calibri" w:cs="Times New Roman"/>
                <w:color w:val="000000"/>
                <w:sz w:val="22"/>
                <w:szCs w:val="22"/>
                <w:lang w:eastAsia="en-US"/>
              </w:rPr>
              <w:t> </w:t>
            </w:r>
          </w:p>
        </w:tc>
      </w:tr>
      <w:tr w:rsidR="00345335" w:rsidRPr="00345335" w:rsidTr="00345335">
        <w:trPr>
          <w:trHeight w:val="315"/>
        </w:trPr>
        <w:tc>
          <w:tcPr>
            <w:tcW w:w="1327" w:type="dxa"/>
            <w:tcBorders>
              <w:top w:val="nil"/>
              <w:left w:val="single" w:sz="8" w:space="0" w:color="auto"/>
              <w:bottom w:val="nil"/>
              <w:right w:val="nil"/>
            </w:tcBorders>
            <w:shd w:val="clear" w:color="auto" w:fill="auto"/>
            <w:noWrap/>
            <w:vAlign w:val="bottom"/>
            <w:hideMark/>
          </w:tcPr>
          <w:p w:rsidR="00345335" w:rsidRPr="00345335" w:rsidRDefault="00345335" w:rsidP="00345335">
            <w:pPr>
              <w:spacing w:after="0"/>
              <w:rPr>
                <w:rFonts w:ascii="Calibri" w:eastAsia="Times New Roman" w:hAnsi="Calibri" w:cs="Times New Roman"/>
                <w:color w:val="000000"/>
                <w:sz w:val="22"/>
                <w:szCs w:val="22"/>
                <w:lang w:eastAsia="en-US"/>
              </w:rPr>
            </w:pPr>
            <w:r w:rsidRPr="00345335">
              <w:rPr>
                <w:rFonts w:ascii="Calibri" w:eastAsia="Times New Roman" w:hAnsi="Calibri" w:cs="Times New Roman"/>
                <w:color w:val="000000"/>
                <w:sz w:val="22"/>
                <w:szCs w:val="22"/>
                <w:lang w:eastAsia="en-US"/>
              </w:rPr>
              <w:t> </w:t>
            </w:r>
          </w:p>
        </w:tc>
        <w:tc>
          <w:tcPr>
            <w:tcW w:w="2162" w:type="dxa"/>
            <w:tcBorders>
              <w:top w:val="nil"/>
              <w:left w:val="nil"/>
              <w:bottom w:val="nil"/>
              <w:right w:val="nil"/>
            </w:tcBorders>
            <w:shd w:val="clear" w:color="auto" w:fill="auto"/>
            <w:noWrap/>
            <w:vAlign w:val="bottom"/>
            <w:hideMark/>
          </w:tcPr>
          <w:p w:rsidR="00345335" w:rsidRPr="00345335" w:rsidRDefault="00345335" w:rsidP="00345335">
            <w:pPr>
              <w:spacing w:after="0"/>
              <w:rPr>
                <w:rFonts w:ascii="Calibri" w:eastAsia="Times New Roman" w:hAnsi="Calibri" w:cs="Times New Roman"/>
                <w:color w:val="000000"/>
                <w:sz w:val="22"/>
                <w:szCs w:val="22"/>
                <w:lang w:eastAsia="en-US"/>
              </w:rPr>
            </w:pPr>
          </w:p>
        </w:tc>
        <w:tc>
          <w:tcPr>
            <w:tcW w:w="2162" w:type="dxa"/>
            <w:tcBorders>
              <w:top w:val="nil"/>
              <w:left w:val="nil"/>
              <w:bottom w:val="nil"/>
              <w:right w:val="nil"/>
            </w:tcBorders>
            <w:shd w:val="clear" w:color="auto" w:fill="auto"/>
            <w:noWrap/>
            <w:vAlign w:val="bottom"/>
            <w:hideMark/>
          </w:tcPr>
          <w:p w:rsidR="00345335" w:rsidRPr="00345335" w:rsidRDefault="00345335" w:rsidP="00345335">
            <w:pPr>
              <w:spacing w:after="0"/>
              <w:rPr>
                <w:rFonts w:ascii="Calibri" w:eastAsia="Times New Roman" w:hAnsi="Calibri" w:cs="Times New Roman"/>
                <w:color w:val="000000"/>
                <w:sz w:val="22"/>
                <w:szCs w:val="22"/>
                <w:lang w:eastAsia="en-US"/>
              </w:rPr>
            </w:pPr>
          </w:p>
        </w:tc>
        <w:tc>
          <w:tcPr>
            <w:tcW w:w="2162" w:type="dxa"/>
            <w:tcBorders>
              <w:top w:val="nil"/>
              <w:left w:val="nil"/>
              <w:bottom w:val="nil"/>
              <w:right w:val="nil"/>
            </w:tcBorders>
            <w:shd w:val="clear" w:color="auto" w:fill="auto"/>
            <w:noWrap/>
            <w:vAlign w:val="bottom"/>
            <w:hideMark/>
          </w:tcPr>
          <w:p w:rsidR="00345335" w:rsidRPr="00345335" w:rsidRDefault="00345335" w:rsidP="00345335">
            <w:pPr>
              <w:spacing w:after="0"/>
              <w:rPr>
                <w:rFonts w:ascii="Calibri" w:eastAsia="Times New Roman" w:hAnsi="Calibri" w:cs="Times New Roman"/>
                <w:color w:val="000000"/>
                <w:sz w:val="22"/>
                <w:szCs w:val="22"/>
                <w:lang w:eastAsia="en-US"/>
              </w:rPr>
            </w:pPr>
          </w:p>
        </w:tc>
        <w:tc>
          <w:tcPr>
            <w:tcW w:w="128" w:type="dxa"/>
            <w:tcBorders>
              <w:top w:val="nil"/>
              <w:left w:val="nil"/>
              <w:bottom w:val="nil"/>
              <w:right w:val="single" w:sz="8" w:space="0" w:color="auto"/>
            </w:tcBorders>
            <w:shd w:val="clear" w:color="auto" w:fill="auto"/>
            <w:noWrap/>
            <w:vAlign w:val="bottom"/>
            <w:hideMark/>
          </w:tcPr>
          <w:p w:rsidR="00345335" w:rsidRPr="00345335" w:rsidRDefault="00345335" w:rsidP="00345335">
            <w:pPr>
              <w:spacing w:after="0"/>
              <w:rPr>
                <w:rFonts w:ascii="Calibri" w:eastAsia="Times New Roman" w:hAnsi="Calibri" w:cs="Times New Roman"/>
                <w:color w:val="000000"/>
                <w:sz w:val="22"/>
                <w:szCs w:val="22"/>
                <w:lang w:eastAsia="en-US"/>
              </w:rPr>
            </w:pPr>
            <w:r w:rsidRPr="00345335">
              <w:rPr>
                <w:rFonts w:ascii="Calibri" w:eastAsia="Times New Roman" w:hAnsi="Calibri" w:cs="Times New Roman"/>
                <w:color w:val="000000"/>
                <w:sz w:val="22"/>
                <w:szCs w:val="22"/>
                <w:lang w:eastAsia="en-US"/>
              </w:rPr>
              <w:t> </w:t>
            </w:r>
          </w:p>
        </w:tc>
      </w:tr>
      <w:tr w:rsidR="00345335" w:rsidRPr="00345335" w:rsidTr="00345335">
        <w:trPr>
          <w:trHeight w:val="330"/>
        </w:trPr>
        <w:tc>
          <w:tcPr>
            <w:tcW w:w="7941" w:type="dxa"/>
            <w:gridSpan w:val="5"/>
            <w:tcBorders>
              <w:top w:val="nil"/>
              <w:left w:val="single" w:sz="8" w:space="0" w:color="auto"/>
              <w:bottom w:val="single" w:sz="8" w:space="0" w:color="auto"/>
              <w:right w:val="single" w:sz="8" w:space="0" w:color="000000"/>
            </w:tcBorders>
            <w:shd w:val="clear" w:color="000000" w:fill="66FFFF"/>
            <w:noWrap/>
            <w:vAlign w:val="bottom"/>
            <w:hideMark/>
          </w:tcPr>
          <w:p w:rsidR="00345335" w:rsidRPr="00345335" w:rsidRDefault="00345335" w:rsidP="00345335">
            <w:pPr>
              <w:spacing w:after="0"/>
              <w:jc w:val="center"/>
              <w:rPr>
                <w:rFonts w:ascii="Calibri" w:eastAsia="Times New Roman" w:hAnsi="Calibri" w:cs="Times New Roman"/>
                <w:b/>
                <w:bCs/>
                <w:color w:val="000000"/>
                <w:lang w:eastAsia="en-US"/>
              </w:rPr>
            </w:pPr>
            <w:r w:rsidRPr="00345335">
              <w:rPr>
                <w:rFonts w:ascii="Calibri" w:eastAsia="Times New Roman" w:hAnsi="Calibri" w:cs="Times New Roman"/>
                <w:b/>
                <w:bCs/>
                <w:color w:val="000000"/>
                <w:lang w:eastAsia="en-US"/>
              </w:rPr>
              <w:t>Rate and Term Refinanced Loans Default 2X That Of Purchase Loans</w:t>
            </w:r>
          </w:p>
        </w:tc>
      </w:tr>
    </w:tbl>
    <w:p w:rsidR="00D937C0" w:rsidRDefault="00345335" w:rsidP="00345335">
      <w:r>
        <w:t xml:space="preserve"> </w:t>
      </w:r>
    </w:p>
    <w:p w:rsidR="00345335" w:rsidRDefault="005B75F7" w:rsidP="005B75F7">
      <w:r w:rsidRPr="005B75F7">
        <w:t xml:space="preserve">If we then cross-multiply the ratios of default difference </w:t>
      </w:r>
      <w:r w:rsidR="00345335">
        <w:t xml:space="preserve">(Column 2) </w:t>
      </w:r>
      <w:r w:rsidRPr="005B75F7">
        <w:t xml:space="preserve">taken from Table 3 times the ratios of the loss severity differences </w:t>
      </w:r>
      <w:r w:rsidR="00345335">
        <w:t xml:space="preserve">(Column 1) </w:t>
      </w:r>
      <w:r w:rsidRPr="005B75F7">
        <w:t xml:space="preserve">we get overall loss factors that are basically 2X and higher depending on LTV.  Using fixed rate owner-occupied purchase loans as a base for GSE pricing rather than all fixed rate owner-occupied loans would greatly benefit home purchasers. Without the change, </w:t>
      </w:r>
      <w:r w:rsidRPr="005B75F7">
        <w:lastRenderedPageBreak/>
        <w:t xml:space="preserve">first-time home buyers are paying a higher G-fee than should be required, in effect, subsidizing the cost of GSE insurance for people who already have a home.  If the GSEs are to be effective in their primary reason for being, that of ensuring a healthy housing market at all stages of the housing cycle, they need to set their focus on purchase loan financing as the base loan optic. </w:t>
      </w:r>
    </w:p>
    <w:p w:rsidR="00312DF5" w:rsidRDefault="00312DF5" w:rsidP="005B75F7"/>
    <w:p w:rsidR="00116C27" w:rsidRDefault="0099437A" w:rsidP="005B75F7">
      <w:r>
        <w:t>W</w:t>
      </w:r>
      <w:r w:rsidR="00827E81">
        <w:t xml:space="preserve">e now know that expected losses on owner-occupied fixed rate purchase loans are lower than on owner </w:t>
      </w:r>
      <w:r w:rsidR="00345335">
        <w:t xml:space="preserve">occupied </w:t>
      </w:r>
      <w:r w:rsidR="00827E81">
        <w:t>rate and term refinanced loans</w:t>
      </w:r>
      <w:r>
        <w:t>.</w:t>
      </w:r>
      <w:r w:rsidR="00827E81">
        <w:t xml:space="preserve"> </w:t>
      </w:r>
      <w:r w:rsidR="00E765C6">
        <w:t>But</w:t>
      </w:r>
      <w:r w:rsidR="007101C1">
        <w:t xml:space="preserve"> in order </w:t>
      </w:r>
      <w:proofErr w:type="gramStart"/>
      <w:r w:rsidR="007101C1">
        <w:t xml:space="preserve">to </w:t>
      </w:r>
      <w:r w:rsidR="00E765C6">
        <w:t xml:space="preserve"> determine</w:t>
      </w:r>
      <w:proofErr w:type="gramEnd"/>
      <w:r w:rsidR="00E765C6">
        <w:t xml:space="preserve"> how much pricing may be affected, w</w:t>
      </w:r>
      <w:r>
        <w:t xml:space="preserve">e now need to know what the difference is in the stress losses between the two. Unfortunately, FHFA has not yet revealed what its assumptions </w:t>
      </w:r>
      <w:r w:rsidR="00E765C6">
        <w:t>are</w:t>
      </w:r>
      <w:r>
        <w:t xml:space="preserve"> for the stress level losses used in setting capital for the various categories of GSE risk. </w:t>
      </w:r>
      <w:r w:rsidR="00827E81">
        <w:t xml:space="preserve">To </w:t>
      </w:r>
      <w:r w:rsidR="00E765C6">
        <w:t>get to an estimate of purchase loan stress level losses,</w:t>
      </w:r>
      <w:r w:rsidR="00827E81">
        <w:t xml:space="preserve"> we first have to determine what </w:t>
      </w:r>
      <w:r w:rsidR="00637449">
        <w:t>are</w:t>
      </w:r>
      <w:r w:rsidR="00827E81">
        <w:t xml:space="preserve"> the level</w:t>
      </w:r>
      <w:r w:rsidR="00637449">
        <w:t>s</w:t>
      </w:r>
      <w:r w:rsidR="00827E81">
        <w:t xml:space="preserve"> of stress loss</w:t>
      </w:r>
      <w:r w:rsidR="00FC4024">
        <w:t>es</w:t>
      </w:r>
      <w:r w:rsidR="00827E81">
        <w:t xml:space="preserve"> assumed in th</w:t>
      </w:r>
      <w:r w:rsidR="00D937C0">
        <w:t xml:space="preserve">e current proposed FHFA </w:t>
      </w:r>
      <w:r w:rsidR="00E765C6">
        <w:t xml:space="preserve">base loan </w:t>
      </w:r>
      <w:r w:rsidR="00D937C0">
        <w:t xml:space="preserve">pricing, and then estimate the levels of stress losses for purchase only loans. Our approach is to </w:t>
      </w:r>
      <w:r w:rsidR="005B75F7" w:rsidRPr="005B75F7">
        <w:t>apply what we learned in Table 3 to what FHFA has published as the stress losses for private MI eligibility</w:t>
      </w:r>
      <w:r w:rsidR="00D937C0">
        <w:t>. In this way</w:t>
      </w:r>
      <w:r w:rsidR="005B75F7" w:rsidRPr="005B75F7">
        <w:t xml:space="preserve"> we might gain some insight on the stress levels assumed for GSE pricing. </w:t>
      </w:r>
    </w:p>
    <w:p w:rsidR="00312DF5" w:rsidRDefault="00312DF5" w:rsidP="005B75F7"/>
    <w:p w:rsidR="005B75F7" w:rsidRDefault="005B75F7" w:rsidP="005B75F7">
      <w:r w:rsidRPr="005B75F7">
        <w:t>First of all, we need to examine the implied level of stress default frequency.</w:t>
      </w:r>
      <w:r w:rsidR="00E765C6">
        <w:t xml:space="preserve"> GSE stress losses</w:t>
      </w:r>
      <w:r w:rsidRPr="005B75F7">
        <w:t xml:space="preserve"> </w:t>
      </w:r>
      <w:r w:rsidR="00E765C6">
        <w:t xml:space="preserve">are net of MI benefits, and MI stress losses reflect the benefits that they pay to its policy holders. </w:t>
      </w:r>
      <w:r w:rsidRPr="005B75F7">
        <w:t xml:space="preserve">In Table 4, we once again will focus on data in the 681-740 FICO range given the 710-725 average FICO of insured high LTV loans. We compare the FHFA </w:t>
      </w:r>
      <w:r w:rsidR="00E765C6">
        <w:t xml:space="preserve">MI </w:t>
      </w:r>
      <w:r w:rsidRPr="005B75F7">
        <w:t xml:space="preserve">stress losses to estimated long-run average MI benefits paid </w:t>
      </w:r>
      <w:r w:rsidR="00CC52DA">
        <w:t xml:space="preserve">and long-run average foreclosure frequencies </w:t>
      </w:r>
      <w:r w:rsidR="00D937C0">
        <w:t xml:space="preserve">on fixed rate owner-occupied purchase loans </w:t>
      </w:r>
      <w:r w:rsidRPr="005B75F7">
        <w:t xml:space="preserve">by LTV group. These loss rates were taken from FHFA’s Draft Private Mortgage Insurer Eligibility Requirements. As such, it only contains stress loss levels for high LTV loans. However, this data at least gives us some insight as to the </w:t>
      </w:r>
      <w:r w:rsidR="00CC52DA">
        <w:t xml:space="preserve">fixed rate loan </w:t>
      </w:r>
      <w:r w:rsidRPr="005B75F7">
        <w:t xml:space="preserve">stress </w:t>
      </w:r>
      <w:r w:rsidR="00E765C6">
        <w:t xml:space="preserve">foreclosure frequency </w:t>
      </w:r>
      <w:r w:rsidRPr="005B75F7">
        <w:t xml:space="preserve">levels FHFA may be seeking in its proposed GSE pricing grids for various LTV groups.  If we divide the FHFA Stress MI Losses by the effective levels of standard MI policy coverage, we get an estimate of the implied </w:t>
      </w:r>
      <w:r w:rsidR="00CC52DA">
        <w:t xml:space="preserve">fixed rate </w:t>
      </w:r>
      <w:r w:rsidRPr="005B75F7">
        <w:t>stress frequencies of foreclosure by LTV.</w:t>
      </w:r>
    </w:p>
    <w:p w:rsidR="00312DF5" w:rsidRDefault="00312DF5" w:rsidP="005B75F7"/>
    <w:p w:rsidR="00312DF5" w:rsidRDefault="00312DF5" w:rsidP="005B75F7"/>
    <w:p w:rsidR="00312DF5" w:rsidRDefault="00312DF5" w:rsidP="005B75F7"/>
    <w:p w:rsidR="00312DF5" w:rsidRDefault="00312DF5" w:rsidP="005B75F7"/>
    <w:p w:rsidR="00312DF5" w:rsidRDefault="00312DF5" w:rsidP="005B75F7"/>
    <w:p w:rsidR="00312DF5" w:rsidRDefault="00312DF5" w:rsidP="005B75F7"/>
    <w:p w:rsidR="00312DF5" w:rsidRDefault="00312DF5" w:rsidP="005B75F7"/>
    <w:p w:rsidR="00312DF5" w:rsidRDefault="00312DF5" w:rsidP="005B75F7"/>
    <w:p w:rsidR="00312DF5" w:rsidRDefault="00312DF5" w:rsidP="005B75F7"/>
    <w:tbl>
      <w:tblPr>
        <w:tblW w:w="8454" w:type="dxa"/>
        <w:tblInd w:w="93" w:type="dxa"/>
        <w:tblLook w:val="04A0" w:firstRow="1" w:lastRow="0" w:firstColumn="1" w:lastColumn="0" w:noHBand="0" w:noVBand="1"/>
      </w:tblPr>
      <w:tblGrid>
        <w:gridCol w:w="991"/>
        <w:gridCol w:w="1829"/>
        <w:gridCol w:w="3451"/>
        <w:gridCol w:w="1921"/>
        <w:gridCol w:w="262"/>
      </w:tblGrid>
      <w:tr w:rsidR="007C59EB" w:rsidRPr="007C59EB" w:rsidTr="007C59EB">
        <w:trPr>
          <w:trHeight w:val="315"/>
        </w:trPr>
        <w:tc>
          <w:tcPr>
            <w:tcW w:w="8454" w:type="dxa"/>
            <w:gridSpan w:val="5"/>
            <w:tcBorders>
              <w:top w:val="single" w:sz="8" w:space="0" w:color="auto"/>
              <w:left w:val="single" w:sz="8" w:space="0" w:color="auto"/>
              <w:bottom w:val="nil"/>
              <w:right w:val="single" w:sz="8" w:space="0" w:color="000000"/>
            </w:tcBorders>
            <w:shd w:val="clear" w:color="auto" w:fill="auto"/>
            <w:noWrap/>
            <w:vAlign w:val="bottom"/>
            <w:hideMark/>
          </w:tcPr>
          <w:p w:rsidR="007C59EB" w:rsidRPr="007C59EB" w:rsidRDefault="007C59EB" w:rsidP="007C59EB">
            <w:pPr>
              <w:spacing w:after="0"/>
              <w:jc w:val="center"/>
              <w:rPr>
                <w:rFonts w:ascii="Calibri" w:eastAsia="Times New Roman" w:hAnsi="Calibri" w:cs="Times New Roman"/>
                <w:b/>
                <w:bCs/>
                <w:color w:val="000000"/>
                <w:lang w:eastAsia="en-US"/>
              </w:rPr>
            </w:pPr>
            <w:r>
              <w:rPr>
                <w:rFonts w:ascii="Calibri" w:eastAsia="Times New Roman" w:hAnsi="Calibri" w:cs="Times New Roman"/>
                <w:b/>
                <w:bCs/>
                <w:color w:val="000000"/>
                <w:lang w:eastAsia="en-US"/>
              </w:rPr>
              <w:t>T</w:t>
            </w:r>
            <w:r w:rsidRPr="007C59EB">
              <w:rPr>
                <w:rFonts w:ascii="Calibri" w:eastAsia="Times New Roman" w:hAnsi="Calibri" w:cs="Times New Roman"/>
                <w:b/>
                <w:bCs/>
                <w:color w:val="000000"/>
                <w:lang w:eastAsia="en-US"/>
              </w:rPr>
              <w:t>able 4.  Comparing FHFA MI Stress Losses To</w:t>
            </w:r>
          </w:p>
        </w:tc>
      </w:tr>
      <w:tr w:rsidR="007C59EB" w:rsidRPr="007C59EB" w:rsidTr="007C59EB">
        <w:trPr>
          <w:trHeight w:val="330"/>
        </w:trPr>
        <w:tc>
          <w:tcPr>
            <w:tcW w:w="8454" w:type="dxa"/>
            <w:gridSpan w:val="5"/>
            <w:tcBorders>
              <w:top w:val="nil"/>
              <w:left w:val="single" w:sz="8" w:space="0" w:color="auto"/>
              <w:bottom w:val="nil"/>
              <w:right w:val="single" w:sz="8" w:space="0" w:color="000000"/>
            </w:tcBorders>
            <w:shd w:val="clear" w:color="auto" w:fill="auto"/>
            <w:noWrap/>
            <w:vAlign w:val="bottom"/>
            <w:hideMark/>
          </w:tcPr>
          <w:p w:rsidR="007C59EB" w:rsidRPr="007C59EB" w:rsidRDefault="007C59EB" w:rsidP="007C59EB">
            <w:pPr>
              <w:spacing w:after="0"/>
              <w:jc w:val="center"/>
              <w:rPr>
                <w:rFonts w:ascii="Calibri" w:eastAsia="Times New Roman" w:hAnsi="Calibri" w:cs="Times New Roman"/>
                <w:b/>
                <w:bCs/>
                <w:color w:val="000000"/>
                <w:lang w:eastAsia="en-US"/>
              </w:rPr>
            </w:pPr>
            <w:r w:rsidRPr="007C59EB">
              <w:rPr>
                <w:rFonts w:ascii="Calibri" w:eastAsia="Times New Roman" w:hAnsi="Calibri" w:cs="Times New Roman"/>
                <w:b/>
                <w:bCs/>
                <w:color w:val="000000"/>
                <w:lang w:eastAsia="en-US"/>
              </w:rPr>
              <w:t>Long-Run Average Standard MI Losses</w:t>
            </w:r>
          </w:p>
        </w:tc>
      </w:tr>
      <w:tr w:rsidR="007C59EB" w:rsidRPr="007C59EB" w:rsidTr="007C59EB">
        <w:trPr>
          <w:trHeight w:val="315"/>
        </w:trPr>
        <w:tc>
          <w:tcPr>
            <w:tcW w:w="991" w:type="dxa"/>
            <w:tcBorders>
              <w:top w:val="nil"/>
              <w:left w:val="single" w:sz="8" w:space="0" w:color="auto"/>
              <w:bottom w:val="nil"/>
              <w:right w:val="nil"/>
            </w:tcBorders>
            <w:shd w:val="clear" w:color="auto" w:fill="auto"/>
            <w:noWrap/>
            <w:vAlign w:val="bottom"/>
            <w:hideMark/>
          </w:tcPr>
          <w:p w:rsidR="007C59EB" w:rsidRPr="007C59EB" w:rsidRDefault="007C59EB" w:rsidP="007C59EB">
            <w:pPr>
              <w:spacing w:after="0"/>
              <w:rPr>
                <w:rFonts w:ascii="Calibri" w:eastAsia="Times New Roman" w:hAnsi="Calibri" w:cs="Times New Roman"/>
                <w:b/>
                <w:bCs/>
                <w:color w:val="000000"/>
                <w:sz w:val="20"/>
                <w:szCs w:val="20"/>
                <w:lang w:eastAsia="en-US"/>
              </w:rPr>
            </w:pPr>
            <w:r w:rsidRPr="007C59EB">
              <w:rPr>
                <w:rFonts w:ascii="Calibri" w:eastAsia="Times New Roman" w:hAnsi="Calibri" w:cs="Times New Roman"/>
                <w:b/>
                <w:bCs/>
                <w:color w:val="000000"/>
                <w:sz w:val="20"/>
                <w:szCs w:val="20"/>
                <w:lang w:eastAsia="en-US"/>
              </w:rPr>
              <w:t> </w:t>
            </w:r>
          </w:p>
        </w:tc>
        <w:tc>
          <w:tcPr>
            <w:tcW w:w="1829" w:type="dxa"/>
            <w:tcBorders>
              <w:top w:val="nil"/>
              <w:left w:val="nil"/>
              <w:bottom w:val="nil"/>
              <w:right w:val="nil"/>
            </w:tcBorders>
            <w:shd w:val="clear" w:color="000000" w:fill="99FFCC"/>
            <w:noWrap/>
            <w:vAlign w:val="bottom"/>
            <w:hideMark/>
          </w:tcPr>
          <w:p w:rsidR="007C59EB" w:rsidRPr="007C59EB" w:rsidRDefault="007C59EB" w:rsidP="007C59EB">
            <w:pPr>
              <w:spacing w:after="0"/>
              <w:jc w:val="center"/>
              <w:rPr>
                <w:rFonts w:ascii="Calibri" w:eastAsia="Times New Roman" w:hAnsi="Calibri" w:cs="Times New Roman"/>
                <w:b/>
                <w:bCs/>
                <w:color w:val="000000"/>
                <w:sz w:val="20"/>
                <w:szCs w:val="20"/>
                <w:lang w:eastAsia="en-US"/>
              </w:rPr>
            </w:pPr>
            <w:r w:rsidRPr="007C59EB">
              <w:rPr>
                <w:rFonts w:ascii="Calibri" w:eastAsia="Times New Roman" w:hAnsi="Calibri" w:cs="Times New Roman"/>
                <w:b/>
                <w:bCs/>
                <w:color w:val="000000"/>
                <w:sz w:val="20"/>
                <w:szCs w:val="20"/>
                <w:lang w:eastAsia="en-US"/>
              </w:rPr>
              <w:t>FHFA Stress Losses</w:t>
            </w:r>
          </w:p>
        </w:tc>
        <w:tc>
          <w:tcPr>
            <w:tcW w:w="3451" w:type="dxa"/>
            <w:tcBorders>
              <w:top w:val="nil"/>
              <w:left w:val="nil"/>
              <w:bottom w:val="nil"/>
              <w:right w:val="nil"/>
            </w:tcBorders>
            <w:shd w:val="clear" w:color="auto" w:fill="auto"/>
            <w:noWrap/>
            <w:vAlign w:val="bottom"/>
            <w:hideMark/>
          </w:tcPr>
          <w:p w:rsidR="007C59EB" w:rsidRPr="007C59EB" w:rsidRDefault="007C59EB" w:rsidP="007C59EB">
            <w:pPr>
              <w:spacing w:after="0"/>
              <w:rPr>
                <w:rFonts w:ascii="Cambria" w:eastAsia="Times New Roman" w:hAnsi="Cambria" w:cs="Times New Roman"/>
                <w:color w:val="000000"/>
                <w:sz w:val="20"/>
                <w:szCs w:val="20"/>
                <w:lang w:eastAsia="en-US"/>
              </w:rPr>
            </w:pPr>
          </w:p>
        </w:tc>
        <w:tc>
          <w:tcPr>
            <w:tcW w:w="1921" w:type="dxa"/>
            <w:tcBorders>
              <w:top w:val="nil"/>
              <w:left w:val="nil"/>
              <w:bottom w:val="nil"/>
              <w:right w:val="nil"/>
            </w:tcBorders>
            <w:shd w:val="clear" w:color="000000" w:fill="99FFCC"/>
            <w:noWrap/>
            <w:vAlign w:val="bottom"/>
            <w:hideMark/>
          </w:tcPr>
          <w:p w:rsidR="007C59EB" w:rsidRPr="007C59EB" w:rsidRDefault="007C59EB" w:rsidP="007C59EB">
            <w:pPr>
              <w:spacing w:after="0"/>
              <w:jc w:val="center"/>
              <w:rPr>
                <w:rFonts w:ascii="Calibri" w:eastAsia="Times New Roman" w:hAnsi="Calibri" w:cs="Times New Roman"/>
                <w:b/>
                <w:bCs/>
                <w:color w:val="000000"/>
                <w:sz w:val="20"/>
                <w:szCs w:val="20"/>
                <w:lang w:eastAsia="en-US"/>
              </w:rPr>
            </w:pPr>
            <w:r w:rsidRPr="007C59EB">
              <w:rPr>
                <w:rFonts w:ascii="Calibri" w:eastAsia="Times New Roman" w:hAnsi="Calibri" w:cs="Times New Roman"/>
                <w:b/>
                <w:bCs/>
                <w:color w:val="000000"/>
                <w:sz w:val="20"/>
                <w:szCs w:val="20"/>
                <w:lang w:eastAsia="en-US"/>
              </w:rPr>
              <w:t>Estimated Stress FF</w:t>
            </w:r>
          </w:p>
        </w:tc>
        <w:tc>
          <w:tcPr>
            <w:tcW w:w="262" w:type="dxa"/>
            <w:tcBorders>
              <w:top w:val="nil"/>
              <w:left w:val="nil"/>
              <w:bottom w:val="nil"/>
              <w:right w:val="single" w:sz="8" w:space="0" w:color="auto"/>
            </w:tcBorders>
            <w:shd w:val="clear" w:color="auto" w:fill="auto"/>
            <w:noWrap/>
            <w:vAlign w:val="bottom"/>
            <w:hideMark/>
          </w:tcPr>
          <w:p w:rsidR="007C59EB" w:rsidRPr="007C59EB" w:rsidRDefault="007C59EB" w:rsidP="007C59EB">
            <w:pPr>
              <w:spacing w:after="0"/>
              <w:rPr>
                <w:rFonts w:ascii="Calibri" w:eastAsia="Times New Roman" w:hAnsi="Calibri" w:cs="Times New Roman"/>
                <w:b/>
                <w:bCs/>
                <w:color w:val="000000"/>
                <w:sz w:val="20"/>
                <w:szCs w:val="20"/>
                <w:lang w:eastAsia="en-US"/>
              </w:rPr>
            </w:pPr>
            <w:r w:rsidRPr="007C59EB">
              <w:rPr>
                <w:rFonts w:ascii="Calibri" w:eastAsia="Times New Roman" w:hAnsi="Calibri" w:cs="Times New Roman"/>
                <w:b/>
                <w:bCs/>
                <w:color w:val="000000"/>
                <w:sz w:val="20"/>
                <w:szCs w:val="20"/>
                <w:lang w:eastAsia="en-US"/>
              </w:rPr>
              <w:t> </w:t>
            </w:r>
          </w:p>
        </w:tc>
      </w:tr>
      <w:tr w:rsidR="007C59EB" w:rsidRPr="007C59EB" w:rsidTr="007C59EB">
        <w:trPr>
          <w:trHeight w:val="300"/>
        </w:trPr>
        <w:tc>
          <w:tcPr>
            <w:tcW w:w="991" w:type="dxa"/>
            <w:tcBorders>
              <w:top w:val="nil"/>
              <w:left w:val="single" w:sz="8" w:space="0" w:color="auto"/>
              <w:bottom w:val="nil"/>
              <w:right w:val="nil"/>
            </w:tcBorders>
            <w:shd w:val="clear" w:color="auto" w:fill="auto"/>
            <w:noWrap/>
            <w:vAlign w:val="bottom"/>
            <w:hideMark/>
          </w:tcPr>
          <w:p w:rsidR="007C59EB" w:rsidRPr="007C59EB" w:rsidRDefault="007C59EB" w:rsidP="007C59EB">
            <w:pPr>
              <w:spacing w:after="0"/>
              <w:rPr>
                <w:rFonts w:ascii="Calibri" w:eastAsia="Times New Roman" w:hAnsi="Calibri" w:cs="Times New Roman"/>
                <w:color w:val="000000"/>
                <w:sz w:val="20"/>
                <w:szCs w:val="20"/>
                <w:lang w:eastAsia="en-US"/>
              </w:rPr>
            </w:pPr>
            <w:r w:rsidRPr="007C59EB">
              <w:rPr>
                <w:rFonts w:ascii="Calibri" w:eastAsia="Times New Roman" w:hAnsi="Calibri" w:cs="Times New Roman"/>
                <w:color w:val="000000"/>
                <w:sz w:val="20"/>
                <w:szCs w:val="20"/>
                <w:lang w:eastAsia="en-US"/>
              </w:rPr>
              <w:t> </w:t>
            </w:r>
          </w:p>
        </w:tc>
        <w:tc>
          <w:tcPr>
            <w:tcW w:w="1829" w:type="dxa"/>
            <w:tcBorders>
              <w:top w:val="nil"/>
              <w:left w:val="nil"/>
              <w:bottom w:val="nil"/>
              <w:right w:val="nil"/>
            </w:tcBorders>
            <w:shd w:val="clear" w:color="auto" w:fill="auto"/>
            <w:noWrap/>
            <w:vAlign w:val="bottom"/>
            <w:hideMark/>
          </w:tcPr>
          <w:p w:rsidR="007C59EB" w:rsidRPr="007C59EB" w:rsidRDefault="007C59EB" w:rsidP="007C59EB">
            <w:pPr>
              <w:spacing w:after="0"/>
              <w:jc w:val="center"/>
              <w:rPr>
                <w:rFonts w:ascii="Calibri" w:eastAsia="Times New Roman" w:hAnsi="Calibri" w:cs="Times New Roman"/>
                <w:b/>
                <w:bCs/>
                <w:color w:val="000000"/>
                <w:sz w:val="20"/>
                <w:szCs w:val="20"/>
                <w:u w:val="single"/>
                <w:lang w:eastAsia="en-US"/>
              </w:rPr>
            </w:pPr>
            <w:r w:rsidRPr="007C59EB">
              <w:rPr>
                <w:rFonts w:ascii="Calibri" w:eastAsia="Times New Roman" w:hAnsi="Calibri" w:cs="Times New Roman"/>
                <w:b/>
                <w:bCs/>
                <w:color w:val="000000"/>
                <w:sz w:val="20"/>
                <w:szCs w:val="20"/>
                <w:u w:val="single"/>
                <w:lang w:eastAsia="en-US"/>
              </w:rPr>
              <w:t>681-740 FICO</w:t>
            </w:r>
          </w:p>
        </w:tc>
        <w:tc>
          <w:tcPr>
            <w:tcW w:w="3451" w:type="dxa"/>
            <w:tcBorders>
              <w:top w:val="nil"/>
              <w:left w:val="nil"/>
              <w:bottom w:val="nil"/>
              <w:right w:val="nil"/>
            </w:tcBorders>
            <w:shd w:val="clear" w:color="000000" w:fill="66FF33"/>
            <w:noWrap/>
            <w:vAlign w:val="bottom"/>
            <w:hideMark/>
          </w:tcPr>
          <w:p w:rsidR="007C59EB" w:rsidRPr="007C59EB" w:rsidRDefault="007C59EB" w:rsidP="007C59EB">
            <w:pPr>
              <w:spacing w:after="0"/>
              <w:jc w:val="center"/>
              <w:rPr>
                <w:rFonts w:ascii="Calibri" w:eastAsia="Times New Roman" w:hAnsi="Calibri" w:cs="Times New Roman"/>
                <w:b/>
                <w:bCs/>
                <w:color w:val="000000"/>
                <w:sz w:val="20"/>
                <w:szCs w:val="20"/>
                <w:lang w:eastAsia="en-US"/>
              </w:rPr>
            </w:pPr>
            <w:r w:rsidRPr="007C59EB">
              <w:rPr>
                <w:rFonts w:ascii="Calibri" w:eastAsia="Times New Roman" w:hAnsi="Calibri" w:cs="Times New Roman"/>
                <w:b/>
                <w:bCs/>
                <w:color w:val="000000"/>
                <w:sz w:val="20"/>
                <w:szCs w:val="20"/>
                <w:lang w:eastAsia="en-US"/>
              </w:rPr>
              <w:t>MI Coverage</w:t>
            </w:r>
          </w:p>
        </w:tc>
        <w:tc>
          <w:tcPr>
            <w:tcW w:w="1921" w:type="dxa"/>
            <w:tcBorders>
              <w:top w:val="nil"/>
              <w:left w:val="nil"/>
              <w:bottom w:val="nil"/>
              <w:right w:val="nil"/>
            </w:tcBorders>
            <w:shd w:val="clear" w:color="auto" w:fill="auto"/>
            <w:noWrap/>
            <w:vAlign w:val="bottom"/>
            <w:hideMark/>
          </w:tcPr>
          <w:p w:rsidR="007C59EB" w:rsidRPr="007C59EB" w:rsidRDefault="007C59EB" w:rsidP="007C59EB">
            <w:pPr>
              <w:spacing w:after="0"/>
              <w:jc w:val="center"/>
              <w:rPr>
                <w:rFonts w:ascii="Calibri" w:eastAsia="Times New Roman" w:hAnsi="Calibri" w:cs="Times New Roman"/>
                <w:b/>
                <w:bCs/>
                <w:color w:val="000000"/>
                <w:sz w:val="20"/>
                <w:szCs w:val="20"/>
                <w:u w:val="single"/>
                <w:lang w:eastAsia="en-US"/>
              </w:rPr>
            </w:pPr>
            <w:r w:rsidRPr="007C59EB">
              <w:rPr>
                <w:rFonts w:ascii="Calibri" w:eastAsia="Times New Roman" w:hAnsi="Calibri" w:cs="Times New Roman"/>
                <w:b/>
                <w:bCs/>
                <w:color w:val="000000"/>
                <w:sz w:val="20"/>
                <w:szCs w:val="20"/>
                <w:u w:val="single"/>
                <w:lang w:eastAsia="en-US"/>
              </w:rPr>
              <w:t>681-740 FICO</w:t>
            </w:r>
          </w:p>
        </w:tc>
        <w:tc>
          <w:tcPr>
            <w:tcW w:w="262" w:type="dxa"/>
            <w:tcBorders>
              <w:top w:val="nil"/>
              <w:left w:val="nil"/>
              <w:bottom w:val="nil"/>
              <w:right w:val="single" w:sz="8" w:space="0" w:color="auto"/>
            </w:tcBorders>
            <w:shd w:val="clear" w:color="auto" w:fill="auto"/>
            <w:noWrap/>
            <w:vAlign w:val="bottom"/>
            <w:hideMark/>
          </w:tcPr>
          <w:p w:rsidR="007C59EB" w:rsidRPr="007C59EB" w:rsidRDefault="007C59EB" w:rsidP="007C59EB">
            <w:pPr>
              <w:spacing w:after="0"/>
              <w:rPr>
                <w:rFonts w:ascii="Calibri" w:eastAsia="Times New Roman" w:hAnsi="Calibri" w:cs="Times New Roman"/>
                <w:color w:val="000000"/>
                <w:sz w:val="20"/>
                <w:szCs w:val="20"/>
                <w:lang w:eastAsia="en-US"/>
              </w:rPr>
            </w:pPr>
            <w:r w:rsidRPr="007C59EB">
              <w:rPr>
                <w:rFonts w:ascii="Calibri" w:eastAsia="Times New Roman" w:hAnsi="Calibri" w:cs="Times New Roman"/>
                <w:color w:val="000000"/>
                <w:sz w:val="20"/>
                <w:szCs w:val="20"/>
                <w:lang w:eastAsia="en-US"/>
              </w:rPr>
              <w:t> </w:t>
            </w:r>
          </w:p>
        </w:tc>
      </w:tr>
      <w:tr w:rsidR="007C59EB" w:rsidRPr="007C59EB" w:rsidTr="007C59EB">
        <w:trPr>
          <w:trHeight w:val="300"/>
        </w:trPr>
        <w:tc>
          <w:tcPr>
            <w:tcW w:w="991" w:type="dxa"/>
            <w:tcBorders>
              <w:top w:val="nil"/>
              <w:left w:val="single" w:sz="8" w:space="0" w:color="auto"/>
              <w:bottom w:val="nil"/>
              <w:right w:val="nil"/>
            </w:tcBorders>
            <w:shd w:val="clear" w:color="auto" w:fill="auto"/>
            <w:noWrap/>
            <w:vAlign w:val="bottom"/>
            <w:hideMark/>
          </w:tcPr>
          <w:p w:rsidR="007C59EB" w:rsidRPr="007C59EB" w:rsidRDefault="007C59EB" w:rsidP="007C59EB">
            <w:pPr>
              <w:spacing w:after="0"/>
              <w:rPr>
                <w:rFonts w:ascii="Calibri" w:eastAsia="Times New Roman" w:hAnsi="Calibri" w:cs="Times New Roman"/>
                <w:color w:val="000000"/>
                <w:sz w:val="20"/>
                <w:szCs w:val="20"/>
                <w:lang w:eastAsia="en-US"/>
              </w:rPr>
            </w:pPr>
            <w:r w:rsidRPr="007C59EB">
              <w:rPr>
                <w:rFonts w:ascii="Calibri" w:eastAsia="Times New Roman" w:hAnsi="Calibri" w:cs="Times New Roman"/>
                <w:color w:val="000000"/>
                <w:sz w:val="20"/>
                <w:szCs w:val="20"/>
                <w:lang w:eastAsia="en-US"/>
              </w:rPr>
              <w:t> </w:t>
            </w:r>
          </w:p>
        </w:tc>
        <w:tc>
          <w:tcPr>
            <w:tcW w:w="1829" w:type="dxa"/>
            <w:tcBorders>
              <w:top w:val="nil"/>
              <w:left w:val="nil"/>
              <w:bottom w:val="nil"/>
              <w:right w:val="nil"/>
            </w:tcBorders>
            <w:shd w:val="clear" w:color="auto" w:fill="auto"/>
            <w:noWrap/>
            <w:vAlign w:val="bottom"/>
            <w:hideMark/>
          </w:tcPr>
          <w:p w:rsidR="007C59EB" w:rsidRPr="007C59EB" w:rsidRDefault="007C59EB" w:rsidP="007C59EB">
            <w:pPr>
              <w:spacing w:after="0"/>
              <w:jc w:val="center"/>
              <w:rPr>
                <w:rFonts w:ascii="Calibri" w:eastAsia="Times New Roman" w:hAnsi="Calibri" w:cs="Times New Roman"/>
                <w:b/>
                <w:bCs/>
                <w:color w:val="000000"/>
                <w:sz w:val="20"/>
                <w:szCs w:val="20"/>
                <w:u w:val="single"/>
                <w:lang w:eastAsia="en-US"/>
              </w:rPr>
            </w:pPr>
          </w:p>
        </w:tc>
        <w:tc>
          <w:tcPr>
            <w:tcW w:w="3451" w:type="dxa"/>
            <w:tcBorders>
              <w:top w:val="nil"/>
              <w:left w:val="nil"/>
              <w:bottom w:val="nil"/>
              <w:right w:val="nil"/>
            </w:tcBorders>
            <w:shd w:val="clear" w:color="auto" w:fill="auto"/>
            <w:noWrap/>
            <w:vAlign w:val="bottom"/>
            <w:hideMark/>
          </w:tcPr>
          <w:p w:rsidR="007C59EB" w:rsidRPr="007C59EB" w:rsidRDefault="007C59EB" w:rsidP="007C59EB">
            <w:pPr>
              <w:spacing w:after="0"/>
              <w:jc w:val="center"/>
              <w:rPr>
                <w:rFonts w:ascii="Calibri" w:eastAsia="Times New Roman" w:hAnsi="Calibri" w:cs="Times New Roman"/>
                <w:b/>
                <w:bCs/>
                <w:color w:val="000000"/>
                <w:sz w:val="20"/>
                <w:szCs w:val="20"/>
                <w:lang w:eastAsia="en-US"/>
              </w:rPr>
            </w:pPr>
          </w:p>
        </w:tc>
        <w:tc>
          <w:tcPr>
            <w:tcW w:w="1921" w:type="dxa"/>
            <w:tcBorders>
              <w:top w:val="nil"/>
              <w:left w:val="nil"/>
              <w:bottom w:val="nil"/>
              <w:right w:val="nil"/>
            </w:tcBorders>
            <w:shd w:val="clear" w:color="auto" w:fill="auto"/>
            <w:noWrap/>
            <w:vAlign w:val="bottom"/>
            <w:hideMark/>
          </w:tcPr>
          <w:p w:rsidR="007C59EB" w:rsidRPr="007C59EB" w:rsidRDefault="007C59EB" w:rsidP="007C59EB">
            <w:pPr>
              <w:spacing w:after="0"/>
              <w:jc w:val="center"/>
              <w:rPr>
                <w:rFonts w:ascii="Calibri" w:eastAsia="Times New Roman" w:hAnsi="Calibri" w:cs="Times New Roman"/>
                <w:b/>
                <w:bCs/>
                <w:color w:val="000000"/>
                <w:sz w:val="20"/>
                <w:szCs w:val="20"/>
                <w:u w:val="single"/>
                <w:lang w:eastAsia="en-US"/>
              </w:rPr>
            </w:pPr>
          </w:p>
        </w:tc>
        <w:tc>
          <w:tcPr>
            <w:tcW w:w="262" w:type="dxa"/>
            <w:tcBorders>
              <w:top w:val="nil"/>
              <w:left w:val="nil"/>
              <w:bottom w:val="nil"/>
              <w:right w:val="single" w:sz="8" w:space="0" w:color="auto"/>
            </w:tcBorders>
            <w:shd w:val="clear" w:color="auto" w:fill="auto"/>
            <w:noWrap/>
            <w:vAlign w:val="bottom"/>
            <w:hideMark/>
          </w:tcPr>
          <w:p w:rsidR="007C59EB" w:rsidRPr="007C59EB" w:rsidRDefault="007C59EB" w:rsidP="007C59EB">
            <w:pPr>
              <w:spacing w:after="0"/>
              <w:rPr>
                <w:rFonts w:ascii="Calibri" w:eastAsia="Times New Roman" w:hAnsi="Calibri" w:cs="Times New Roman"/>
                <w:color w:val="000000"/>
                <w:sz w:val="20"/>
                <w:szCs w:val="20"/>
                <w:lang w:eastAsia="en-US"/>
              </w:rPr>
            </w:pPr>
            <w:r w:rsidRPr="007C59EB">
              <w:rPr>
                <w:rFonts w:ascii="Calibri" w:eastAsia="Times New Roman" w:hAnsi="Calibri" w:cs="Times New Roman"/>
                <w:color w:val="000000"/>
                <w:sz w:val="20"/>
                <w:szCs w:val="20"/>
                <w:lang w:eastAsia="en-US"/>
              </w:rPr>
              <w:t> </w:t>
            </w:r>
          </w:p>
        </w:tc>
      </w:tr>
      <w:tr w:rsidR="007C59EB" w:rsidRPr="007C59EB" w:rsidTr="007C59EB">
        <w:trPr>
          <w:trHeight w:val="315"/>
        </w:trPr>
        <w:tc>
          <w:tcPr>
            <w:tcW w:w="991" w:type="dxa"/>
            <w:tcBorders>
              <w:top w:val="nil"/>
              <w:left w:val="single" w:sz="8" w:space="0" w:color="auto"/>
              <w:bottom w:val="nil"/>
              <w:right w:val="nil"/>
            </w:tcBorders>
            <w:shd w:val="clear" w:color="auto" w:fill="auto"/>
            <w:noWrap/>
            <w:vAlign w:val="bottom"/>
            <w:hideMark/>
          </w:tcPr>
          <w:p w:rsidR="007C59EB" w:rsidRPr="007C59EB" w:rsidRDefault="007C59EB" w:rsidP="007C59EB">
            <w:pPr>
              <w:spacing w:after="0"/>
              <w:jc w:val="center"/>
              <w:rPr>
                <w:rFonts w:ascii="Calibri" w:eastAsia="Times New Roman" w:hAnsi="Calibri" w:cs="Times New Roman"/>
                <w:b/>
                <w:bCs/>
                <w:color w:val="000000"/>
                <w:sz w:val="20"/>
                <w:szCs w:val="20"/>
                <w:lang w:eastAsia="en-US"/>
              </w:rPr>
            </w:pPr>
            <w:r w:rsidRPr="007C59EB">
              <w:rPr>
                <w:rFonts w:ascii="Calibri" w:eastAsia="Times New Roman" w:hAnsi="Calibri" w:cs="Times New Roman"/>
                <w:b/>
                <w:bCs/>
                <w:color w:val="000000"/>
                <w:sz w:val="20"/>
                <w:szCs w:val="20"/>
                <w:lang w:eastAsia="en-US"/>
              </w:rPr>
              <w:t>85</w:t>
            </w:r>
          </w:p>
        </w:tc>
        <w:tc>
          <w:tcPr>
            <w:tcW w:w="1829" w:type="dxa"/>
            <w:tcBorders>
              <w:top w:val="nil"/>
              <w:left w:val="nil"/>
              <w:bottom w:val="nil"/>
              <w:right w:val="nil"/>
            </w:tcBorders>
            <w:shd w:val="clear" w:color="000000" w:fill="FFFF00"/>
            <w:noWrap/>
            <w:vAlign w:val="bottom"/>
            <w:hideMark/>
          </w:tcPr>
          <w:p w:rsidR="007C59EB" w:rsidRPr="007C59EB" w:rsidRDefault="007C59EB" w:rsidP="007C59EB">
            <w:pPr>
              <w:spacing w:after="0"/>
              <w:jc w:val="center"/>
              <w:rPr>
                <w:rFonts w:ascii="Calibri" w:eastAsia="Times New Roman" w:hAnsi="Calibri" w:cs="Times New Roman"/>
                <w:b/>
                <w:bCs/>
                <w:color w:val="000000"/>
                <w:sz w:val="20"/>
                <w:szCs w:val="20"/>
                <w:lang w:eastAsia="en-US"/>
              </w:rPr>
            </w:pPr>
            <w:r w:rsidRPr="007C59EB">
              <w:rPr>
                <w:rFonts w:ascii="Calibri" w:eastAsia="Times New Roman" w:hAnsi="Calibri" w:cs="Times New Roman"/>
                <w:b/>
                <w:bCs/>
                <w:color w:val="000000"/>
                <w:sz w:val="20"/>
                <w:szCs w:val="20"/>
                <w:lang w:eastAsia="en-US"/>
              </w:rPr>
              <w:t>4.50%</w:t>
            </w:r>
          </w:p>
        </w:tc>
        <w:tc>
          <w:tcPr>
            <w:tcW w:w="3451" w:type="dxa"/>
            <w:tcBorders>
              <w:top w:val="nil"/>
              <w:left w:val="nil"/>
              <w:bottom w:val="nil"/>
              <w:right w:val="nil"/>
            </w:tcBorders>
            <w:shd w:val="clear" w:color="auto" w:fill="auto"/>
            <w:noWrap/>
            <w:vAlign w:val="bottom"/>
            <w:hideMark/>
          </w:tcPr>
          <w:p w:rsidR="007C59EB" w:rsidRPr="007C59EB" w:rsidRDefault="007C59EB" w:rsidP="007C59EB">
            <w:pPr>
              <w:spacing w:after="0"/>
              <w:jc w:val="center"/>
              <w:rPr>
                <w:rFonts w:ascii="Calibri" w:eastAsia="Times New Roman" w:hAnsi="Calibri" w:cs="Times New Roman"/>
                <w:color w:val="000000"/>
                <w:sz w:val="20"/>
                <w:szCs w:val="20"/>
                <w:lang w:eastAsia="en-US"/>
              </w:rPr>
            </w:pPr>
            <w:r w:rsidRPr="007C59EB">
              <w:rPr>
                <w:rFonts w:ascii="Calibri" w:eastAsia="Times New Roman" w:hAnsi="Calibri" w:cs="Times New Roman"/>
                <w:color w:val="000000"/>
                <w:sz w:val="20"/>
                <w:szCs w:val="20"/>
                <w:lang w:eastAsia="en-US"/>
              </w:rPr>
              <w:t>14%</w:t>
            </w:r>
          </w:p>
        </w:tc>
        <w:tc>
          <w:tcPr>
            <w:tcW w:w="1921" w:type="dxa"/>
            <w:tcBorders>
              <w:top w:val="nil"/>
              <w:left w:val="nil"/>
              <w:bottom w:val="nil"/>
              <w:right w:val="nil"/>
            </w:tcBorders>
            <w:shd w:val="clear" w:color="000000" w:fill="66FF33"/>
            <w:noWrap/>
            <w:vAlign w:val="bottom"/>
            <w:hideMark/>
          </w:tcPr>
          <w:p w:rsidR="007C59EB" w:rsidRPr="007C59EB" w:rsidRDefault="007C59EB" w:rsidP="007C59EB">
            <w:pPr>
              <w:spacing w:after="0"/>
              <w:jc w:val="center"/>
              <w:rPr>
                <w:rFonts w:ascii="Calibri" w:eastAsia="Times New Roman" w:hAnsi="Calibri" w:cs="Times New Roman"/>
                <w:b/>
                <w:bCs/>
                <w:color w:val="000000"/>
                <w:sz w:val="20"/>
                <w:szCs w:val="20"/>
                <w:lang w:eastAsia="en-US"/>
              </w:rPr>
            </w:pPr>
            <w:r w:rsidRPr="007C59EB">
              <w:rPr>
                <w:rFonts w:ascii="Calibri" w:eastAsia="Times New Roman" w:hAnsi="Calibri" w:cs="Times New Roman"/>
                <w:b/>
                <w:bCs/>
                <w:color w:val="000000"/>
                <w:sz w:val="20"/>
                <w:szCs w:val="20"/>
                <w:lang w:eastAsia="en-US"/>
              </w:rPr>
              <w:t>32.90%</w:t>
            </w:r>
          </w:p>
        </w:tc>
        <w:tc>
          <w:tcPr>
            <w:tcW w:w="262" w:type="dxa"/>
            <w:tcBorders>
              <w:top w:val="nil"/>
              <w:left w:val="nil"/>
              <w:bottom w:val="nil"/>
              <w:right w:val="single" w:sz="8" w:space="0" w:color="auto"/>
            </w:tcBorders>
            <w:shd w:val="clear" w:color="auto" w:fill="auto"/>
            <w:noWrap/>
            <w:vAlign w:val="bottom"/>
            <w:hideMark/>
          </w:tcPr>
          <w:p w:rsidR="007C59EB" w:rsidRPr="007C59EB" w:rsidRDefault="007C59EB" w:rsidP="007C59EB">
            <w:pPr>
              <w:spacing w:after="0"/>
              <w:rPr>
                <w:rFonts w:ascii="Calibri" w:eastAsia="Times New Roman" w:hAnsi="Calibri" w:cs="Times New Roman"/>
                <w:color w:val="000000"/>
                <w:sz w:val="20"/>
                <w:szCs w:val="20"/>
                <w:lang w:eastAsia="en-US"/>
              </w:rPr>
            </w:pPr>
            <w:r w:rsidRPr="007C59EB">
              <w:rPr>
                <w:rFonts w:ascii="Calibri" w:eastAsia="Times New Roman" w:hAnsi="Calibri" w:cs="Times New Roman"/>
                <w:color w:val="000000"/>
                <w:sz w:val="20"/>
                <w:szCs w:val="20"/>
                <w:lang w:eastAsia="en-US"/>
              </w:rPr>
              <w:t> </w:t>
            </w:r>
          </w:p>
        </w:tc>
      </w:tr>
      <w:tr w:rsidR="007C59EB" w:rsidRPr="007C59EB" w:rsidTr="007C59EB">
        <w:trPr>
          <w:trHeight w:val="345"/>
        </w:trPr>
        <w:tc>
          <w:tcPr>
            <w:tcW w:w="991" w:type="dxa"/>
            <w:tcBorders>
              <w:top w:val="nil"/>
              <w:left w:val="single" w:sz="8" w:space="0" w:color="auto"/>
              <w:bottom w:val="nil"/>
              <w:right w:val="nil"/>
            </w:tcBorders>
            <w:shd w:val="clear" w:color="auto" w:fill="auto"/>
            <w:noWrap/>
            <w:vAlign w:val="bottom"/>
            <w:hideMark/>
          </w:tcPr>
          <w:p w:rsidR="007C59EB" w:rsidRPr="007C59EB" w:rsidRDefault="007C59EB" w:rsidP="007C59EB">
            <w:pPr>
              <w:spacing w:after="0"/>
              <w:jc w:val="center"/>
              <w:rPr>
                <w:rFonts w:ascii="Calibri" w:eastAsia="Times New Roman" w:hAnsi="Calibri" w:cs="Times New Roman"/>
                <w:b/>
                <w:bCs/>
                <w:color w:val="000000"/>
                <w:sz w:val="20"/>
                <w:szCs w:val="20"/>
                <w:lang w:eastAsia="en-US"/>
              </w:rPr>
            </w:pPr>
            <w:r w:rsidRPr="007C59EB">
              <w:rPr>
                <w:rFonts w:ascii="Calibri" w:eastAsia="Times New Roman" w:hAnsi="Calibri" w:cs="Times New Roman"/>
                <w:b/>
                <w:bCs/>
                <w:color w:val="000000"/>
                <w:sz w:val="20"/>
                <w:szCs w:val="20"/>
                <w:lang w:eastAsia="en-US"/>
              </w:rPr>
              <w:t>90</w:t>
            </w:r>
          </w:p>
        </w:tc>
        <w:tc>
          <w:tcPr>
            <w:tcW w:w="1829" w:type="dxa"/>
            <w:tcBorders>
              <w:top w:val="nil"/>
              <w:left w:val="nil"/>
              <w:bottom w:val="nil"/>
              <w:right w:val="nil"/>
            </w:tcBorders>
            <w:shd w:val="clear" w:color="000000" w:fill="FFFF00"/>
            <w:noWrap/>
            <w:vAlign w:val="bottom"/>
            <w:hideMark/>
          </w:tcPr>
          <w:p w:rsidR="007C59EB" w:rsidRPr="007C59EB" w:rsidRDefault="007C59EB" w:rsidP="007C59EB">
            <w:pPr>
              <w:spacing w:after="0"/>
              <w:jc w:val="center"/>
              <w:rPr>
                <w:rFonts w:ascii="Calibri" w:eastAsia="Times New Roman" w:hAnsi="Calibri" w:cs="Times New Roman"/>
                <w:b/>
                <w:bCs/>
                <w:color w:val="000000"/>
                <w:sz w:val="20"/>
                <w:szCs w:val="20"/>
                <w:lang w:eastAsia="en-US"/>
              </w:rPr>
            </w:pPr>
            <w:r w:rsidRPr="007C59EB">
              <w:rPr>
                <w:rFonts w:ascii="Calibri" w:eastAsia="Times New Roman" w:hAnsi="Calibri" w:cs="Times New Roman"/>
                <w:b/>
                <w:bCs/>
                <w:color w:val="000000"/>
                <w:sz w:val="20"/>
                <w:szCs w:val="20"/>
                <w:lang w:eastAsia="en-US"/>
              </w:rPr>
              <w:t>7.50%</w:t>
            </w:r>
          </w:p>
        </w:tc>
        <w:tc>
          <w:tcPr>
            <w:tcW w:w="3451" w:type="dxa"/>
            <w:tcBorders>
              <w:top w:val="nil"/>
              <w:left w:val="nil"/>
              <w:bottom w:val="nil"/>
              <w:right w:val="nil"/>
            </w:tcBorders>
            <w:shd w:val="clear" w:color="auto" w:fill="auto"/>
            <w:noWrap/>
            <w:vAlign w:val="bottom"/>
            <w:hideMark/>
          </w:tcPr>
          <w:p w:rsidR="007C59EB" w:rsidRPr="007C59EB" w:rsidRDefault="007C59EB" w:rsidP="007C59EB">
            <w:pPr>
              <w:spacing w:after="0"/>
              <w:jc w:val="center"/>
              <w:rPr>
                <w:rFonts w:ascii="Calibri" w:eastAsia="Times New Roman" w:hAnsi="Calibri" w:cs="Times New Roman"/>
                <w:color w:val="000000"/>
                <w:sz w:val="20"/>
                <w:szCs w:val="20"/>
                <w:lang w:eastAsia="en-US"/>
              </w:rPr>
            </w:pPr>
            <w:r w:rsidRPr="007C59EB">
              <w:rPr>
                <w:rFonts w:ascii="Calibri" w:eastAsia="Times New Roman" w:hAnsi="Calibri" w:cs="Times New Roman"/>
                <w:color w:val="000000"/>
                <w:sz w:val="20"/>
                <w:szCs w:val="20"/>
                <w:lang w:eastAsia="en-US"/>
              </w:rPr>
              <w:t>29%</w:t>
            </w:r>
          </w:p>
        </w:tc>
        <w:tc>
          <w:tcPr>
            <w:tcW w:w="1921" w:type="dxa"/>
            <w:tcBorders>
              <w:top w:val="nil"/>
              <w:left w:val="nil"/>
              <w:bottom w:val="nil"/>
              <w:right w:val="nil"/>
            </w:tcBorders>
            <w:shd w:val="clear" w:color="000000" w:fill="66FF33"/>
            <w:noWrap/>
            <w:vAlign w:val="bottom"/>
            <w:hideMark/>
          </w:tcPr>
          <w:p w:rsidR="007C59EB" w:rsidRPr="007C59EB" w:rsidRDefault="007C59EB" w:rsidP="007C59EB">
            <w:pPr>
              <w:spacing w:after="0"/>
              <w:jc w:val="center"/>
              <w:rPr>
                <w:rFonts w:ascii="Calibri" w:eastAsia="Times New Roman" w:hAnsi="Calibri" w:cs="Times New Roman"/>
                <w:b/>
                <w:bCs/>
                <w:color w:val="000000"/>
                <w:sz w:val="20"/>
                <w:szCs w:val="20"/>
                <w:lang w:eastAsia="en-US"/>
              </w:rPr>
            </w:pPr>
            <w:r w:rsidRPr="007C59EB">
              <w:rPr>
                <w:rFonts w:ascii="Calibri" w:eastAsia="Times New Roman" w:hAnsi="Calibri" w:cs="Times New Roman"/>
                <w:b/>
                <w:bCs/>
                <w:color w:val="000000"/>
                <w:sz w:val="20"/>
                <w:szCs w:val="20"/>
                <w:lang w:eastAsia="en-US"/>
              </w:rPr>
              <w:t>26.30%</w:t>
            </w:r>
          </w:p>
        </w:tc>
        <w:tc>
          <w:tcPr>
            <w:tcW w:w="262" w:type="dxa"/>
            <w:tcBorders>
              <w:top w:val="nil"/>
              <w:left w:val="nil"/>
              <w:bottom w:val="nil"/>
              <w:right w:val="single" w:sz="8" w:space="0" w:color="auto"/>
            </w:tcBorders>
            <w:shd w:val="clear" w:color="auto" w:fill="auto"/>
            <w:noWrap/>
            <w:vAlign w:val="bottom"/>
            <w:hideMark/>
          </w:tcPr>
          <w:p w:rsidR="007C59EB" w:rsidRPr="007C59EB" w:rsidRDefault="007C59EB" w:rsidP="007C59EB">
            <w:pPr>
              <w:spacing w:after="0"/>
              <w:rPr>
                <w:rFonts w:ascii="Calibri" w:eastAsia="Times New Roman" w:hAnsi="Calibri" w:cs="Times New Roman"/>
                <w:color w:val="000000"/>
                <w:sz w:val="20"/>
                <w:szCs w:val="20"/>
                <w:lang w:eastAsia="en-US"/>
              </w:rPr>
            </w:pPr>
            <w:r w:rsidRPr="007C59EB">
              <w:rPr>
                <w:rFonts w:ascii="Calibri" w:eastAsia="Times New Roman" w:hAnsi="Calibri" w:cs="Times New Roman"/>
                <w:color w:val="000000"/>
                <w:sz w:val="20"/>
                <w:szCs w:val="20"/>
                <w:lang w:eastAsia="en-US"/>
              </w:rPr>
              <w:t> </w:t>
            </w:r>
          </w:p>
        </w:tc>
      </w:tr>
      <w:tr w:rsidR="007C59EB" w:rsidRPr="007C59EB" w:rsidTr="007C59EB">
        <w:trPr>
          <w:trHeight w:val="300"/>
        </w:trPr>
        <w:tc>
          <w:tcPr>
            <w:tcW w:w="991" w:type="dxa"/>
            <w:tcBorders>
              <w:top w:val="nil"/>
              <w:left w:val="single" w:sz="8" w:space="0" w:color="auto"/>
              <w:bottom w:val="nil"/>
              <w:right w:val="nil"/>
            </w:tcBorders>
            <w:shd w:val="clear" w:color="auto" w:fill="auto"/>
            <w:noWrap/>
            <w:vAlign w:val="bottom"/>
            <w:hideMark/>
          </w:tcPr>
          <w:p w:rsidR="007C59EB" w:rsidRPr="007C59EB" w:rsidRDefault="007C59EB" w:rsidP="007C59EB">
            <w:pPr>
              <w:spacing w:after="0"/>
              <w:jc w:val="center"/>
              <w:rPr>
                <w:rFonts w:ascii="Calibri" w:eastAsia="Times New Roman" w:hAnsi="Calibri" w:cs="Times New Roman"/>
                <w:b/>
                <w:bCs/>
                <w:color w:val="000000"/>
                <w:sz w:val="20"/>
                <w:szCs w:val="20"/>
                <w:lang w:eastAsia="en-US"/>
              </w:rPr>
            </w:pPr>
            <w:r w:rsidRPr="007C59EB">
              <w:rPr>
                <w:rFonts w:ascii="Calibri" w:eastAsia="Times New Roman" w:hAnsi="Calibri" w:cs="Times New Roman"/>
                <w:b/>
                <w:bCs/>
                <w:color w:val="000000"/>
                <w:sz w:val="20"/>
                <w:szCs w:val="20"/>
                <w:lang w:eastAsia="en-US"/>
              </w:rPr>
              <w:t>95</w:t>
            </w:r>
          </w:p>
        </w:tc>
        <w:tc>
          <w:tcPr>
            <w:tcW w:w="1829" w:type="dxa"/>
            <w:tcBorders>
              <w:top w:val="nil"/>
              <w:left w:val="nil"/>
              <w:bottom w:val="nil"/>
              <w:right w:val="nil"/>
            </w:tcBorders>
            <w:shd w:val="clear" w:color="000000" w:fill="FFFF00"/>
            <w:noWrap/>
            <w:vAlign w:val="bottom"/>
            <w:hideMark/>
          </w:tcPr>
          <w:p w:rsidR="007C59EB" w:rsidRPr="007C59EB" w:rsidRDefault="007C59EB" w:rsidP="007C59EB">
            <w:pPr>
              <w:spacing w:after="0"/>
              <w:jc w:val="center"/>
              <w:rPr>
                <w:rFonts w:ascii="Calibri" w:eastAsia="Times New Roman" w:hAnsi="Calibri" w:cs="Times New Roman"/>
                <w:b/>
                <w:bCs/>
                <w:color w:val="000000"/>
                <w:sz w:val="20"/>
                <w:szCs w:val="20"/>
                <w:lang w:eastAsia="en-US"/>
              </w:rPr>
            </w:pPr>
            <w:r w:rsidRPr="007C59EB">
              <w:rPr>
                <w:rFonts w:ascii="Calibri" w:eastAsia="Times New Roman" w:hAnsi="Calibri" w:cs="Times New Roman"/>
                <w:b/>
                <w:bCs/>
                <w:color w:val="000000"/>
                <w:sz w:val="20"/>
                <w:szCs w:val="20"/>
                <w:lang w:eastAsia="en-US"/>
              </w:rPr>
              <w:t>10.20%</w:t>
            </w:r>
          </w:p>
        </w:tc>
        <w:tc>
          <w:tcPr>
            <w:tcW w:w="3451" w:type="dxa"/>
            <w:tcBorders>
              <w:top w:val="nil"/>
              <w:left w:val="nil"/>
              <w:bottom w:val="nil"/>
              <w:right w:val="nil"/>
            </w:tcBorders>
            <w:shd w:val="clear" w:color="auto" w:fill="auto"/>
            <w:noWrap/>
            <w:vAlign w:val="bottom"/>
            <w:hideMark/>
          </w:tcPr>
          <w:p w:rsidR="007C59EB" w:rsidRPr="007C59EB" w:rsidRDefault="007C59EB" w:rsidP="007C59EB">
            <w:pPr>
              <w:spacing w:after="0"/>
              <w:jc w:val="center"/>
              <w:rPr>
                <w:rFonts w:ascii="Calibri" w:eastAsia="Times New Roman" w:hAnsi="Calibri" w:cs="Times New Roman"/>
                <w:color w:val="000000"/>
                <w:sz w:val="20"/>
                <w:szCs w:val="20"/>
                <w:lang w:eastAsia="en-US"/>
              </w:rPr>
            </w:pPr>
            <w:r w:rsidRPr="007C59EB">
              <w:rPr>
                <w:rFonts w:ascii="Calibri" w:eastAsia="Times New Roman" w:hAnsi="Calibri" w:cs="Times New Roman"/>
                <w:color w:val="000000"/>
                <w:sz w:val="20"/>
                <w:szCs w:val="20"/>
                <w:lang w:eastAsia="en-US"/>
              </w:rPr>
              <w:t>34%</w:t>
            </w:r>
          </w:p>
        </w:tc>
        <w:tc>
          <w:tcPr>
            <w:tcW w:w="1921" w:type="dxa"/>
            <w:tcBorders>
              <w:top w:val="nil"/>
              <w:left w:val="nil"/>
              <w:bottom w:val="nil"/>
              <w:right w:val="nil"/>
            </w:tcBorders>
            <w:shd w:val="clear" w:color="000000" w:fill="66FF33"/>
            <w:noWrap/>
            <w:vAlign w:val="bottom"/>
            <w:hideMark/>
          </w:tcPr>
          <w:p w:rsidR="007C59EB" w:rsidRPr="007C59EB" w:rsidRDefault="007C59EB" w:rsidP="007C59EB">
            <w:pPr>
              <w:spacing w:after="0"/>
              <w:jc w:val="center"/>
              <w:rPr>
                <w:rFonts w:ascii="Calibri" w:eastAsia="Times New Roman" w:hAnsi="Calibri" w:cs="Times New Roman"/>
                <w:b/>
                <w:bCs/>
                <w:color w:val="000000"/>
                <w:sz w:val="20"/>
                <w:szCs w:val="20"/>
                <w:lang w:eastAsia="en-US"/>
              </w:rPr>
            </w:pPr>
            <w:r w:rsidRPr="007C59EB">
              <w:rPr>
                <w:rFonts w:ascii="Calibri" w:eastAsia="Times New Roman" w:hAnsi="Calibri" w:cs="Times New Roman"/>
                <w:b/>
                <w:bCs/>
                <w:color w:val="000000"/>
                <w:sz w:val="20"/>
                <w:szCs w:val="20"/>
                <w:lang w:eastAsia="en-US"/>
              </w:rPr>
              <w:t>29.80%</w:t>
            </w:r>
          </w:p>
        </w:tc>
        <w:tc>
          <w:tcPr>
            <w:tcW w:w="262" w:type="dxa"/>
            <w:tcBorders>
              <w:top w:val="nil"/>
              <w:left w:val="nil"/>
              <w:bottom w:val="nil"/>
              <w:right w:val="single" w:sz="8" w:space="0" w:color="auto"/>
            </w:tcBorders>
            <w:shd w:val="clear" w:color="auto" w:fill="auto"/>
            <w:noWrap/>
            <w:vAlign w:val="bottom"/>
            <w:hideMark/>
          </w:tcPr>
          <w:p w:rsidR="007C59EB" w:rsidRPr="007C59EB" w:rsidRDefault="007C59EB" w:rsidP="007C59EB">
            <w:pPr>
              <w:spacing w:after="0"/>
              <w:rPr>
                <w:rFonts w:ascii="Calibri" w:eastAsia="Times New Roman" w:hAnsi="Calibri" w:cs="Times New Roman"/>
                <w:color w:val="000000"/>
                <w:sz w:val="20"/>
                <w:szCs w:val="20"/>
                <w:lang w:eastAsia="en-US"/>
              </w:rPr>
            </w:pPr>
            <w:r w:rsidRPr="007C59EB">
              <w:rPr>
                <w:rFonts w:ascii="Calibri" w:eastAsia="Times New Roman" w:hAnsi="Calibri" w:cs="Times New Roman"/>
                <w:color w:val="000000"/>
                <w:sz w:val="20"/>
                <w:szCs w:val="20"/>
                <w:lang w:eastAsia="en-US"/>
              </w:rPr>
              <w:t> </w:t>
            </w:r>
          </w:p>
        </w:tc>
      </w:tr>
      <w:tr w:rsidR="007C59EB" w:rsidRPr="007C59EB" w:rsidTr="007C59EB">
        <w:trPr>
          <w:trHeight w:val="300"/>
        </w:trPr>
        <w:tc>
          <w:tcPr>
            <w:tcW w:w="991" w:type="dxa"/>
            <w:tcBorders>
              <w:top w:val="nil"/>
              <w:left w:val="single" w:sz="8" w:space="0" w:color="auto"/>
              <w:bottom w:val="nil"/>
              <w:right w:val="nil"/>
            </w:tcBorders>
            <w:shd w:val="clear" w:color="auto" w:fill="auto"/>
            <w:noWrap/>
            <w:vAlign w:val="bottom"/>
            <w:hideMark/>
          </w:tcPr>
          <w:p w:rsidR="007C59EB" w:rsidRPr="007C59EB" w:rsidRDefault="00D937C0" w:rsidP="00D937C0">
            <w:pPr>
              <w:spacing w:after="0"/>
              <w:jc w:val="center"/>
              <w:rPr>
                <w:rFonts w:ascii="Calibri" w:eastAsia="Times New Roman" w:hAnsi="Calibri" w:cs="Times New Roman"/>
                <w:b/>
                <w:bCs/>
                <w:color w:val="000000"/>
                <w:sz w:val="20"/>
                <w:szCs w:val="20"/>
                <w:lang w:eastAsia="en-US"/>
              </w:rPr>
            </w:pPr>
            <w:r>
              <w:rPr>
                <w:rFonts w:ascii="Calibri" w:eastAsia="Times New Roman" w:hAnsi="Calibri" w:cs="Times New Roman"/>
                <w:b/>
                <w:bCs/>
                <w:color w:val="000000"/>
                <w:sz w:val="20"/>
                <w:szCs w:val="20"/>
                <w:lang w:eastAsia="en-US"/>
              </w:rPr>
              <w:t>&gt;95</w:t>
            </w:r>
          </w:p>
        </w:tc>
        <w:tc>
          <w:tcPr>
            <w:tcW w:w="1829" w:type="dxa"/>
            <w:tcBorders>
              <w:top w:val="nil"/>
              <w:left w:val="nil"/>
              <w:bottom w:val="nil"/>
              <w:right w:val="nil"/>
            </w:tcBorders>
            <w:shd w:val="clear" w:color="000000" w:fill="FFFF00"/>
            <w:noWrap/>
            <w:vAlign w:val="bottom"/>
            <w:hideMark/>
          </w:tcPr>
          <w:p w:rsidR="007C59EB" w:rsidRPr="007C59EB" w:rsidRDefault="007C59EB" w:rsidP="007C59EB">
            <w:pPr>
              <w:spacing w:after="0"/>
              <w:jc w:val="center"/>
              <w:rPr>
                <w:rFonts w:ascii="Calibri" w:eastAsia="Times New Roman" w:hAnsi="Calibri" w:cs="Times New Roman"/>
                <w:b/>
                <w:bCs/>
                <w:color w:val="000000"/>
                <w:sz w:val="20"/>
                <w:szCs w:val="20"/>
                <w:lang w:eastAsia="en-US"/>
              </w:rPr>
            </w:pPr>
            <w:r w:rsidRPr="007C59EB">
              <w:rPr>
                <w:rFonts w:ascii="Calibri" w:eastAsia="Times New Roman" w:hAnsi="Calibri" w:cs="Times New Roman"/>
                <w:b/>
                <w:bCs/>
                <w:color w:val="000000"/>
                <w:sz w:val="20"/>
                <w:szCs w:val="20"/>
                <w:lang w:eastAsia="en-US"/>
              </w:rPr>
              <w:t>13.90%</w:t>
            </w:r>
          </w:p>
        </w:tc>
        <w:tc>
          <w:tcPr>
            <w:tcW w:w="3451" w:type="dxa"/>
            <w:tcBorders>
              <w:top w:val="nil"/>
              <w:left w:val="nil"/>
              <w:bottom w:val="nil"/>
              <w:right w:val="nil"/>
            </w:tcBorders>
            <w:shd w:val="clear" w:color="auto" w:fill="auto"/>
            <w:noWrap/>
            <w:vAlign w:val="bottom"/>
            <w:hideMark/>
          </w:tcPr>
          <w:p w:rsidR="007C59EB" w:rsidRPr="007C59EB" w:rsidRDefault="007C59EB" w:rsidP="007C59EB">
            <w:pPr>
              <w:spacing w:after="0"/>
              <w:jc w:val="center"/>
              <w:rPr>
                <w:rFonts w:ascii="Calibri" w:eastAsia="Times New Roman" w:hAnsi="Calibri" w:cs="Times New Roman"/>
                <w:color w:val="000000"/>
                <w:sz w:val="20"/>
                <w:szCs w:val="20"/>
                <w:lang w:eastAsia="en-US"/>
              </w:rPr>
            </w:pPr>
            <w:r w:rsidRPr="007C59EB">
              <w:rPr>
                <w:rFonts w:ascii="Calibri" w:eastAsia="Times New Roman" w:hAnsi="Calibri" w:cs="Times New Roman"/>
                <w:color w:val="000000"/>
                <w:sz w:val="20"/>
                <w:szCs w:val="20"/>
                <w:lang w:eastAsia="en-US"/>
              </w:rPr>
              <w:t>37%</w:t>
            </w:r>
          </w:p>
        </w:tc>
        <w:tc>
          <w:tcPr>
            <w:tcW w:w="1921" w:type="dxa"/>
            <w:tcBorders>
              <w:top w:val="nil"/>
              <w:left w:val="nil"/>
              <w:bottom w:val="nil"/>
              <w:right w:val="nil"/>
            </w:tcBorders>
            <w:shd w:val="clear" w:color="000000" w:fill="66FF33"/>
            <w:noWrap/>
            <w:vAlign w:val="bottom"/>
            <w:hideMark/>
          </w:tcPr>
          <w:p w:rsidR="007C59EB" w:rsidRPr="007C59EB" w:rsidRDefault="007C59EB" w:rsidP="007C59EB">
            <w:pPr>
              <w:spacing w:after="0"/>
              <w:jc w:val="center"/>
              <w:rPr>
                <w:rFonts w:ascii="Calibri" w:eastAsia="Times New Roman" w:hAnsi="Calibri" w:cs="Times New Roman"/>
                <w:b/>
                <w:bCs/>
                <w:color w:val="000000"/>
                <w:sz w:val="20"/>
                <w:szCs w:val="20"/>
                <w:lang w:eastAsia="en-US"/>
              </w:rPr>
            </w:pPr>
            <w:r w:rsidRPr="007C59EB">
              <w:rPr>
                <w:rFonts w:ascii="Calibri" w:eastAsia="Times New Roman" w:hAnsi="Calibri" w:cs="Times New Roman"/>
                <w:b/>
                <w:bCs/>
                <w:color w:val="000000"/>
                <w:sz w:val="20"/>
                <w:szCs w:val="20"/>
                <w:lang w:eastAsia="en-US"/>
              </w:rPr>
              <w:t>37.21%</w:t>
            </w:r>
          </w:p>
        </w:tc>
        <w:tc>
          <w:tcPr>
            <w:tcW w:w="262" w:type="dxa"/>
            <w:tcBorders>
              <w:top w:val="nil"/>
              <w:left w:val="nil"/>
              <w:bottom w:val="nil"/>
              <w:right w:val="single" w:sz="8" w:space="0" w:color="auto"/>
            </w:tcBorders>
            <w:shd w:val="clear" w:color="auto" w:fill="auto"/>
            <w:noWrap/>
            <w:vAlign w:val="bottom"/>
            <w:hideMark/>
          </w:tcPr>
          <w:p w:rsidR="007C59EB" w:rsidRPr="007C59EB" w:rsidRDefault="007C59EB" w:rsidP="007C59EB">
            <w:pPr>
              <w:spacing w:after="0"/>
              <w:rPr>
                <w:rFonts w:ascii="Calibri" w:eastAsia="Times New Roman" w:hAnsi="Calibri" w:cs="Times New Roman"/>
                <w:color w:val="000000"/>
                <w:sz w:val="20"/>
                <w:szCs w:val="20"/>
                <w:lang w:eastAsia="en-US"/>
              </w:rPr>
            </w:pPr>
            <w:r w:rsidRPr="007C59EB">
              <w:rPr>
                <w:rFonts w:ascii="Calibri" w:eastAsia="Times New Roman" w:hAnsi="Calibri" w:cs="Times New Roman"/>
                <w:color w:val="000000"/>
                <w:sz w:val="20"/>
                <w:szCs w:val="20"/>
                <w:lang w:eastAsia="en-US"/>
              </w:rPr>
              <w:t> </w:t>
            </w:r>
          </w:p>
        </w:tc>
      </w:tr>
      <w:tr w:rsidR="007C59EB" w:rsidRPr="007C59EB" w:rsidTr="007C59EB">
        <w:trPr>
          <w:trHeight w:val="300"/>
        </w:trPr>
        <w:tc>
          <w:tcPr>
            <w:tcW w:w="991" w:type="dxa"/>
            <w:tcBorders>
              <w:top w:val="nil"/>
              <w:left w:val="single" w:sz="8" w:space="0" w:color="auto"/>
              <w:bottom w:val="nil"/>
              <w:right w:val="nil"/>
            </w:tcBorders>
            <w:shd w:val="clear" w:color="auto" w:fill="auto"/>
            <w:noWrap/>
            <w:vAlign w:val="bottom"/>
            <w:hideMark/>
          </w:tcPr>
          <w:p w:rsidR="007C59EB" w:rsidRPr="007C59EB" w:rsidRDefault="007C59EB" w:rsidP="007C59EB">
            <w:pPr>
              <w:spacing w:after="0"/>
              <w:jc w:val="center"/>
              <w:rPr>
                <w:rFonts w:ascii="Calibri" w:eastAsia="Times New Roman" w:hAnsi="Calibri" w:cs="Times New Roman"/>
                <w:b/>
                <w:bCs/>
                <w:color w:val="000000"/>
                <w:sz w:val="20"/>
                <w:szCs w:val="20"/>
                <w:lang w:eastAsia="en-US"/>
              </w:rPr>
            </w:pPr>
            <w:r w:rsidRPr="007C59EB">
              <w:rPr>
                <w:rFonts w:ascii="Calibri" w:eastAsia="Times New Roman" w:hAnsi="Calibri" w:cs="Times New Roman"/>
                <w:b/>
                <w:bCs/>
                <w:color w:val="000000"/>
                <w:sz w:val="20"/>
                <w:szCs w:val="20"/>
                <w:lang w:eastAsia="en-US"/>
              </w:rPr>
              <w:t> </w:t>
            </w:r>
          </w:p>
        </w:tc>
        <w:tc>
          <w:tcPr>
            <w:tcW w:w="1829" w:type="dxa"/>
            <w:tcBorders>
              <w:top w:val="nil"/>
              <w:left w:val="nil"/>
              <w:bottom w:val="nil"/>
              <w:right w:val="nil"/>
            </w:tcBorders>
            <w:shd w:val="clear" w:color="auto" w:fill="auto"/>
            <w:noWrap/>
            <w:vAlign w:val="bottom"/>
            <w:hideMark/>
          </w:tcPr>
          <w:p w:rsidR="007C59EB" w:rsidRPr="007C59EB" w:rsidRDefault="007C59EB" w:rsidP="007C59EB">
            <w:pPr>
              <w:spacing w:after="0"/>
              <w:rPr>
                <w:rFonts w:ascii="Cambria" w:eastAsia="Times New Roman" w:hAnsi="Cambria" w:cs="Times New Roman"/>
                <w:color w:val="000000"/>
                <w:sz w:val="20"/>
                <w:szCs w:val="20"/>
                <w:lang w:eastAsia="en-US"/>
              </w:rPr>
            </w:pPr>
          </w:p>
        </w:tc>
        <w:tc>
          <w:tcPr>
            <w:tcW w:w="3451" w:type="dxa"/>
            <w:tcBorders>
              <w:top w:val="nil"/>
              <w:left w:val="nil"/>
              <w:bottom w:val="nil"/>
              <w:right w:val="nil"/>
            </w:tcBorders>
            <w:shd w:val="clear" w:color="auto" w:fill="auto"/>
            <w:noWrap/>
            <w:vAlign w:val="bottom"/>
            <w:hideMark/>
          </w:tcPr>
          <w:p w:rsidR="007C59EB" w:rsidRPr="007C59EB" w:rsidRDefault="007C59EB" w:rsidP="007C59EB">
            <w:pPr>
              <w:spacing w:after="0"/>
              <w:rPr>
                <w:rFonts w:ascii="Cambria" w:eastAsia="Times New Roman" w:hAnsi="Cambria" w:cs="Times New Roman"/>
                <w:color w:val="000000"/>
                <w:sz w:val="20"/>
                <w:szCs w:val="20"/>
                <w:lang w:eastAsia="en-US"/>
              </w:rPr>
            </w:pPr>
          </w:p>
        </w:tc>
        <w:tc>
          <w:tcPr>
            <w:tcW w:w="1921" w:type="dxa"/>
            <w:tcBorders>
              <w:top w:val="nil"/>
              <w:left w:val="nil"/>
              <w:bottom w:val="nil"/>
              <w:right w:val="nil"/>
            </w:tcBorders>
            <w:shd w:val="clear" w:color="auto" w:fill="auto"/>
            <w:noWrap/>
            <w:vAlign w:val="bottom"/>
            <w:hideMark/>
          </w:tcPr>
          <w:p w:rsidR="007C59EB" w:rsidRPr="007C59EB" w:rsidRDefault="007C59EB" w:rsidP="007C59EB">
            <w:pPr>
              <w:spacing w:after="0"/>
              <w:rPr>
                <w:rFonts w:ascii="Cambria" w:eastAsia="Times New Roman" w:hAnsi="Cambria" w:cs="Times New Roman"/>
                <w:color w:val="000000"/>
                <w:sz w:val="20"/>
                <w:szCs w:val="20"/>
                <w:lang w:eastAsia="en-US"/>
              </w:rPr>
            </w:pPr>
          </w:p>
        </w:tc>
        <w:tc>
          <w:tcPr>
            <w:tcW w:w="262" w:type="dxa"/>
            <w:tcBorders>
              <w:top w:val="nil"/>
              <w:left w:val="nil"/>
              <w:bottom w:val="nil"/>
              <w:right w:val="single" w:sz="8" w:space="0" w:color="auto"/>
            </w:tcBorders>
            <w:shd w:val="clear" w:color="auto" w:fill="auto"/>
            <w:noWrap/>
            <w:vAlign w:val="bottom"/>
            <w:hideMark/>
          </w:tcPr>
          <w:p w:rsidR="007C59EB" w:rsidRPr="007C59EB" w:rsidRDefault="007C59EB" w:rsidP="007C59EB">
            <w:pPr>
              <w:spacing w:after="0"/>
              <w:rPr>
                <w:rFonts w:ascii="Calibri" w:eastAsia="Times New Roman" w:hAnsi="Calibri" w:cs="Times New Roman"/>
                <w:color w:val="000000"/>
                <w:sz w:val="20"/>
                <w:szCs w:val="20"/>
                <w:lang w:eastAsia="en-US"/>
              </w:rPr>
            </w:pPr>
            <w:r w:rsidRPr="007C59EB">
              <w:rPr>
                <w:rFonts w:ascii="Calibri" w:eastAsia="Times New Roman" w:hAnsi="Calibri" w:cs="Times New Roman"/>
                <w:color w:val="000000"/>
                <w:sz w:val="20"/>
                <w:szCs w:val="20"/>
                <w:lang w:eastAsia="en-US"/>
              </w:rPr>
              <w:t> </w:t>
            </w:r>
          </w:p>
        </w:tc>
      </w:tr>
      <w:tr w:rsidR="007C59EB" w:rsidRPr="007C59EB" w:rsidTr="007C59EB">
        <w:trPr>
          <w:trHeight w:val="300"/>
        </w:trPr>
        <w:tc>
          <w:tcPr>
            <w:tcW w:w="991" w:type="dxa"/>
            <w:tcBorders>
              <w:top w:val="nil"/>
              <w:left w:val="single" w:sz="8" w:space="0" w:color="auto"/>
              <w:bottom w:val="nil"/>
              <w:right w:val="nil"/>
            </w:tcBorders>
            <w:shd w:val="clear" w:color="auto" w:fill="auto"/>
            <w:noWrap/>
            <w:vAlign w:val="bottom"/>
            <w:hideMark/>
          </w:tcPr>
          <w:p w:rsidR="007C59EB" w:rsidRPr="007C59EB" w:rsidRDefault="007C59EB" w:rsidP="007C59EB">
            <w:pPr>
              <w:spacing w:after="0"/>
              <w:rPr>
                <w:rFonts w:ascii="Calibri" w:eastAsia="Times New Roman" w:hAnsi="Calibri" w:cs="Times New Roman"/>
                <w:color w:val="000000"/>
                <w:sz w:val="20"/>
                <w:szCs w:val="20"/>
                <w:lang w:eastAsia="en-US"/>
              </w:rPr>
            </w:pPr>
            <w:r w:rsidRPr="007C59EB">
              <w:rPr>
                <w:rFonts w:ascii="Calibri" w:eastAsia="Times New Roman" w:hAnsi="Calibri" w:cs="Times New Roman"/>
                <w:color w:val="000000"/>
                <w:sz w:val="20"/>
                <w:szCs w:val="20"/>
                <w:lang w:eastAsia="en-US"/>
              </w:rPr>
              <w:t> </w:t>
            </w:r>
          </w:p>
        </w:tc>
        <w:tc>
          <w:tcPr>
            <w:tcW w:w="1829" w:type="dxa"/>
            <w:tcBorders>
              <w:top w:val="nil"/>
              <w:left w:val="nil"/>
              <w:bottom w:val="nil"/>
              <w:right w:val="nil"/>
            </w:tcBorders>
            <w:shd w:val="clear" w:color="auto" w:fill="auto"/>
            <w:noWrap/>
            <w:vAlign w:val="bottom"/>
            <w:hideMark/>
          </w:tcPr>
          <w:p w:rsidR="007C59EB" w:rsidRPr="007C59EB" w:rsidRDefault="007C59EB" w:rsidP="007C59EB">
            <w:pPr>
              <w:spacing w:after="0"/>
              <w:jc w:val="center"/>
              <w:rPr>
                <w:rFonts w:ascii="Calibri" w:eastAsia="Times New Roman" w:hAnsi="Calibri" w:cs="Times New Roman"/>
                <w:b/>
                <w:bCs/>
                <w:color w:val="000000"/>
                <w:sz w:val="20"/>
                <w:szCs w:val="20"/>
                <w:u w:val="single"/>
                <w:lang w:eastAsia="en-US"/>
              </w:rPr>
            </w:pPr>
            <w:r w:rsidRPr="007C59EB">
              <w:rPr>
                <w:rFonts w:ascii="Calibri" w:eastAsia="Times New Roman" w:hAnsi="Calibri" w:cs="Times New Roman"/>
                <w:b/>
                <w:bCs/>
                <w:color w:val="000000"/>
                <w:sz w:val="20"/>
                <w:szCs w:val="20"/>
                <w:u w:val="single"/>
                <w:lang w:eastAsia="en-US"/>
              </w:rPr>
              <w:t>Avg. Benefits Paid</w:t>
            </w:r>
          </w:p>
        </w:tc>
        <w:tc>
          <w:tcPr>
            <w:tcW w:w="3451" w:type="dxa"/>
            <w:tcBorders>
              <w:top w:val="nil"/>
              <w:left w:val="nil"/>
              <w:bottom w:val="nil"/>
              <w:right w:val="nil"/>
            </w:tcBorders>
            <w:shd w:val="clear" w:color="auto" w:fill="auto"/>
            <w:noWrap/>
            <w:vAlign w:val="bottom"/>
            <w:hideMark/>
          </w:tcPr>
          <w:p w:rsidR="007C59EB" w:rsidRPr="007C59EB" w:rsidRDefault="007C59EB" w:rsidP="007C59EB">
            <w:pPr>
              <w:spacing w:after="0"/>
              <w:rPr>
                <w:rFonts w:ascii="Cambria" w:eastAsia="Times New Roman" w:hAnsi="Cambria" w:cs="Times New Roman"/>
                <w:color w:val="000000"/>
                <w:sz w:val="20"/>
                <w:szCs w:val="20"/>
                <w:lang w:eastAsia="en-US"/>
              </w:rPr>
            </w:pPr>
          </w:p>
        </w:tc>
        <w:tc>
          <w:tcPr>
            <w:tcW w:w="1921" w:type="dxa"/>
            <w:tcBorders>
              <w:top w:val="nil"/>
              <w:left w:val="nil"/>
              <w:bottom w:val="nil"/>
              <w:right w:val="nil"/>
            </w:tcBorders>
            <w:shd w:val="clear" w:color="auto" w:fill="auto"/>
            <w:noWrap/>
            <w:vAlign w:val="bottom"/>
            <w:hideMark/>
          </w:tcPr>
          <w:p w:rsidR="007C59EB" w:rsidRPr="007C59EB" w:rsidRDefault="001A0478" w:rsidP="001A0478">
            <w:pPr>
              <w:spacing w:after="0"/>
              <w:jc w:val="center"/>
              <w:rPr>
                <w:rFonts w:ascii="Calibri" w:eastAsia="Times New Roman" w:hAnsi="Calibri" w:cs="Times New Roman"/>
                <w:b/>
                <w:bCs/>
                <w:color w:val="000000"/>
                <w:sz w:val="20"/>
                <w:szCs w:val="20"/>
                <w:u w:val="single"/>
                <w:lang w:eastAsia="en-US"/>
              </w:rPr>
            </w:pPr>
            <w:r>
              <w:rPr>
                <w:rFonts w:ascii="Calibri" w:eastAsia="Times New Roman" w:hAnsi="Calibri" w:cs="Times New Roman"/>
                <w:b/>
                <w:bCs/>
                <w:color w:val="000000"/>
                <w:sz w:val="20"/>
                <w:szCs w:val="20"/>
                <w:u w:val="single"/>
                <w:lang w:eastAsia="en-US"/>
              </w:rPr>
              <w:t>One</w:t>
            </w:r>
            <w:r w:rsidR="007C59EB" w:rsidRPr="007C59EB">
              <w:rPr>
                <w:rFonts w:ascii="Calibri" w:eastAsia="Times New Roman" w:hAnsi="Calibri" w:cs="Times New Roman"/>
                <w:b/>
                <w:bCs/>
                <w:color w:val="000000"/>
                <w:sz w:val="20"/>
                <w:szCs w:val="20"/>
                <w:u w:val="single"/>
                <w:lang w:eastAsia="en-US"/>
              </w:rPr>
              <w:t xml:space="preserve"> Book Avg. FF</w:t>
            </w:r>
          </w:p>
        </w:tc>
        <w:tc>
          <w:tcPr>
            <w:tcW w:w="262" w:type="dxa"/>
            <w:tcBorders>
              <w:top w:val="nil"/>
              <w:left w:val="nil"/>
              <w:bottom w:val="nil"/>
              <w:right w:val="single" w:sz="8" w:space="0" w:color="auto"/>
            </w:tcBorders>
            <w:shd w:val="clear" w:color="auto" w:fill="auto"/>
            <w:noWrap/>
            <w:vAlign w:val="bottom"/>
            <w:hideMark/>
          </w:tcPr>
          <w:p w:rsidR="007C59EB" w:rsidRPr="007C59EB" w:rsidRDefault="007C59EB" w:rsidP="007C59EB">
            <w:pPr>
              <w:spacing w:after="0"/>
              <w:rPr>
                <w:rFonts w:ascii="Calibri" w:eastAsia="Times New Roman" w:hAnsi="Calibri" w:cs="Times New Roman"/>
                <w:color w:val="000000"/>
                <w:sz w:val="20"/>
                <w:szCs w:val="20"/>
                <w:lang w:eastAsia="en-US"/>
              </w:rPr>
            </w:pPr>
            <w:r w:rsidRPr="007C59EB">
              <w:rPr>
                <w:rFonts w:ascii="Calibri" w:eastAsia="Times New Roman" w:hAnsi="Calibri" w:cs="Times New Roman"/>
                <w:color w:val="000000"/>
                <w:sz w:val="20"/>
                <w:szCs w:val="20"/>
                <w:lang w:eastAsia="en-US"/>
              </w:rPr>
              <w:t> </w:t>
            </w:r>
          </w:p>
        </w:tc>
      </w:tr>
      <w:tr w:rsidR="007C59EB" w:rsidRPr="007C59EB" w:rsidTr="007C59EB">
        <w:trPr>
          <w:trHeight w:val="300"/>
        </w:trPr>
        <w:tc>
          <w:tcPr>
            <w:tcW w:w="991" w:type="dxa"/>
            <w:tcBorders>
              <w:top w:val="nil"/>
              <w:left w:val="single" w:sz="8" w:space="0" w:color="auto"/>
              <w:bottom w:val="nil"/>
              <w:right w:val="nil"/>
            </w:tcBorders>
            <w:shd w:val="clear" w:color="auto" w:fill="auto"/>
            <w:noWrap/>
            <w:vAlign w:val="bottom"/>
            <w:hideMark/>
          </w:tcPr>
          <w:p w:rsidR="007C59EB" w:rsidRPr="007C59EB" w:rsidRDefault="007C59EB" w:rsidP="007C59EB">
            <w:pPr>
              <w:spacing w:after="0"/>
              <w:jc w:val="center"/>
              <w:rPr>
                <w:rFonts w:ascii="Calibri" w:eastAsia="Times New Roman" w:hAnsi="Calibri" w:cs="Times New Roman"/>
                <w:b/>
                <w:bCs/>
                <w:color w:val="000000"/>
                <w:sz w:val="20"/>
                <w:szCs w:val="20"/>
                <w:lang w:eastAsia="en-US"/>
              </w:rPr>
            </w:pPr>
            <w:r w:rsidRPr="007C59EB">
              <w:rPr>
                <w:rFonts w:ascii="Calibri" w:eastAsia="Times New Roman" w:hAnsi="Calibri" w:cs="Times New Roman"/>
                <w:b/>
                <w:bCs/>
                <w:color w:val="000000"/>
                <w:sz w:val="20"/>
                <w:szCs w:val="20"/>
                <w:lang w:eastAsia="en-US"/>
              </w:rPr>
              <w:t>85</w:t>
            </w:r>
          </w:p>
        </w:tc>
        <w:tc>
          <w:tcPr>
            <w:tcW w:w="1829" w:type="dxa"/>
            <w:tcBorders>
              <w:top w:val="nil"/>
              <w:left w:val="nil"/>
              <w:bottom w:val="nil"/>
              <w:right w:val="nil"/>
            </w:tcBorders>
            <w:shd w:val="clear" w:color="auto" w:fill="auto"/>
            <w:noWrap/>
            <w:vAlign w:val="bottom"/>
            <w:hideMark/>
          </w:tcPr>
          <w:p w:rsidR="007C59EB" w:rsidRPr="007C59EB" w:rsidRDefault="007C59EB" w:rsidP="007C59EB">
            <w:pPr>
              <w:spacing w:after="0"/>
              <w:jc w:val="center"/>
              <w:rPr>
                <w:rFonts w:ascii="Calibri" w:eastAsia="Times New Roman" w:hAnsi="Calibri" w:cs="Times New Roman"/>
                <w:color w:val="000000"/>
                <w:sz w:val="20"/>
                <w:szCs w:val="20"/>
                <w:lang w:eastAsia="en-US"/>
              </w:rPr>
            </w:pPr>
            <w:r w:rsidRPr="007C59EB">
              <w:rPr>
                <w:rFonts w:ascii="Calibri" w:eastAsia="Times New Roman" w:hAnsi="Calibri" w:cs="Times New Roman"/>
                <w:color w:val="000000"/>
                <w:sz w:val="20"/>
                <w:szCs w:val="20"/>
                <w:lang w:eastAsia="en-US"/>
              </w:rPr>
              <w:t>0.28%</w:t>
            </w:r>
          </w:p>
        </w:tc>
        <w:tc>
          <w:tcPr>
            <w:tcW w:w="3451" w:type="dxa"/>
            <w:tcBorders>
              <w:top w:val="nil"/>
              <w:left w:val="nil"/>
              <w:bottom w:val="nil"/>
              <w:right w:val="nil"/>
            </w:tcBorders>
            <w:shd w:val="clear" w:color="auto" w:fill="auto"/>
            <w:noWrap/>
            <w:vAlign w:val="bottom"/>
            <w:hideMark/>
          </w:tcPr>
          <w:p w:rsidR="007C59EB" w:rsidRPr="007C59EB" w:rsidRDefault="007C59EB" w:rsidP="007C59EB">
            <w:pPr>
              <w:spacing w:after="0"/>
              <w:rPr>
                <w:rFonts w:ascii="Cambria" w:eastAsia="Times New Roman" w:hAnsi="Cambria" w:cs="Times New Roman"/>
                <w:color w:val="000000"/>
                <w:sz w:val="20"/>
                <w:szCs w:val="20"/>
                <w:lang w:eastAsia="en-US"/>
              </w:rPr>
            </w:pPr>
          </w:p>
        </w:tc>
        <w:tc>
          <w:tcPr>
            <w:tcW w:w="1921" w:type="dxa"/>
            <w:tcBorders>
              <w:top w:val="nil"/>
              <w:left w:val="nil"/>
              <w:bottom w:val="nil"/>
              <w:right w:val="nil"/>
            </w:tcBorders>
            <w:shd w:val="clear" w:color="auto" w:fill="auto"/>
            <w:noWrap/>
            <w:vAlign w:val="bottom"/>
            <w:hideMark/>
          </w:tcPr>
          <w:p w:rsidR="007C59EB" w:rsidRPr="007C59EB" w:rsidRDefault="007C59EB" w:rsidP="007C59EB">
            <w:pPr>
              <w:spacing w:after="0"/>
              <w:jc w:val="center"/>
              <w:rPr>
                <w:rFonts w:ascii="Calibri" w:eastAsia="Times New Roman" w:hAnsi="Calibri" w:cs="Times New Roman"/>
                <w:b/>
                <w:bCs/>
                <w:color w:val="000000"/>
                <w:sz w:val="20"/>
                <w:szCs w:val="20"/>
                <w:lang w:eastAsia="en-US"/>
              </w:rPr>
            </w:pPr>
            <w:r w:rsidRPr="007C59EB">
              <w:rPr>
                <w:rFonts w:ascii="Calibri" w:eastAsia="Times New Roman" w:hAnsi="Calibri" w:cs="Times New Roman"/>
                <w:b/>
                <w:bCs/>
                <w:color w:val="000000"/>
                <w:sz w:val="20"/>
                <w:szCs w:val="20"/>
                <w:lang w:eastAsia="en-US"/>
              </w:rPr>
              <w:t>1.90%</w:t>
            </w:r>
          </w:p>
        </w:tc>
        <w:tc>
          <w:tcPr>
            <w:tcW w:w="262" w:type="dxa"/>
            <w:tcBorders>
              <w:top w:val="nil"/>
              <w:left w:val="nil"/>
              <w:bottom w:val="nil"/>
              <w:right w:val="single" w:sz="8" w:space="0" w:color="auto"/>
            </w:tcBorders>
            <w:shd w:val="clear" w:color="auto" w:fill="auto"/>
            <w:noWrap/>
            <w:vAlign w:val="bottom"/>
            <w:hideMark/>
          </w:tcPr>
          <w:p w:rsidR="007C59EB" w:rsidRPr="007C59EB" w:rsidRDefault="007C59EB" w:rsidP="007C59EB">
            <w:pPr>
              <w:spacing w:after="0"/>
              <w:rPr>
                <w:rFonts w:ascii="Calibri" w:eastAsia="Times New Roman" w:hAnsi="Calibri" w:cs="Times New Roman"/>
                <w:color w:val="000000"/>
                <w:sz w:val="20"/>
                <w:szCs w:val="20"/>
                <w:lang w:eastAsia="en-US"/>
              </w:rPr>
            </w:pPr>
            <w:r w:rsidRPr="007C59EB">
              <w:rPr>
                <w:rFonts w:ascii="Calibri" w:eastAsia="Times New Roman" w:hAnsi="Calibri" w:cs="Times New Roman"/>
                <w:color w:val="000000"/>
                <w:sz w:val="20"/>
                <w:szCs w:val="20"/>
                <w:lang w:eastAsia="en-US"/>
              </w:rPr>
              <w:t> </w:t>
            </w:r>
          </w:p>
        </w:tc>
      </w:tr>
      <w:tr w:rsidR="007C59EB" w:rsidRPr="007C59EB" w:rsidTr="007C59EB">
        <w:trPr>
          <w:trHeight w:val="300"/>
        </w:trPr>
        <w:tc>
          <w:tcPr>
            <w:tcW w:w="991" w:type="dxa"/>
            <w:tcBorders>
              <w:top w:val="nil"/>
              <w:left w:val="single" w:sz="8" w:space="0" w:color="auto"/>
              <w:bottom w:val="nil"/>
              <w:right w:val="nil"/>
            </w:tcBorders>
            <w:shd w:val="clear" w:color="auto" w:fill="auto"/>
            <w:noWrap/>
            <w:vAlign w:val="bottom"/>
            <w:hideMark/>
          </w:tcPr>
          <w:p w:rsidR="007C59EB" w:rsidRPr="007C59EB" w:rsidRDefault="007C59EB" w:rsidP="007C59EB">
            <w:pPr>
              <w:spacing w:after="0"/>
              <w:jc w:val="center"/>
              <w:rPr>
                <w:rFonts w:ascii="Calibri" w:eastAsia="Times New Roman" w:hAnsi="Calibri" w:cs="Times New Roman"/>
                <w:b/>
                <w:bCs/>
                <w:color w:val="000000"/>
                <w:sz w:val="20"/>
                <w:szCs w:val="20"/>
                <w:lang w:eastAsia="en-US"/>
              </w:rPr>
            </w:pPr>
            <w:r w:rsidRPr="007C59EB">
              <w:rPr>
                <w:rFonts w:ascii="Calibri" w:eastAsia="Times New Roman" w:hAnsi="Calibri" w:cs="Times New Roman"/>
                <w:b/>
                <w:bCs/>
                <w:color w:val="000000"/>
                <w:sz w:val="20"/>
                <w:szCs w:val="20"/>
                <w:lang w:eastAsia="en-US"/>
              </w:rPr>
              <w:t>90</w:t>
            </w:r>
          </w:p>
        </w:tc>
        <w:tc>
          <w:tcPr>
            <w:tcW w:w="1829" w:type="dxa"/>
            <w:tcBorders>
              <w:top w:val="nil"/>
              <w:left w:val="nil"/>
              <w:bottom w:val="nil"/>
              <w:right w:val="nil"/>
            </w:tcBorders>
            <w:shd w:val="clear" w:color="auto" w:fill="auto"/>
            <w:noWrap/>
            <w:vAlign w:val="bottom"/>
            <w:hideMark/>
          </w:tcPr>
          <w:p w:rsidR="007C59EB" w:rsidRPr="007C59EB" w:rsidRDefault="007C59EB" w:rsidP="007C59EB">
            <w:pPr>
              <w:spacing w:after="0"/>
              <w:jc w:val="center"/>
              <w:rPr>
                <w:rFonts w:ascii="Calibri" w:eastAsia="Times New Roman" w:hAnsi="Calibri" w:cs="Times New Roman"/>
                <w:color w:val="000000"/>
                <w:sz w:val="20"/>
                <w:szCs w:val="20"/>
                <w:lang w:eastAsia="en-US"/>
              </w:rPr>
            </w:pPr>
            <w:r w:rsidRPr="007C59EB">
              <w:rPr>
                <w:rFonts w:ascii="Calibri" w:eastAsia="Times New Roman" w:hAnsi="Calibri" w:cs="Times New Roman"/>
                <w:color w:val="000000"/>
                <w:sz w:val="20"/>
                <w:szCs w:val="20"/>
                <w:lang w:eastAsia="en-US"/>
              </w:rPr>
              <w:t>0.90%</w:t>
            </w:r>
          </w:p>
        </w:tc>
        <w:tc>
          <w:tcPr>
            <w:tcW w:w="3451" w:type="dxa"/>
            <w:tcBorders>
              <w:top w:val="nil"/>
              <w:left w:val="nil"/>
              <w:bottom w:val="nil"/>
              <w:right w:val="nil"/>
            </w:tcBorders>
            <w:shd w:val="clear" w:color="auto" w:fill="auto"/>
            <w:noWrap/>
            <w:vAlign w:val="bottom"/>
            <w:hideMark/>
          </w:tcPr>
          <w:p w:rsidR="007C59EB" w:rsidRPr="007C59EB" w:rsidRDefault="007C59EB" w:rsidP="007C59EB">
            <w:pPr>
              <w:spacing w:after="0"/>
              <w:rPr>
                <w:rFonts w:ascii="Cambria" w:eastAsia="Times New Roman" w:hAnsi="Cambria" w:cs="Times New Roman"/>
                <w:color w:val="000000"/>
                <w:sz w:val="20"/>
                <w:szCs w:val="20"/>
                <w:lang w:eastAsia="en-US"/>
              </w:rPr>
            </w:pPr>
          </w:p>
        </w:tc>
        <w:tc>
          <w:tcPr>
            <w:tcW w:w="1921" w:type="dxa"/>
            <w:tcBorders>
              <w:top w:val="nil"/>
              <w:left w:val="nil"/>
              <w:bottom w:val="nil"/>
              <w:right w:val="nil"/>
            </w:tcBorders>
            <w:shd w:val="clear" w:color="auto" w:fill="auto"/>
            <w:noWrap/>
            <w:vAlign w:val="bottom"/>
            <w:hideMark/>
          </w:tcPr>
          <w:p w:rsidR="007C59EB" w:rsidRPr="007C59EB" w:rsidRDefault="007C59EB" w:rsidP="007C59EB">
            <w:pPr>
              <w:spacing w:after="0"/>
              <w:jc w:val="center"/>
              <w:rPr>
                <w:rFonts w:ascii="Calibri" w:eastAsia="Times New Roman" w:hAnsi="Calibri" w:cs="Times New Roman"/>
                <w:color w:val="000000"/>
                <w:sz w:val="20"/>
                <w:szCs w:val="20"/>
                <w:lang w:eastAsia="en-US"/>
              </w:rPr>
            </w:pPr>
            <w:r w:rsidRPr="007C59EB">
              <w:rPr>
                <w:rFonts w:ascii="Calibri" w:eastAsia="Times New Roman" w:hAnsi="Calibri" w:cs="Times New Roman"/>
                <w:color w:val="000000"/>
                <w:sz w:val="20"/>
                <w:szCs w:val="20"/>
                <w:lang w:eastAsia="en-US"/>
              </w:rPr>
              <w:t>3.00%</w:t>
            </w:r>
          </w:p>
        </w:tc>
        <w:tc>
          <w:tcPr>
            <w:tcW w:w="262" w:type="dxa"/>
            <w:tcBorders>
              <w:top w:val="nil"/>
              <w:left w:val="nil"/>
              <w:bottom w:val="nil"/>
              <w:right w:val="single" w:sz="8" w:space="0" w:color="auto"/>
            </w:tcBorders>
            <w:shd w:val="clear" w:color="auto" w:fill="auto"/>
            <w:noWrap/>
            <w:vAlign w:val="bottom"/>
            <w:hideMark/>
          </w:tcPr>
          <w:p w:rsidR="007C59EB" w:rsidRPr="007C59EB" w:rsidRDefault="007C59EB" w:rsidP="007C59EB">
            <w:pPr>
              <w:spacing w:after="0"/>
              <w:rPr>
                <w:rFonts w:ascii="Calibri" w:eastAsia="Times New Roman" w:hAnsi="Calibri" w:cs="Times New Roman"/>
                <w:color w:val="000000"/>
                <w:sz w:val="20"/>
                <w:szCs w:val="20"/>
                <w:lang w:eastAsia="en-US"/>
              </w:rPr>
            </w:pPr>
            <w:r w:rsidRPr="007C59EB">
              <w:rPr>
                <w:rFonts w:ascii="Calibri" w:eastAsia="Times New Roman" w:hAnsi="Calibri" w:cs="Times New Roman"/>
                <w:color w:val="000000"/>
                <w:sz w:val="20"/>
                <w:szCs w:val="20"/>
                <w:lang w:eastAsia="en-US"/>
              </w:rPr>
              <w:t> </w:t>
            </w:r>
          </w:p>
        </w:tc>
      </w:tr>
      <w:tr w:rsidR="007C59EB" w:rsidRPr="007C59EB" w:rsidTr="007C59EB">
        <w:trPr>
          <w:trHeight w:val="300"/>
        </w:trPr>
        <w:tc>
          <w:tcPr>
            <w:tcW w:w="991" w:type="dxa"/>
            <w:tcBorders>
              <w:top w:val="nil"/>
              <w:left w:val="single" w:sz="8" w:space="0" w:color="auto"/>
              <w:bottom w:val="nil"/>
              <w:right w:val="nil"/>
            </w:tcBorders>
            <w:shd w:val="clear" w:color="auto" w:fill="auto"/>
            <w:noWrap/>
            <w:vAlign w:val="bottom"/>
            <w:hideMark/>
          </w:tcPr>
          <w:p w:rsidR="007C59EB" w:rsidRPr="007C59EB" w:rsidRDefault="007C59EB" w:rsidP="007C59EB">
            <w:pPr>
              <w:spacing w:after="0"/>
              <w:jc w:val="center"/>
              <w:rPr>
                <w:rFonts w:ascii="Calibri" w:eastAsia="Times New Roman" w:hAnsi="Calibri" w:cs="Times New Roman"/>
                <w:b/>
                <w:bCs/>
                <w:color w:val="000000"/>
                <w:sz w:val="20"/>
                <w:szCs w:val="20"/>
                <w:lang w:eastAsia="en-US"/>
              </w:rPr>
            </w:pPr>
            <w:r w:rsidRPr="007C59EB">
              <w:rPr>
                <w:rFonts w:ascii="Calibri" w:eastAsia="Times New Roman" w:hAnsi="Calibri" w:cs="Times New Roman"/>
                <w:b/>
                <w:bCs/>
                <w:color w:val="000000"/>
                <w:sz w:val="20"/>
                <w:szCs w:val="20"/>
                <w:lang w:eastAsia="en-US"/>
              </w:rPr>
              <w:t>95</w:t>
            </w:r>
          </w:p>
        </w:tc>
        <w:tc>
          <w:tcPr>
            <w:tcW w:w="1829" w:type="dxa"/>
            <w:tcBorders>
              <w:top w:val="nil"/>
              <w:left w:val="nil"/>
              <w:bottom w:val="nil"/>
              <w:right w:val="nil"/>
            </w:tcBorders>
            <w:shd w:val="clear" w:color="auto" w:fill="auto"/>
            <w:noWrap/>
            <w:vAlign w:val="bottom"/>
            <w:hideMark/>
          </w:tcPr>
          <w:p w:rsidR="007C59EB" w:rsidRPr="007C59EB" w:rsidRDefault="007C59EB" w:rsidP="007C59EB">
            <w:pPr>
              <w:spacing w:after="0"/>
              <w:jc w:val="center"/>
              <w:rPr>
                <w:rFonts w:ascii="Calibri" w:eastAsia="Times New Roman" w:hAnsi="Calibri" w:cs="Times New Roman"/>
                <w:color w:val="000000"/>
                <w:sz w:val="20"/>
                <w:szCs w:val="20"/>
                <w:lang w:eastAsia="en-US"/>
              </w:rPr>
            </w:pPr>
            <w:r w:rsidRPr="007C59EB">
              <w:rPr>
                <w:rFonts w:ascii="Calibri" w:eastAsia="Times New Roman" w:hAnsi="Calibri" w:cs="Times New Roman"/>
                <w:color w:val="000000"/>
                <w:sz w:val="20"/>
                <w:szCs w:val="20"/>
                <w:lang w:eastAsia="en-US"/>
              </w:rPr>
              <w:t>2.00%</w:t>
            </w:r>
          </w:p>
        </w:tc>
        <w:tc>
          <w:tcPr>
            <w:tcW w:w="3451" w:type="dxa"/>
            <w:tcBorders>
              <w:top w:val="nil"/>
              <w:left w:val="nil"/>
              <w:bottom w:val="nil"/>
              <w:right w:val="nil"/>
            </w:tcBorders>
            <w:shd w:val="clear" w:color="auto" w:fill="auto"/>
            <w:noWrap/>
            <w:vAlign w:val="bottom"/>
            <w:hideMark/>
          </w:tcPr>
          <w:p w:rsidR="007C59EB" w:rsidRPr="007C59EB" w:rsidRDefault="007C59EB" w:rsidP="007C59EB">
            <w:pPr>
              <w:spacing w:after="0"/>
              <w:rPr>
                <w:rFonts w:ascii="Cambria" w:eastAsia="Times New Roman" w:hAnsi="Cambria" w:cs="Times New Roman"/>
                <w:color w:val="000000"/>
                <w:sz w:val="20"/>
                <w:szCs w:val="20"/>
                <w:lang w:eastAsia="en-US"/>
              </w:rPr>
            </w:pPr>
          </w:p>
        </w:tc>
        <w:tc>
          <w:tcPr>
            <w:tcW w:w="1921" w:type="dxa"/>
            <w:tcBorders>
              <w:top w:val="nil"/>
              <w:left w:val="nil"/>
              <w:bottom w:val="nil"/>
              <w:right w:val="nil"/>
            </w:tcBorders>
            <w:shd w:val="clear" w:color="auto" w:fill="auto"/>
            <w:noWrap/>
            <w:vAlign w:val="bottom"/>
            <w:hideMark/>
          </w:tcPr>
          <w:p w:rsidR="007C59EB" w:rsidRPr="007C59EB" w:rsidRDefault="007C59EB" w:rsidP="007C59EB">
            <w:pPr>
              <w:spacing w:after="0"/>
              <w:jc w:val="center"/>
              <w:rPr>
                <w:rFonts w:ascii="Calibri" w:eastAsia="Times New Roman" w:hAnsi="Calibri" w:cs="Times New Roman"/>
                <w:color w:val="000000"/>
                <w:sz w:val="20"/>
                <w:szCs w:val="20"/>
                <w:lang w:eastAsia="en-US"/>
              </w:rPr>
            </w:pPr>
            <w:r w:rsidRPr="007C59EB">
              <w:rPr>
                <w:rFonts w:ascii="Calibri" w:eastAsia="Times New Roman" w:hAnsi="Calibri" w:cs="Times New Roman"/>
                <w:color w:val="000000"/>
                <w:sz w:val="20"/>
                <w:szCs w:val="20"/>
                <w:lang w:eastAsia="en-US"/>
              </w:rPr>
              <w:t>6.00%</w:t>
            </w:r>
          </w:p>
        </w:tc>
        <w:tc>
          <w:tcPr>
            <w:tcW w:w="262" w:type="dxa"/>
            <w:tcBorders>
              <w:top w:val="nil"/>
              <w:left w:val="nil"/>
              <w:bottom w:val="nil"/>
              <w:right w:val="single" w:sz="8" w:space="0" w:color="auto"/>
            </w:tcBorders>
            <w:shd w:val="clear" w:color="auto" w:fill="auto"/>
            <w:noWrap/>
            <w:vAlign w:val="bottom"/>
            <w:hideMark/>
          </w:tcPr>
          <w:p w:rsidR="007C59EB" w:rsidRPr="007C59EB" w:rsidRDefault="007C59EB" w:rsidP="007C59EB">
            <w:pPr>
              <w:spacing w:after="0"/>
              <w:rPr>
                <w:rFonts w:ascii="Calibri" w:eastAsia="Times New Roman" w:hAnsi="Calibri" w:cs="Times New Roman"/>
                <w:color w:val="000000"/>
                <w:sz w:val="20"/>
                <w:szCs w:val="20"/>
                <w:lang w:eastAsia="en-US"/>
              </w:rPr>
            </w:pPr>
            <w:r w:rsidRPr="007C59EB">
              <w:rPr>
                <w:rFonts w:ascii="Calibri" w:eastAsia="Times New Roman" w:hAnsi="Calibri" w:cs="Times New Roman"/>
                <w:color w:val="000000"/>
                <w:sz w:val="20"/>
                <w:szCs w:val="20"/>
                <w:lang w:eastAsia="en-US"/>
              </w:rPr>
              <w:t> </w:t>
            </w:r>
          </w:p>
        </w:tc>
      </w:tr>
      <w:tr w:rsidR="007C59EB" w:rsidRPr="007C59EB" w:rsidTr="007C59EB">
        <w:trPr>
          <w:trHeight w:val="300"/>
        </w:trPr>
        <w:tc>
          <w:tcPr>
            <w:tcW w:w="991" w:type="dxa"/>
            <w:tcBorders>
              <w:top w:val="nil"/>
              <w:left w:val="single" w:sz="8" w:space="0" w:color="auto"/>
              <w:bottom w:val="nil"/>
              <w:right w:val="nil"/>
            </w:tcBorders>
            <w:shd w:val="clear" w:color="auto" w:fill="auto"/>
            <w:noWrap/>
            <w:vAlign w:val="bottom"/>
            <w:hideMark/>
          </w:tcPr>
          <w:p w:rsidR="007C59EB" w:rsidRPr="007C59EB" w:rsidRDefault="00D937C0" w:rsidP="00D937C0">
            <w:pPr>
              <w:spacing w:after="0"/>
              <w:jc w:val="center"/>
              <w:rPr>
                <w:rFonts w:ascii="Calibri" w:eastAsia="Times New Roman" w:hAnsi="Calibri" w:cs="Times New Roman"/>
                <w:b/>
                <w:bCs/>
                <w:color w:val="000000"/>
                <w:sz w:val="20"/>
                <w:szCs w:val="20"/>
                <w:lang w:eastAsia="en-US"/>
              </w:rPr>
            </w:pPr>
            <w:r>
              <w:rPr>
                <w:rFonts w:ascii="Calibri" w:eastAsia="Times New Roman" w:hAnsi="Calibri" w:cs="Times New Roman"/>
                <w:b/>
                <w:bCs/>
                <w:color w:val="000000"/>
                <w:sz w:val="20"/>
                <w:szCs w:val="20"/>
                <w:lang w:eastAsia="en-US"/>
              </w:rPr>
              <w:t>&gt;95</w:t>
            </w:r>
          </w:p>
        </w:tc>
        <w:tc>
          <w:tcPr>
            <w:tcW w:w="1829" w:type="dxa"/>
            <w:tcBorders>
              <w:top w:val="nil"/>
              <w:left w:val="nil"/>
              <w:bottom w:val="nil"/>
              <w:right w:val="nil"/>
            </w:tcBorders>
            <w:shd w:val="clear" w:color="auto" w:fill="auto"/>
            <w:noWrap/>
            <w:vAlign w:val="bottom"/>
            <w:hideMark/>
          </w:tcPr>
          <w:p w:rsidR="007C59EB" w:rsidRPr="007C59EB" w:rsidRDefault="007C59EB" w:rsidP="007C59EB">
            <w:pPr>
              <w:spacing w:after="0"/>
              <w:jc w:val="center"/>
              <w:rPr>
                <w:rFonts w:ascii="Calibri" w:eastAsia="Times New Roman" w:hAnsi="Calibri" w:cs="Times New Roman"/>
                <w:color w:val="000000"/>
                <w:sz w:val="20"/>
                <w:szCs w:val="20"/>
                <w:lang w:eastAsia="en-US"/>
              </w:rPr>
            </w:pPr>
            <w:r w:rsidRPr="007C59EB">
              <w:rPr>
                <w:rFonts w:ascii="Calibri" w:eastAsia="Times New Roman" w:hAnsi="Calibri" w:cs="Times New Roman"/>
                <w:color w:val="000000"/>
                <w:sz w:val="20"/>
                <w:szCs w:val="20"/>
                <w:lang w:eastAsia="en-US"/>
              </w:rPr>
              <w:t>3.55%</w:t>
            </w:r>
          </w:p>
        </w:tc>
        <w:tc>
          <w:tcPr>
            <w:tcW w:w="3451" w:type="dxa"/>
            <w:tcBorders>
              <w:top w:val="nil"/>
              <w:left w:val="nil"/>
              <w:bottom w:val="nil"/>
              <w:right w:val="nil"/>
            </w:tcBorders>
            <w:shd w:val="clear" w:color="auto" w:fill="auto"/>
            <w:noWrap/>
            <w:vAlign w:val="bottom"/>
            <w:hideMark/>
          </w:tcPr>
          <w:p w:rsidR="007C59EB" w:rsidRPr="007C59EB" w:rsidRDefault="007C59EB" w:rsidP="007C59EB">
            <w:pPr>
              <w:spacing w:after="0"/>
              <w:rPr>
                <w:rFonts w:ascii="Cambria" w:eastAsia="Times New Roman" w:hAnsi="Cambria" w:cs="Times New Roman"/>
                <w:color w:val="000000"/>
                <w:sz w:val="20"/>
                <w:szCs w:val="20"/>
                <w:lang w:eastAsia="en-US"/>
              </w:rPr>
            </w:pPr>
          </w:p>
        </w:tc>
        <w:tc>
          <w:tcPr>
            <w:tcW w:w="1921" w:type="dxa"/>
            <w:tcBorders>
              <w:top w:val="nil"/>
              <w:left w:val="nil"/>
              <w:bottom w:val="nil"/>
              <w:right w:val="nil"/>
            </w:tcBorders>
            <w:shd w:val="clear" w:color="auto" w:fill="auto"/>
            <w:noWrap/>
            <w:vAlign w:val="bottom"/>
            <w:hideMark/>
          </w:tcPr>
          <w:p w:rsidR="007C59EB" w:rsidRPr="007C59EB" w:rsidRDefault="007C59EB" w:rsidP="007C59EB">
            <w:pPr>
              <w:spacing w:after="0"/>
              <w:jc w:val="center"/>
              <w:rPr>
                <w:rFonts w:ascii="Calibri" w:eastAsia="Times New Roman" w:hAnsi="Calibri" w:cs="Times New Roman"/>
                <w:color w:val="000000"/>
                <w:sz w:val="20"/>
                <w:szCs w:val="20"/>
                <w:lang w:eastAsia="en-US"/>
              </w:rPr>
            </w:pPr>
            <w:r w:rsidRPr="007C59EB">
              <w:rPr>
                <w:rFonts w:ascii="Calibri" w:eastAsia="Times New Roman" w:hAnsi="Calibri" w:cs="Times New Roman"/>
                <w:color w:val="000000"/>
                <w:sz w:val="20"/>
                <w:szCs w:val="20"/>
                <w:lang w:eastAsia="en-US"/>
              </w:rPr>
              <w:t>9.50%</w:t>
            </w:r>
          </w:p>
        </w:tc>
        <w:tc>
          <w:tcPr>
            <w:tcW w:w="262" w:type="dxa"/>
            <w:tcBorders>
              <w:top w:val="nil"/>
              <w:left w:val="nil"/>
              <w:bottom w:val="nil"/>
              <w:right w:val="single" w:sz="8" w:space="0" w:color="auto"/>
            </w:tcBorders>
            <w:shd w:val="clear" w:color="auto" w:fill="auto"/>
            <w:noWrap/>
            <w:vAlign w:val="bottom"/>
            <w:hideMark/>
          </w:tcPr>
          <w:p w:rsidR="007C59EB" w:rsidRPr="007C59EB" w:rsidRDefault="007C59EB" w:rsidP="007C59EB">
            <w:pPr>
              <w:spacing w:after="0"/>
              <w:rPr>
                <w:rFonts w:ascii="Calibri" w:eastAsia="Times New Roman" w:hAnsi="Calibri" w:cs="Times New Roman"/>
                <w:color w:val="000000"/>
                <w:sz w:val="20"/>
                <w:szCs w:val="20"/>
                <w:lang w:eastAsia="en-US"/>
              </w:rPr>
            </w:pPr>
            <w:r w:rsidRPr="007C59EB">
              <w:rPr>
                <w:rFonts w:ascii="Calibri" w:eastAsia="Times New Roman" w:hAnsi="Calibri" w:cs="Times New Roman"/>
                <w:color w:val="000000"/>
                <w:sz w:val="20"/>
                <w:szCs w:val="20"/>
                <w:lang w:eastAsia="en-US"/>
              </w:rPr>
              <w:t> </w:t>
            </w:r>
          </w:p>
        </w:tc>
      </w:tr>
      <w:tr w:rsidR="007C59EB" w:rsidRPr="007C59EB" w:rsidTr="007C59EB">
        <w:trPr>
          <w:trHeight w:val="300"/>
        </w:trPr>
        <w:tc>
          <w:tcPr>
            <w:tcW w:w="991" w:type="dxa"/>
            <w:tcBorders>
              <w:top w:val="nil"/>
              <w:left w:val="single" w:sz="8" w:space="0" w:color="auto"/>
              <w:bottom w:val="nil"/>
              <w:right w:val="nil"/>
            </w:tcBorders>
            <w:shd w:val="clear" w:color="auto" w:fill="auto"/>
            <w:noWrap/>
            <w:vAlign w:val="bottom"/>
            <w:hideMark/>
          </w:tcPr>
          <w:p w:rsidR="007C59EB" w:rsidRPr="007C59EB" w:rsidRDefault="007C59EB" w:rsidP="007C59EB">
            <w:pPr>
              <w:spacing w:after="0"/>
              <w:jc w:val="center"/>
              <w:rPr>
                <w:rFonts w:ascii="Calibri" w:eastAsia="Times New Roman" w:hAnsi="Calibri" w:cs="Times New Roman"/>
                <w:b/>
                <w:bCs/>
                <w:color w:val="000000"/>
                <w:sz w:val="20"/>
                <w:szCs w:val="20"/>
                <w:u w:val="single"/>
                <w:lang w:eastAsia="en-US"/>
              </w:rPr>
            </w:pPr>
            <w:r w:rsidRPr="007C59EB">
              <w:rPr>
                <w:rFonts w:ascii="Calibri" w:eastAsia="Times New Roman" w:hAnsi="Calibri" w:cs="Times New Roman"/>
                <w:b/>
                <w:bCs/>
                <w:color w:val="000000"/>
                <w:sz w:val="20"/>
                <w:szCs w:val="20"/>
                <w:u w:val="single"/>
                <w:lang w:eastAsia="en-US"/>
              </w:rPr>
              <w:t> </w:t>
            </w:r>
          </w:p>
        </w:tc>
        <w:tc>
          <w:tcPr>
            <w:tcW w:w="1829" w:type="dxa"/>
            <w:tcBorders>
              <w:top w:val="nil"/>
              <w:left w:val="nil"/>
              <w:bottom w:val="nil"/>
              <w:right w:val="nil"/>
            </w:tcBorders>
            <w:shd w:val="clear" w:color="auto" w:fill="auto"/>
            <w:noWrap/>
            <w:vAlign w:val="bottom"/>
            <w:hideMark/>
          </w:tcPr>
          <w:p w:rsidR="007C59EB" w:rsidRPr="007C59EB" w:rsidRDefault="007C59EB" w:rsidP="007C59EB">
            <w:pPr>
              <w:spacing w:after="0"/>
              <w:rPr>
                <w:rFonts w:ascii="Cambria" w:eastAsia="Times New Roman" w:hAnsi="Cambria" w:cs="Times New Roman"/>
                <w:color w:val="000000"/>
                <w:sz w:val="20"/>
                <w:szCs w:val="20"/>
                <w:lang w:eastAsia="en-US"/>
              </w:rPr>
            </w:pPr>
          </w:p>
        </w:tc>
        <w:tc>
          <w:tcPr>
            <w:tcW w:w="3451" w:type="dxa"/>
            <w:tcBorders>
              <w:top w:val="nil"/>
              <w:left w:val="nil"/>
              <w:bottom w:val="nil"/>
              <w:right w:val="nil"/>
            </w:tcBorders>
            <w:shd w:val="clear" w:color="auto" w:fill="auto"/>
            <w:noWrap/>
            <w:vAlign w:val="bottom"/>
            <w:hideMark/>
          </w:tcPr>
          <w:p w:rsidR="007C59EB" w:rsidRPr="007C59EB" w:rsidRDefault="007C59EB" w:rsidP="007C59EB">
            <w:pPr>
              <w:spacing w:after="0"/>
              <w:jc w:val="center"/>
              <w:rPr>
                <w:rFonts w:ascii="Calibri" w:eastAsia="Times New Roman" w:hAnsi="Calibri" w:cs="Times New Roman"/>
                <w:b/>
                <w:bCs/>
                <w:color w:val="000000"/>
                <w:sz w:val="20"/>
                <w:szCs w:val="20"/>
                <w:u w:val="single"/>
                <w:lang w:eastAsia="en-US"/>
              </w:rPr>
            </w:pPr>
            <w:r w:rsidRPr="007C59EB">
              <w:rPr>
                <w:rFonts w:ascii="Calibri" w:eastAsia="Times New Roman" w:hAnsi="Calibri" w:cs="Times New Roman"/>
                <w:b/>
                <w:bCs/>
                <w:color w:val="000000"/>
                <w:sz w:val="20"/>
                <w:szCs w:val="20"/>
                <w:u w:val="single"/>
                <w:lang w:eastAsia="en-US"/>
              </w:rPr>
              <w:t>Multiples From Mean</w:t>
            </w:r>
          </w:p>
        </w:tc>
        <w:tc>
          <w:tcPr>
            <w:tcW w:w="1921" w:type="dxa"/>
            <w:tcBorders>
              <w:top w:val="nil"/>
              <w:left w:val="nil"/>
              <w:bottom w:val="nil"/>
              <w:right w:val="nil"/>
            </w:tcBorders>
            <w:shd w:val="clear" w:color="auto" w:fill="auto"/>
            <w:noWrap/>
            <w:vAlign w:val="bottom"/>
            <w:hideMark/>
          </w:tcPr>
          <w:p w:rsidR="007C59EB" w:rsidRPr="007C59EB" w:rsidRDefault="007C59EB" w:rsidP="007C59EB">
            <w:pPr>
              <w:spacing w:after="0"/>
              <w:rPr>
                <w:rFonts w:ascii="Cambria" w:eastAsia="Times New Roman" w:hAnsi="Cambria" w:cs="Times New Roman"/>
                <w:color w:val="000000"/>
                <w:sz w:val="20"/>
                <w:szCs w:val="20"/>
                <w:lang w:eastAsia="en-US"/>
              </w:rPr>
            </w:pPr>
          </w:p>
        </w:tc>
        <w:tc>
          <w:tcPr>
            <w:tcW w:w="262" w:type="dxa"/>
            <w:tcBorders>
              <w:top w:val="nil"/>
              <w:left w:val="nil"/>
              <w:bottom w:val="nil"/>
              <w:right w:val="single" w:sz="8" w:space="0" w:color="auto"/>
            </w:tcBorders>
            <w:shd w:val="clear" w:color="auto" w:fill="auto"/>
            <w:noWrap/>
            <w:vAlign w:val="bottom"/>
            <w:hideMark/>
          </w:tcPr>
          <w:p w:rsidR="007C59EB" w:rsidRPr="007C59EB" w:rsidRDefault="007C59EB" w:rsidP="007C59EB">
            <w:pPr>
              <w:spacing w:after="0"/>
              <w:rPr>
                <w:rFonts w:ascii="Calibri" w:eastAsia="Times New Roman" w:hAnsi="Calibri" w:cs="Times New Roman"/>
                <w:color w:val="000000"/>
                <w:sz w:val="20"/>
                <w:szCs w:val="20"/>
                <w:lang w:eastAsia="en-US"/>
              </w:rPr>
            </w:pPr>
            <w:r w:rsidRPr="007C59EB">
              <w:rPr>
                <w:rFonts w:ascii="Calibri" w:eastAsia="Times New Roman" w:hAnsi="Calibri" w:cs="Times New Roman"/>
                <w:color w:val="000000"/>
                <w:sz w:val="20"/>
                <w:szCs w:val="20"/>
                <w:lang w:eastAsia="en-US"/>
              </w:rPr>
              <w:t> </w:t>
            </w:r>
          </w:p>
        </w:tc>
      </w:tr>
      <w:tr w:rsidR="007C59EB" w:rsidRPr="007C59EB" w:rsidTr="007C59EB">
        <w:trPr>
          <w:trHeight w:val="300"/>
        </w:trPr>
        <w:tc>
          <w:tcPr>
            <w:tcW w:w="991" w:type="dxa"/>
            <w:tcBorders>
              <w:top w:val="nil"/>
              <w:left w:val="single" w:sz="8" w:space="0" w:color="auto"/>
              <w:bottom w:val="nil"/>
              <w:right w:val="nil"/>
            </w:tcBorders>
            <w:shd w:val="clear" w:color="auto" w:fill="auto"/>
            <w:noWrap/>
            <w:vAlign w:val="bottom"/>
            <w:hideMark/>
          </w:tcPr>
          <w:p w:rsidR="007C59EB" w:rsidRPr="007C59EB" w:rsidRDefault="007C59EB" w:rsidP="007C59EB">
            <w:pPr>
              <w:spacing w:after="0"/>
              <w:jc w:val="center"/>
              <w:rPr>
                <w:rFonts w:ascii="Calibri" w:eastAsia="Times New Roman" w:hAnsi="Calibri" w:cs="Times New Roman"/>
                <w:b/>
                <w:bCs/>
                <w:color w:val="000000"/>
                <w:sz w:val="20"/>
                <w:szCs w:val="20"/>
                <w:lang w:eastAsia="en-US"/>
              </w:rPr>
            </w:pPr>
            <w:r w:rsidRPr="007C59EB">
              <w:rPr>
                <w:rFonts w:ascii="Calibri" w:eastAsia="Times New Roman" w:hAnsi="Calibri" w:cs="Times New Roman"/>
                <w:b/>
                <w:bCs/>
                <w:color w:val="000000"/>
                <w:sz w:val="20"/>
                <w:szCs w:val="20"/>
                <w:lang w:eastAsia="en-US"/>
              </w:rPr>
              <w:t>85</w:t>
            </w:r>
          </w:p>
        </w:tc>
        <w:tc>
          <w:tcPr>
            <w:tcW w:w="1829" w:type="dxa"/>
            <w:tcBorders>
              <w:top w:val="nil"/>
              <w:left w:val="nil"/>
              <w:bottom w:val="nil"/>
              <w:right w:val="nil"/>
            </w:tcBorders>
            <w:shd w:val="clear" w:color="000000" w:fill="FFFF00"/>
            <w:noWrap/>
            <w:vAlign w:val="bottom"/>
            <w:hideMark/>
          </w:tcPr>
          <w:p w:rsidR="007C59EB" w:rsidRPr="007C59EB" w:rsidRDefault="007C59EB" w:rsidP="007C59EB">
            <w:pPr>
              <w:spacing w:after="0"/>
              <w:jc w:val="center"/>
              <w:rPr>
                <w:rFonts w:ascii="Calibri" w:eastAsia="Times New Roman" w:hAnsi="Calibri" w:cs="Times New Roman"/>
                <w:b/>
                <w:bCs/>
                <w:color w:val="000000"/>
                <w:sz w:val="20"/>
                <w:szCs w:val="20"/>
                <w:lang w:eastAsia="en-US"/>
              </w:rPr>
            </w:pPr>
            <w:r w:rsidRPr="007C59EB">
              <w:rPr>
                <w:rFonts w:ascii="Calibri" w:eastAsia="Times New Roman" w:hAnsi="Calibri" w:cs="Times New Roman"/>
                <w:b/>
                <w:bCs/>
                <w:color w:val="000000"/>
                <w:sz w:val="20"/>
                <w:szCs w:val="20"/>
                <w:lang w:eastAsia="en-US"/>
              </w:rPr>
              <w:t>16.07</w:t>
            </w:r>
          </w:p>
        </w:tc>
        <w:tc>
          <w:tcPr>
            <w:tcW w:w="3451" w:type="dxa"/>
            <w:tcBorders>
              <w:top w:val="nil"/>
              <w:left w:val="nil"/>
              <w:bottom w:val="nil"/>
              <w:right w:val="nil"/>
            </w:tcBorders>
            <w:shd w:val="clear" w:color="auto" w:fill="auto"/>
            <w:noWrap/>
            <w:vAlign w:val="bottom"/>
            <w:hideMark/>
          </w:tcPr>
          <w:p w:rsidR="007C59EB" w:rsidRPr="007C59EB" w:rsidRDefault="007C59EB" w:rsidP="007C59EB">
            <w:pPr>
              <w:spacing w:after="0"/>
              <w:rPr>
                <w:rFonts w:ascii="Cambria" w:eastAsia="Times New Roman" w:hAnsi="Cambria" w:cs="Times New Roman"/>
                <w:color w:val="000000"/>
                <w:sz w:val="20"/>
                <w:szCs w:val="20"/>
                <w:lang w:eastAsia="en-US"/>
              </w:rPr>
            </w:pPr>
          </w:p>
        </w:tc>
        <w:tc>
          <w:tcPr>
            <w:tcW w:w="1921" w:type="dxa"/>
            <w:tcBorders>
              <w:top w:val="nil"/>
              <w:left w:val="nil"/>
              <w:bottom w:val="nil"/>
              <w:right w:val="nil"/>
            </w:tcBorders>
            <w:shd w:val="clear" w:color="000000" w:fill="FFFF00"/>
            <w:noWrap/>
            <w:vAlign w:val="bottom"/>
            <w:hideMark/>
          </w:tcPr>
          <w:p w:rsidR="007C59EB" w:rsidRPr="007C59EB" w:rsidRDefault="007C59EB" w:rsidP="007C59EB">
            <w:pPr>
              <w:spacing w:after="0"/>
              <w:jc w:val="center"/>
              <w:rPr>
                <w:rFonts w:ascii="Calibri" w:eastAsia="Times New Roman" w:hAnsi="Calibri" w:cs="Times New Roman"/>
                <w:b/>
                <w:bCs/>
                <w:color w:val="000000"/>
                <w:sz w:val="20"/>
                <w:szCs w:val="20"/>
                <w:lang w:eastAsia="en-US"/>
              </w:rPr>
            </w:pPr>
            <w:r w:rsidRPr="007C59EB">
              <w:rPr>
                <w:rFonts w:ascii="Calibri" w:eastAsia="Times New Roman" w:hAnsi="Calibri" w:cs="Times New Roman"/>
                <w:b/>
                <w:bCs/>
                <w:color w:val="000000"/>
                <w:sz w:val="20"/>
                <w:szCs w:val="20"/>
                <w:lang w:eastAsia="en-US"/>
              </w:rPr>
              <w:t>17.31</w:t>
            </w:r>
          </w:p>
        </w:tc>
        <w:tc>
          <w:tcPr>
            <w:tcW w:w="262" w:type="dxa"/>
            <w:tcBorders>
              <w:top w:val="nil"/>
              <w:left w:val="nil"/>
              <w:bottom w:val="nil"/>
              <w:right w:val="single" w:sz="8" w:space="0" w:color="auto"/>
            </w:tcBorders>
            <w:shd w:val="clear" w:color="auto" w:fill="auto"/>
            <w:noWrap/>
            <w:vAlign w:val="bottom"/>
            <w:hideMark/>
          </w:tcPr>
          <w:p w:rsidR="007C59EB" w:rsidRPr="007C59EB" w:rsidRDefault="007C59EB" w:rsidP="007C59EB">
            <w:pPr>
              <w:spacing w:after="0"/>
              <w:rPr>
                <w:rFonts w:ascii="Calibri" w:eastAsia="Times New Roman" w:hAnsi="Calibri" w:cs="Times New Roman"/>
                <w:color w:val="000000"/>
                <w:sz w:val="20"/>
                <w:szCs w:val="20"/>
                <w:lang w:eastAsia="en-US"/>
              </w:rPr>
            </w:pPr>
            <w:r w:rsidRPr="007C59EB">
              <w:rPr>
                <w:rFonts w:ascii="Calibri" w:eastAsia="Times New Roman" w:hAnsi="Calibri" w:cs="Times New Roman"/>
                <w:color w:val="000000"/>
                <w:sz w:val="20"/>
                <w:szCs w:val="20"/>
                <w:lang w:eastAsia="en-US"/>
              </w:rPr>
              <w:t> </w:t>
            </w:r>
          </w:p>
        </w:tc>
      </w:tr>
      <w:tr w:rsidR="007C59EB" w:rsidRPr="007C59EB" w:rsidTr="007C59EB">
        <w:trPr>
          <w:trHeight w:val="300"/>
        </w:trPr>
        <w:tc>
          <w:tcPr>
            <w:tcW w:w="991" w:type="dxa"/>
            <w:tcBorders>
              <w:top w:val="nil"/>
              <w:left w:val="single" w:sz="8" w:space="0" w:color="auto"/>
              <w:bottom w:val="nil"/>
              <w:right w:val="nil"/>
            </w:tcBorders>
            <w:shd w:val="clear" w:color="auto" w:fill="auto"/>
            <w:noWrap/>
            <w:vAlign w:val="bottom"/>
            <w:hideMark/>
          </w:tcPr>
          <w:p w:rsidR="007C59EB" w:rsidRPr="007C59EB" w:rsidRDefault="007C59EB" w:rsidP="007C59EB">
            <w:pPr>
              <w:spacing w:after="0"/>
              <w:jc w:val="center"/>
              <w:rPr>
                <w:rFonts w:ascii="Calibri" w:eastAsia="Times New Roman" w:hAnsi="Calibri" w:cs="Times New Roman"/>
                <w:b/>
                <w:bCs/>
                <w:color w:val="000000"/>
                <w:sz w:val="20"/>
                <w:szCs w:val="20"/>
                <w:lang w:eastAsia="en-US"/>
              </w:rPr>
            </w:pPr>
            <w:r w:rsidRPr="007C59EB">
              <w:rPr>
                <w:rFonts w:ascii="Calibri" w:eastAsia="Times New Roman" w:hAnsi="Calibri" w:cs="Times New Roman"/>
                <w:b/>
                <w:bCs/>
                <w:color w:val="000000"/>
                <w:sz w:val="20"/>
                <w:szCs w:val="20"/>
                <w:lang w:eastAsia="en-US"/>
              </w:rPr>
              <w:t>90</w:t>
            </w:r>
          </w:p>
        </w:tc>
        <w:tc>
          <w:tcPr>
            <w:tcW w:w="1829" w:type="dxa"/>
            <w:tcBorders>
              <w:top w:val="nil"/>
              <w:left w:val="nil"/>
              <w:bottom w:val="nil"/>
              <w:right w:val="nil"/>
            </w:tcBorders>
            <w:shd w:val="clear" w:color="000000" w:fill="FFFF00"/>
            <w:noWrap/>
            <w:vAlign w:val="bottom"/>
            <w:hideMark/>
          </w:tcPr>
          <w:p w:rsidR="007C59EB" w:rsidRPr="007C59EB" w:rsidRDefault="007C59EB" w:rsidP="007C59EB">
            <w:pPr>
              <w:spacing w:after="0"/>
              <w:jc w:val="center"/>
              <w:rPr>
                <w:rFonts w:ascii="Calibri" w:eastAsia="Times New Roman" w:hAnsi="Calibri" w:cs="Times New Roman"/>
                <w:b/>
                <w:bCs/>
                <w:color w:val="000000"/>
                <w:sz w:val="20"/>
                <w:szCs w:val="20"/>
                <w:lang w:eastAsia="en-US"/>
              </w:rPr>
            </w:pPr>
            <w:r w:rsidRPr="007C59EB">
              <w:rPr>
                <w:rFonts w:ascii="Calibri" w:eastAsia="Times New Roman" w:hAnsi="Calibri" w:cs="Times New Roman"/>
                <w:b/>
                <w:bCs/>
                <w:color w:val="000000"/>
                <w:sz w:val="20"/>
                <w:szCs w:val="20"/>
                <w:lang w:eastAsia="en-US"/>
              </w:rPr>
              <w:t>8.33</w:t>
            </w:r>
          </w:p>
        </w:tc>
        <w:tc>
          <w:tcPr>
            <w:tcW w:w="3451" w:type="dxa"/>
            <w:tcBorders>
              <w:top w:val="nil"/>
              <w:left w:val="nil"/>
              <w:bottom w:val="nil"/>
              <w:right w:val="nil"/>
            </w:tcBorders>
            <w:shd w:val="clear" w:color="auto" w:fill="auto"/>
            <w:noWrap/>
            <w:vAlign w:val="bottom"/>
            <w:hideMark/>
          </w:tcPr>
          <w:p w:rsidR="007C59EB" w:rsidRPr="007C59EB" w:rsidRDefault="007C59EB" w:rsidP="007C59EB">
            <w:pPr>
              <w:spacing w:after="0"/>
              <w:rPr>
                <w:rFonts w:ascii="Cambria" w:eastAsia="Times New Roman" w:hAnsi="Cambria" w:cs="Times New Roman"/>
                <w:color w:val="000000"/>
                <w:sz w:val="20"/>
                <w:szCs w:val="20"/>
                <w:lang w:eastAsia="en-US"/>
              </w:rPr>
            </w:pPr>
          </w:p>
        </w:tc>
        <w:tc>
          <w:tcPr>
            <w:tcW w:w="1921" w:type="dxa"/>
            <w:tcBorders>
              <w:top w:val="nil"/>
              <w:left w:val="nil"/>
              <w:bottom w:val="nil"/>
              <w:right w:val="nil"/>
            </w:tcBorders>
            <w:shd w:val="clear" w:color="000000" w:fill="FFFF00"/>
            <w:noWrap/>
            <w:vAlign w:val="bottom"/>
            <w:hideMark/>
          </w:tcPr>
          <w:p w:rsidR="007C59EB" w:rsidRPr="007C59EB" w:rsidRDefault="007C59EB" w:rsidP="007C59EB">
            <w:pPr>
              <w:spacing w:after="0"/>
              <w:jc w:val="center"/>
              <w:rPr>
                <w:rFonts w:ascii="Calibri" w:eastAsia="Times New Roman" w:hAnsi="Calibri" w:cs="Times New Roman"/>
                <w:b/>
                <w:bCs/>
                <w:color w:val="000000"/>
                <w:sz w:val="20"/>
                <w:szCs w:val="20"/>
                <w:lang w:eastAsia="en-US"/>
              </w:rPr>
            </w:pPr>
            <w:r w:rsidRPr="007C59EB">
              <w:rPr>
                <w:rFonts w:ascii="Calibri" w:eastAsia="Times New Roman" w:hAnsi="Calibri" w:cs="Times New Roman"/>
                <w:b/>
                <w:bCs/>
                <w:color w:val="000000"/>
                <w:sz w:val="20"/>
                <w:szCs w:val="20"/>
                <w:lang w:eastAsia="en-US"/>
              </w:rPr>
              <w:t>8.77</w:t>
            </w:r>
          </w:p>
        </w:tc>
        <w:tc>
          <w:tcPr>
            <w:tcW w:w="262" w:type="dxa"/>
            <w:tcBorders>
              <w:top w:val="nil"/>
              <w:left w:val="nil"/>
              <w:bottom w:val="nil"/>
              <w:right w:val="single" w:sz="8" w:space="0" w:color="auto"/>
            </w:tcBorders>
            <w:shd w:val="clear" w:color="auto" w:fill="auto"/>
            <w:noWrap/>
            <w:vAlign w:val="bottom"/>
            <w:hideMark/>
          </w:tcPr>
          <w:p w:rsidR="007C59EB" w:rsidRPr="007C59EB" w:rsidRDefault="007C59EB" w:rsidP="007C59EB">
            <w:pPr>
              <w:spacing w:after="0"/>
              <w:rPr>
                <w:rFonts w:ascii="Calibri" w:eastAsia="Times New Roman" w:hAnsi="Calibri" w:cs="Times New Roman"/>
                <w:color w:val="000000"/>
                <w:sz w:val="20"/>
                <w:szCs w:val="20"/>
                <w:lang w:eastAsia="en-US"/>
              </w:rPr>
            </w:pPr>
            <w:r w:rsidRPr="007C59EB">
              <w:rPr>
                <w:rFonts w:ascii="Calibri" w:eastAsia="Times New Roman" w:hAnsi="Calibri" w:cs="Times New Roman"/>
                <w:color w:val="000000"/>
                <w:sz w:val="20"/>
                <w:szCs w:val="20"/>
                <w:lang w:eastAsia="en-US"/>
              </w:rPr>
              <w:t> </w:t>
            </w:r>
          </w:p>
        </w:tc>
      </w:tr>
      <w:tr w:rsidR="007C59EB" w:rsidRPr="007C59EB" w:rsidTr="007C59EB">
        <w:trPr>
          <w:trHeight w:val="300"/>
        </w:trPr>
        <w:tc>
          <w:tcPr>
            <w:tcW w:w="991" w:type="dxa"/>
            <w:tcBorders>
              <w:top w:val="nil"/>
              <w:left w:val="single" w:sz="8" w:space="0" w:color="auto"/>
              <w:bottom w:val="nil"/>
              <w:right w:val="nil"/>
            </w:tcBorders>
            <w:shd w:val="clear" w:color="auto" w:fill="auto"/>
            <w:noWrap/>
            <w:vAlign w:val="bottom"/>
            <w:hideMark/>
          </w:tcPr>
          <w:p w:rsidR="007C59EB" w:rsidRPr="007C59EB" w:rsidRDefault="007C59EB" w:rsidP="007C59EB">
            <w:pPr>
              <w:spacing w:after="0"/>
              <w:jc w:val="center"/>
              <w:rPr>
                <w:rFonts w:ascii="Calibri" w:eastAsia="Times New Roman" w:hAnsi="Calibri" w:cs="Times New Roman"/>
                <w:b/>
                <w:bCs/>
                <w:color w:val="000000"/>
                <w:sz w:val="20"/>
                <w:szCs w:val="20"/>
                <w:lang w:eastAsia="en-US"/>
              </w:rPr>
            </w:pPr>
            <w:r w:rsidRPr="007C59EB">
              <w:rPr>
                <w:rFonts w:ascii="Calibri" w:eastAsia="Times New Roman" w:hAnsi="Calibri" w:cs="Times New Roman"/>
                <w:b/>
                <w:bCs/>
                <w:color w:val="000000"/>
                <w:sz w:val="20"/>
                <w:szCs w:val="20"/>
                <w:lang w:eastAsia="en-US"/>
              </w:rPr>
              <w:t>95</w:t>
            </w:r>
          </w:p>
        </w:tc>
        <w:tc>
          <w:tcPr>
            <w:tcW w:w="1829" w:type="dxa"/>
            <w:tcBorders>
              <w:top w:val="nil"/>
              <w:left w:val="nil"/>
              <w:bottom w:val="nil"/>
              <w:right w:val="nil"/>
            </w:tcBorders>
            <w:shd w:val="clear" w:color="000000" w:fill="FFFF00"/>
            <w:noWrap/>
            <w:vAlign w:val="bottom"/>
            <w:hideMark/>
          </w:tcPr>
          <w:p w:rsidR="007C59EB" w:rsidRPr="007C59EB" w:rsidRDefault="007C59EB" w:rsidP="007C59EB">
            <w:pPr>
              <w:spacing w:after="0"/>
              <w:jc w:val="center"/>
              <w:rPr>
                <w:rFonts w:ascii="Calibri" w:eastAsia="Times New Roman" w:hAnsi="Calibri" w:cs="Times New Roman"/>
                <w:b/>
                <w:bCs/>
                <w:color w:val="000000"/>
                <w:sz w:val="20"/>
                <w:szCs w:val="20"/>
                <w:lang w:eastAsia="en-US"/>
              </w:rPr>
            </w:pPr>
            <w:r w:rsidRPr="007C59EB">
              <w:rPr>
                <w:rFonts w:ascii="Calibri" w:eastAsia="Times New Roman" w:hAnsi="Calibri" w:cs="Times New Roman"/>
                <w:b/>
                <w:bCs/>
                <w:color w:val="000000"/>
                <w:sz w:val="20"/>
                <w:szCs w:val="20"/>
                <w:lang w:eastAsia="en-US"/>
              </w:rPr>
              <w:t>5.10</w:t>
            </w:r>
          </w:p>
        </w:tc>
        <w:tc>
          <w:tcPr>
            <w:tcW w:w="3451" w:type="dxa"/>
            <w:tcBorders>
              <w:top w:val="nil"/>
              <w:left w:val="nil"/>
              <w:bottom w:val="nil"/>
              <w:right w:val="nil"/>
            </w:tcBorders>
            <w:shd w:val="clear" w:color="auto" w:fill="auto"/>
            <w:noWrap/>
            <w:vAlign w:val="bottom"/>
            <w:hideMark/>
          </w:tcPr>
          <w:p w:rsidR="007C59EB" w:rsidRPr="007C59EB" w:rsidRDefault="007C59EB" w:rsidP="007C59EB">
            <w:pPr>
              <w:spacing w:after="0"/>
              <w:rPr>
                <w:rFonts w:ascii="Cambria" w:eastAsia="Times New Roman" w:hAnsi="Cambria" w:cs="Times New Roman"/>
                <w:color w:val="000000"/>
                <w:sz w:val="20"/>
                <w:szCs w:val="20"/>
                <w:lang w:eastAsia="en-US"/>
              </w:rPr>
            </w:pPr>
          </w:p>
        </w:tc>
        <w:tc>
          <w:tcPr>
            <w:tcW w:w="1921" w:type="dxa"/>
            <w:tcBorders>
              <w:top w:val="nil"/>
              <w:left w:val="nil"/>
              <w:bottom w:val="nil"/>
              <w:right w:val="nil"/>
            </w:tcBorders>
            <w:shd w:val="clear" w:color="000000" w:fill="FFFF00"/>
            <w:noWrap/>
            <w:vAlign w:val="bottom"/>
            <w:hideMark/>
          </w:tcPr>
          <w:p w:rsidR="007C59EB" w:rsidRPr="007C59EB" w:rsidRDefault="007C59EB" w:rsidP="007C59EB">
            <w:pPr>
              <w:spacing w:after="0"/>
              <w:jc w:val="center"/>
              <w:rPr>
                <w:rFonts w:ascii="Calibri" w:eastAsia="Times New Roman" w:hAnsi="Calibri" w:cs="Times New Roman"/>
                <w:b/>
                <w:bCs/>
                <w:color w:val="000000"/>
                <w:sz w:val="20"/>
                <w:szCs w:val="20"/>
                <w:lang w:eastAsia="en-US"/>
              </w:rPr>
            </w:pPr>
            <w:r w:rsidRPr="007C59EB">
              <w:rPr>
                <w:rFonts w:ascii="Calibri" w:eastAsia="Times New Roman" w:hAnsi="Calibri" w:cs="Times New Roman"/>
                <w:b/>
                <w:bCs/>
                <w:color w:val="000000"/>
                <w:sz w:val="20"/>
                <w:szCs w:val="20"/>
                <w:lang w:eastAsia="en-US"/>
              </w:rPr>
              <w:t>4.97</w:t>
            </w:r>
          </w:p>
        </w:tc>
        <w:tc>
          <w:tcPr>
            <w:tcW w:w="262" w:type="dxa"/>
            <w:tcBorders>
              <w:top w:val="nil"/>
              <w:left w:val="nil"/>
              <w:bottom w:val="nil"/>
              <w:right w:val="single" w:sz="8" w:space="0" w:color="auto"/>
            </w:tcBorders>
            <w:shd w:val="clear" w:color="auto" w:fill="auto"/>
            <w:noWrap/>
            <w:vAlign w:val="bottom"/>
            <w:hideMark/>
          </w:tcPr>
          <w:p w:rsidR="007C59EB" w:rsidRPr="007C59EB" w:rsidRDefault="007C59EB" w:rsidP="007C59EB">
            <w:pPr>
              <w:spacing w:after="0"/>
              <w:rPr>
                <w:rFonts w:ascii="Calibri" w:eastAsia="Times New Roman" w:hAnsi="Calibri" w:cs="Times New Roman"/>
                <w:color w:val="000000"/>
                <w:sz w:val="20"/>
                <w:szCs w:val="20"/>
                <w:lang w:eastAsia="en-US"/>
              </w:rPr>
            </w:pPr>
            <w:r w:rsidRPr="007C59EB">
              <w:rPr>
                <w:rFonts w:ascii="Calibri" w:eastAsia="Times New Roman" w:hAnsi="Calibri" w:cs="Times New Roman"/>
                <w:color w:val="000000"/>
                <w:sz w:val="20"/>
                <w:szCs w:val="20"/>
                <w:lang w:eastAsia="en-US"/>
              </w:rPr>
              <w:t> </w:t>
            </w:r>
          </w:p>
        </w:tc>
      </w:tr>
      <w:tr w:rsidR="007C59EB" w:rsidRPr="007C59EB" w:rsidTr="007C59EB">
        <w:trPr>
          <w:trHeight w:val="300"/>
        </w:trPr>
        <w:tc>
          <w:tcPr>
            <w:tcW w:w="991" w:type="dxa"/>
            <w:tcBorders>
              <w:top w:val="nil"/>
              <w:left w:val="single" w:sz="8" w:space="0" w:color="auto"/>
              <w:bottom w:val="nil"/>
              <w:right w:val="nil"/>
            </w:tcBorders>
            <w:shd w:val="clear" w:color="auto" w:fill="auto"/>
            <w:noWrap/>
            <w:vAlign w:val="bottom"/>
            <w:hideMark/>
          </w:tcPr>
          <w:p w:rsidR="00D937C0" w:rsidRPr="007C59EB" w:rsidRDefault="00D937C0" w:rsidP="00D937C0">
            <w:pPr>
              <w:spacing w:after="0"/>
              <w:jc w:val="center"/>
              <w:rPr>
                <w:rFonts w:ascii="Calibri" w:eastAsia="Times New Roman" w:hAnsi="Calibri" w:cs="Times New Roman"/>
                <w:b/>
                <w:bCs/>
                <w:color w:val="000000"/>
                <w:sz w:val="20"/>
                <w:szCs w:val="20"/>
                <w:lang w:eastAsia="en-US"/>
              </w:rPr>
            </w:pPr>
            <w:r>
              <w:rPr>
                <w:rFonts w:ascii="Calibri" w:eastAsia="Times New Roman" w:hAnsi="Calibri" w:cs="Times New Roman"/>
                <w:b/>
                <w:bCs/>
                <w:color w:val="000000"/>
                <w:sz w:val="20"/>
                <w:szCs w:val="20"/>
                <w:lang w:eastAsia="en-US"/>
              </w:rPr>
              <w:t>&gt;95</w:t>
            </w:r>
          </w:p>
        </w:tc>
        <w:tc>
          <w:tcPr>
            <w:tcW w:w="1829" w:type="dxa"/>
            <w:tcBorders>
              <w:top w:val="nil"/>
              <w:left w:val="nil"/>
              <w:bottom w:val="nil"/>
              <w:right w:val="nil"/>
            </w:tcBorders>
            <w:shd w:val="clear" w:color="000000" w:fill="FFFF00"/>
            <w:noWrap/>
            <w:vAlign w:val="bottom"/>
            <w:hideMark/>
          </w:tcPr>
          <w:p w:rsidR="007C59EB" w:rsidRPr="007C59EB" w:rsidRDefault="007C59EB" w:rsidP="007C59EB">
            <w:pPr>
              <w:spacing w:after="0"/>
              <w:jc w:val="center"/>
              <w:rPr>
                <w:rFonts w:ascii="Cambria" w:eastAsia="Times New Roman" w:hAnsi="Cambria" w:cs="Times New Roman"/>
                <w:b/>
                <w:bCs/>
                <w:color w:val="000000"/>
                <w:sz w:val="20"/>
                <w:szCs w:val="20"/>
                <w:lang w:eastAsia="en-US"/>
              </w:rPr>
            </w:pPr>
            <w:r w:rsidRPr="007C59EB">
              <w:rPr>
                <w:rFonts w:ascii="Cambria" w:eastAsia="Times New Roman" w:hAnsi="Cambria" w:cs="Times New Roman"/>
                <w:b/>
                <w:bCs/>
                <w:color w:val="000000"/>
                <w:sz w:val="20"/>
                <w:szCs w:val="20"/>
                <w:lang w:eastAsia="en-US"/>
              </w:rPr>
              <w:t>3.92</w:t>
            </w:r>
          </w:p>
        </w:tc>
        <w:tc>
          <w:tcPr>
            <w:tcW w:w="3451" w:type="dxa"/>
            <w:tcBorders>
              <w:top w:val="nil"/>
              <w:left w:val="nil"/>
              <w:bottom w:val="nil"/>
              <w:right w:val="nil"/>
            </w:tcBorders>
            <w:shd w:val="clear" w:color="auto" w:fill="auto"/>
            <w:noWrap/>
            <w:vAlign w:val="bottom"/>
            <w:hideMark/>
          </w:tcPr>
          <w:p w:rsidR="007C59EB" w:rsidRPr="007C59EB" w:rsidRDefault="007C59EB" w:rsidP="007C59EB">
            <w:pPr>
              <w:spacing w:after="0"/>
              <w:rPr>
                <w:rFonts w:ascii="Cambria" w:eastAsia="Times New Roman" w:hAnsi="Cambria" w:cs="Times New Roman"/>
                <w:color w:val="000000"/>
                <w:sz w:val="20"/>
                <w:szCs w:val="20"/>
                <w:lang w:eastAsia="en-US"/>
              </w:rPr>
            </w:pPr>
          </w:p>
        </w:tc>
        <w:tc>
          <w:tcPr>
            <w:tcW w:w="1921" w:type="dxa"/>
            <w:tcBorders>
              <w:top w:val="nil"/>
              <w:left w:val="nil"/>
              <w:bottom w:val="nil"/>
              <w:right w:val="nil"/>
            </w:tcBorders>
            <w:shd w:val="clear" w:color="000000" w:fill="FFFF00"/>
            <w:noWrap/>
            <w:vAlign w:val="bottom"/>
            <w:hideMark/>
          </w:tcPr>
          <w:p w:rsidR="007C59EB" w:rsidRPr="007C59EB" w:rsidRDefault="007C59EB" w:rsidP="007C59EB">
            <w:pPr>
              <w:spacing w:after="0"/>
              <w:jc w:val="center"/>
              <w:rPr>
                <w:rFonts w:ascii="Cambria" w:eastAsia="Times New Roman" w:hAnsi="Cambria" w:cs="Times New Roman"/>
                <w:b/>
                <w:bCs/>
                <w:color w:val="000000"/>
                <w:sz w:val="20"/>
                <w:szCs w:val="20"/>
                <w:lang w:eastAsia="en-US"/>
              </w:rPr>
            </w:pPr>
            <w:r w:rsidRPr="007C59EB">
              <w:rPr>
                <w:rFonts w:ascii="Cambria" w:eastAsia="Times New Roman" w:hAnsi="Cambria" w:cs="Times New Roman"/>
                <w:b/>
                <w:bCs/>
                <w:color w:val="000000"/>
                <w:sz w:val="20"/>
                <w:szCs w:val="20"/>
                <w:lang w:eastAsia="en-US"/>
              </w:rPr>
              <w:t>3.92</w:t>
            </w:r>
          </w:p>
        </w:tc>
        <w:tc>
          <w:tcPr>
            <w:tcW w:w="262" w:type="dxa"/>
            <w:tcBorders>
              <w:top w:val="nil"/>
              <w:left w:val="nil"/>
              <w:bottom w:val="nil"/>
              <w:right w:val="single" w:sz="8" w:space="0" w:color="auto"/>
            </w:tcBorders>
            <w:shd w:val="clear" w:color="auto" w:fill="auto"/>
            <w:noWrap/>
            <w:vAlign w:val="bottom"/>
            <w:hideMark/>
          </w:tcPr>
          <w:p w:rsidR="007C59EB" w:rsidRPr="007C59EB" w:rsidRDefault="007C59EB" w:rsidP="007C59EB">
            <w:pPr>
              <w:spacing w:after="0"/>
              <w:rPr>
                <w:rFonts w:ascii="Calibri" w:eastAsia="Times New Roman" w:hAnsi="Calibri" w:cs="Times New Roman"/>
                <w:color w:val="000000"/>
                <w:sz w:val="20"/>
                <w:szCs w:val="20"/>
                <w:lang w:eastAsia="en-US"/>
              </w:rPr>
            </w:pPr>
            <w:r w:rsidRPr="007C59EB">
              <w:rPr>
                <w:rFonts w:ascii="Calibri" w:eastAsia="Times New Roman" w:hAnsi="Calibri" w:cs="Times New Roman"/>
                <w:color w:val="000000"/>
                <w:sz w:val="20"/>
                <w:szCs w:val="20"/>
                <w:lang w:eastAsia="en-US"/>
              </w:rPr>
              <w:t> </w:t>
            </w:r>
          </w:p>
        </w:tc>
      </w:tr>
      <w:tr w:rsidR="007C59EB" w:rsidRPr="007C59EB" w:rsidTr="007C59EB">
        <w:trPr>
          <w:trHeight w:val="315"/>
        </w:trPr>
        <w:tc>
          <w:tcPr>
            <w:tcW w:w="991" w:type="dxa"/>
            <w:tcBorders>
              <w:top w:val="nil"/>
              <w:left w:val="single" w:sz="8" w:space="0" w:color="auto"/>
              <w:bottom w:val="nil"/>
              <w:right w:val="nil"/>
            </w:tcBorders>
            <w:shd w:val="clear" w:color="auto" w:fill="auto"/>
            <w:noWrap/>
            <w:vAlign w:val="bottom"/>
            <w:hideMark/>
          </w:tcPr>
          <w:p w:rsidR="007C59EB" w:rsidRPr="007C59EB" w:rsidRDefault="007C59EB" w:rsidP="007C59EB">
            <w:pPr>
              <w:spacing w:after="0"/>
              <w:rPr>
                <w:rFonts w:ascii="Calibri" w:eastAsia="Times New Roman" w:hAnsi="Calibri" w:cs="Times New Roman"/>
                <w:color w:val="000000"/>
                <w:sz w:val="20"/>
                <w:szCs w:val="20"/>
                <w:lang w:eastAsia="en-US"/>
              </w:rPr>
            </w:pPr>
            <w:r w:rsidRPr="007C59EB">
              <w:rPr>
                <w:rFonts w:ascii="Calibri" w:eastAsia="Times New Roman" w:hAnsi="Calibri" w:cs="Times New Roman"/>
                <w:color w:val="000000"/>
                <w:sz w:val="20"/>
                <w:szCs w:val="20"/>
                <w:lang w:eastAsia="en-US"/>
              </w:rPr>
              <w:t> </w:t>
            </w:r>
          </w:p>
        </w:tc>
        <w:tc>
          <w:tcPr>
            <w:tcW w:w="7201" w:type="dxa"/>
            <w:gridSpan w:val="3"/>
            <w:tcBorders>
              <w:top w:val="nil"/>
              <w:left w:val="nil"/>
              <w:bottom w:val="nil"/>
              <w:right w:val="nil"/>
            </w:tcBorders>
            <w:shd w:val="clear" w:color="000000" w:fill="99FFCC"/>
            <w:noWrap/>
            <w:vAlign w:val="bottom"/>
            <w:hideMark/>
          </w:tcPr>
          <w:p w:rsidR="007C59EB" w:rsidRPr="007C59EB" w:rsidRDefault="007C59EB" w:rsidP="007C59EB">
            <w:pPr>
              <w:spacing w:after="0"/>
              <w:jc w:val="center"/>
              <w:rPr>
                <w:rFonts w:ascii="Calibri" w:eastAsia="Times New Roman" w:hAnsi="Calibri" w:cs="Times New Roman"/>
                <w:b/>
                <w:bCs/>
                <w:color w:val="000000"/>
                <w:lang w:eastAsia="en-US"/>
              </w:rPr>
            </w:pPr>
            <w:r w:rsidRPr="007C59EB">
              <w:rPr>
                <w:rFonts w:ascii="Calibri" w:eastAsia="Times New Roman" w:hAnsi="Calibri" w:cs="Times New Roman"/>
                <w:b/>
                <w:bCs/>
                <w:color w:val="000000"/>
                <w:lang w:eastAsia="en-US"/>
              </w:rPr>
              <w:t xml:space="preserve">FHFA's Implied Stress Default Frequency Estimates </w:t>
            </w:r>
          </w:p>
        </w:tc>
        <w:tc>
          <w:tcPr>
            <w:tcW w:w="262" w:type="dxa"/>
            <w:tcBorders>
              <w:top w:val="nil"/>
              <w:left w:val="nil"/>
              <w:bottom w:val="nil"/>
              <w:right w:val="single" w:sz="8" w:space="0" w:color="auto"/>
            </w:tcBorders>
            <w:shd w:val="clear" w:color="auto" w:fill="auto"/>
            <w:noWrap/>
            <w:vAlign w:val="bottom"/>
            <w:hideMark/>
          </w:tcPr>
          <w:p w:rsidR="007C59EB" w:rsidRPr="007C59EB" w:rsidRDefault="007C59EB" w:rsidP="007C59EB">
            <w:pPr>
              <w:spacing w:after="0"/>
              <w:rPr>
                <w:rFonts w:ascii="Calibri" w:eastAsia="Times New Roman" w:hAnsi="Calibri" w:cs="Times New Roman"/>
                <w:color w:val="000000"/>
                <w:sz w:val="20"/>
                <w:szCs w:val="20"/>
                <w:lang w:eastAsia="en-US"/>
              </w:rPr>
            </w:pPr>
            <w:r w:rsidRPr="007C59EB">
              <w:rPr>
                <w:rFonts w:ascii="Calibri" w:eastAsia="Times New Roman" w:hAnsi="Calibri" w:cs="Times New Roman"/>
                <w:color w:val="000000"/>
                <w:sz w:val="20"/>
                <w:szCs w:val="20"/>
                <w:lang w:eastAsia="en-US"/>
              </w:rPr>
              <w:t> </w:t>
            </w:r>
          </w:p>
        </w:tc>
      </w:tr>
      <w:tr w:rsidR="007C59EB" w:rsidRPr="007C59EB" w:rsidTr="007C59EB">
        <w:trPr>
          <w:trHeight w:val="330"/>
        </w:trPr>
        <w:tc>
          <w:tcPr>
            <w:tcW w:w="991" w:type="dxa"/>
            <w:tcBorders>
              <w:top w:val="nil"/>
              <w:left w:val="single" w:sz="8" w:space="0" w:color="auto"/>
              <w:bottom w:val="nil"/>
              <w:right w:val="nil"/>
            </w:tcBorders>
            <w:shd w:val="clear" w:color="auto" w:fill="auto"/>
            <w:noWrap/>
            <w:vAlign w:val="bottom"/>
            <w:hideMark/>
          </w:tcPr>
          <w:p w:rsidR="007C59EB" w:rsidRPr="007C59EB" w:rsidRDefault="007C59EB" w:rsidP="007C59EB">
            <w:pPr>
              <w:spacing w:after="0"/>
              <w:rPr>
                <w:rFonts w:ascii="Calibri" w:eastAsia="Times New Roman" w:hAnsi="Calibri" w:cs="Times New Roman"/>
                <w:color w:val="000000"/>
                <w:sz w:val="20"/>
                <w:szCs w:val="20"/>
                <w:lang w:eastAsia="en-US"/>
              </w:rPr>
            </w:pPr>
            <w:r w:rsidRPr="007C59EB">
              <w:rPr>
                <w:rFonts w:ascii="Calibri" w:eastAsia="Times New Roman" w:hAnsi="Calibri" w:cs="Times New Roman"/>
                <w:color w:val="000000"/>
                <w:sz w:val="20"/>
                <w:szCs w:val="20"/>
                <w:lang w:eastAsia="en-US"/>
              </w:rPr>
              <w:t> </w:t>
            </w:r>
          </w:p>
        </w:tc>
        <w:tc>
          <w:tcPr>
            <w:tcW w:w="1829" w:type="dxa"/>
            <w:tcBorders>
              <w:top w:val="nil"/>
              <w:left w:val="nil"/>
              <w:bottom w:val="nil"/>
              <w:right w:val="nil"/>
            </w:tcBorders>
            <w:shd w:val="clear" w:color="000000" w:fill="99FFCC"/>
            <w:noWrap/>
            <w:vAlign w:val="bottom"/>
            <w:hideMark/>
          </w:tcPr>
          <w:p w:rsidR="007C59EB" w:rsidRPr="007C59EB" w:rsidRDefault="007C59EB" w:rsidP="007C59EB">
            <w:pPr>
              <w:spacing w:after="0"/>
              <w:rPr>
                <w:rFonts w:ascii="Cambria" w:eastAsia="Times New Roman" w:hAnsi="Cambria" w:cs="Times New Roman"/>
                <w:color w:val="000000"/>
                <w:lang w:eastAsia="en-US"/>
              </w:rPr>
            </w:pPr>
            <w:r w:rsidRPr="007C59EB">
              <w:rPr>
                <w:rFonts w:ascii="Cambria" w:eastAsia="Times New Roman" w:hAnsi="Cambria" w:cs="Times New Roman"/>
                <w:color w:val="000000"/>
                <w:lang w:eastAsia="en-US"/>
              </w:rPr>
              <w:t> </w:t>
            </w:r>
          </w:p>
        </w:tc>
        <w:tc>
          <w:tcPr>
            <w:tcW w:w="3451" w:type="dxa"/>
            <w:tcBorders>
              <w:top w:val="nil"/>
              <w:left w:val="nil"/>
              <w:bottom w:val="nil"/>
              <w:right w:val="nil"/>
            </w:tcBorders>
            <w:shd w:val="clear" w:color="000000" w:fill="99FFCC"/>
            <w:noWrap/>
            <w:vAlign w:val="bottom"/>
            <w:hideMark/>
          </w:tcPr>
          <w:p w:rsidR="007C59EB" w:rsidRPr="007C59EB" w:rsidRDefault="007C59EB" w:rsidP="007C59EB">
            <w:pPr>
              <w:spacing w:after="0"/>
              <w:jc w:val="center"/>
              <w:rPr>
                <w:rFonts w:ascii="Calibri" w:eastAsia="Times New Roman" w:hAnsi="Calibri" w:cs="Times New Roman"/>
                <w:b/>
                <w:bCs/>
                <w:color w:val="000000"/>
                <w:lang w:eastAsia="en-US"/>
              </w:rPr>
            </w:pPr>
            <w:r w:rsidRPr="007C59EB">
              <w:rPr>
                <w:rFonts w:ascii="Calibri" w:eastAsia="Times New Roman" w:hAnsi="Calibri" w:cs="Times New Roman"/>
                <w:b/>
                <w:bCs/>
                <w:color w:val="000000"/>
                <w:lang w:eastAsia="en-US"/>
              </w:rPr>
              <w:t>Far Exceed 5x For 85s and 90s</w:t>
            </w:r>
          </w:p>
        </w:tc>
        <w:tc>
          <w:tcPr>
            <w:tcW w:w="1921" w:type="dxa"/>
            <w:tcBorders>
              <w:top w:val="nil"/>
              <w:left w:val="nil"/>
              <w:bottom w:val="nil"/>
              <w:right w:val="nil"/>
            </w:tcBorders>
            <w:shd w:val="clear" w:color="000000" w:fill="99FFCC"/>
            <w:noWrap/>
            <w:vAlign w:val="bottom"/>
            <w:hideMark/>
          </w:tcPr>
          <w:p w:rsidR="007C59EB" w:rsidRPr="007C59EB" w:rsidRDefault="007C59EB" w:rsidP="007C59EB">
            <w:pPr>
              <w:spacing w:after="0"/>
              <w:rPr>
                <w:rFonts w:ascii="Cambria" w:eastAsia="Times New Roman" w:hAnsi="Cambria" w:cs="Times New Roman"/>
                <w:color w:val="000000"/>
                <w:lang w:eastAsia="en-US"/>
              </w:rPr>
            </w:pPr>
            <w:r w:rsidRPr="007C59EB">
              <w:rPr>
                <w:rFonts w:ascii="Cambria" w:eastAsia="Times New Roman" w:hAnsi="Cambria" w:cs="Times New Roman"/>
                <w:color w:val="000000"/>
                <w:lang w:eastAsia="en-US"/>
              </w:rPr>
              <w:t> </w:t>
            </w:r>
          </w:p>
        </w:tc>
        <w:tc>
          <w:tcPr>
            <w:tcW w:w="262" w:type="dxa"/>
            <w:tcBorders>
              <w:top w:val="nil"/>
              <w:left w:val="nil"/>
              <w:bottom w:val="nil"/>
              <w:right w:val="single" w:sz="8" w:space="0" w:color="auto"/>
            </w:tcBorders>
            <w:shd w:val="clear" w:color="auto" w:fill="auto"/>
            <w:noWrap/>
            <w:vAlign w:val="bottom"/>
            <w:hideMark/>
          </w:tcPr>
          <w:p w:rsidR="007C59EB" w:rsidRPr="007C59EB" w:rsidRDefault="007C59EB" w:rsidP="007C59EB">
            <w:pPr>
              <w:spacing w:after="0"/>
              <w:rPr>
                <w:rFonts w:ascii="Calibri" w:eastAsia="Times New Roman" w:hAnsi="Calibri" w:cs="Times New Roman"/>
                <w:color w:val="000000"/>
                <w:sz w:val="20"/>
                <w:szCs w:val="20"/>
                <w:lang w:eastAsia="en-US"/>
              </w:rPr>
            </w:pPr>
            <w:r w:rsidRPr="007C59EB">
              <w:rPr>
                <w:rFonts w:ascii="Calibri" w:eastAsia="Times New Roman" w:hAnsi="Calibri" w:cs="Times New Roman"/>
                <w:color w:val="000000"/>
                <w:sz w:val="20"/>
                <w:szCs w:val="20"/>
                <w:lang w:eastAsia="en-US"/>
              </w:rPr>
              <w:t> </w:t>
            </w:r>
          </w:p>
        </w:tc>
      </w:tr>
      <w:tr w:rsidR="007C59EB" w:rsidRPr="007C59EB" w:rsidTr="007C59EB">
        <w:trPr>
          <w:trHeight w:val="330"/>
        </w:trPr>
        <w:tc>
          <w:tcPr>
            <w:tcW w:w="991" w:type="dxa"/>
            <w:tcBorders>
              <w:top w:val="nil"/>
              <w:left w:val="single" w:sz="8" w:space="0" w:color="auto"/>
              <w:bottom w:val="single" w:sz="8" w:space="0" w:color="auto"/>
              <w:right w:val="nil"/>
            </w:tcBorders>
            <w:shd w:val="clear" w:color="auto" w:fill="auto"/>
            <w:noWrap/>
            <w:vAlign w:val="bottom"/>
            <w:hideMark/>
          </w:tcPr>
          <w:p w:rsidR="007C59EB" w:rsidRPr="007C59EB" w:rsidRDefault="007C59EB" w:rsidP="007C59EB">
            <w:pPr>
              <w:spacing w:after="0"/>
              <w:rPr>
                <w:rFonts w:ascii="Calibri" w:eastAsia="Times New Roman" w:hAnsi="Calibri" w:cs="Times New Roman"/>
                <w:color w:val="000000"/>
                <w:sz w:val="20"/>
                <w:szCs w:val="20"/>
                <w:lang w:eastAsia="en-US"/>
              </w:rPr>
            </w:pPr>
            <w:r w:rsidRPr="007C59EB">
              <w:rPr>
                <w:rFonts w:ascii="Calibri" w:eastAsia="Times New Roman" w:hAnsi="Calibri" w:cs="Times New Roman"/>
                <w:color w:val="000000"/>
                <w:sz w:val="20"/>
                <w:szCs w:val="20"/>
                <w:lang w:eastAsia="en-US"/>
              </w:rPr>
              <w:t> </w:t>
            </w:r>
          </w:p>
        </w:tc>
        <w:tc>
          <w:tcPr>
            <w:tcW w:w="1829" w:type="dxa"/>
            <w:tcBorders>
              <w:top w:val="nil"/>
              <w:left w:val="nil"/>
              <w:bottom w:val="single" w:sz="8" w:space="0" w:color="auto"/>
              <w:right w:val="nil"/>
            </w:tcBorders>
            <w:shd w:val="clear" w:color="auto" w:fill="auto"/>
            <w:noWrap/>
            <w:vAlign w:val="bottom"/>
            <w:hideMark/>
          </w:tcPr>
          <w:p w:rsidR="007C59EB" w:rsidRPr="007C59EB" w:rsidRDefault="007C59EB" w:rsidP="007C59EB">
            <w:pPr>
              <w:spacing w:after="0"/>
              <w:rPr>
                <w:rFonts w:ascii="Calibri" w:eastAsia="Times New Roman" w:hAnsi="Calibri" w:cs="Times New Roman"/>
                <w:color w:val="000000"/>
                <w:sz w:val="20"/>
                <w:szCs w:val="20"/>
                <w:lang w:eastAsia="en-US"/>
              </w:rPr>
            </w:pPr>
            <w:r w:rsidRPr="007C59EB">
              <w:rPr>
                <w:rFonts w:ascii="Calibri" w:eastAsia="Times New Roman" w:hAnsi="Calibri" w:cs="Times New Roman"/>
                <w:color w:val="000000"/>
                <w:sz w:val="20"/>
                <w:szCs w:val="20"/>
                <w:lang w:eastAsia="en-US"/>
              </w:rPr>
              <w:t> </w:t>
            </w:r>
          </w:p>
        </w:tc>
        <w:tc>
          <w:tcPr>
            <w:tcW w:w="3451" w:type="dxa"/>
            <w:tcBorders>
              <w:top w:val="nil"/>
              <w:left w:val="nil"/>
              <w:bottom w:val="single" w:sz="8" w:space="0" w:color="auto"/>
              <w:right w:val="nil"/>
            </w:tcBorders>
            <w:shd w:val="clear" w:color="auto" w:fill="auto"/>
            <w:noWrap/>
            <w:vAlign w:val="bottom"/>
            <w:hideMark/>
          </w:tcPr>
          <w:p w:rsidR="007C59EB" w:rsidRPr="007C59EB" w:rsidRDefault="007C59EB" w:rsidP="007C59EB">
            <w:pPr>
              <w:spacing w:after="0"/>
              <w:rPr>
                <w:rFonts w:ascii="Calibri" w:eastAsia="Times New Roman" w:hAnsi="Calibri" w:cs="Times New Roman"/>
                <w:color w:val="000000"/>
                <w:sz w:val="20"/>
                <w:szCs w:val="20"/>
                <w:lang w:eastAsia="en-US"/>
              </w:rPr>
            </w:pPr>
            <w:r w:rsidRPr="007C59EB">
              <w:rPr>
                <w:rFonts w:ascii="Calibri" w:eastAsia="Times New Roman" w:hAnsi="Calibri" w:cs="Times New Roman"/>
                <w:color w:val="000000"/>
                <w:sz w:val="20"/>
                <w:szCs w:val="20"/>
                <w:lang w:eastAsia="en-US"/>
              </w:rPr>
              <w:t> </w:t>
            </w:r>
          </w:p>
        </w:tc>
        <w:tc>
          <w:tcPr>
            <w:tcW w:w="1921" w:type="dxa"/>
            <w:tcBorders>
              <w:top w:val="nil"/>
              <w:left w:val="nil"/>
              <w:bottom w:val="single" w:sz="8" w:space="0" w:color="auto"/>
              <w:right w:val="nil"/>
            </w:tcBorders>
            <w:shd w:val="clear" w:color="auto" w:fill="auto"/>
            <w:noWrap/>
            <w:vAlign w:val="bottom"/>
            <w:hideMark/>
          </w:tcPr>
          <w:p w:rsidR="007C59EB" w:rsidRPr="007C59EB" w:rsidRDefault="007C59EB" w:rsidP="007C59EB">
            <w:pPr>
              <w:spacing w:after="0"/>
              <w:rPr>
                <w:rFonts w:ascii="Calibri" w:eastAsia="Times New Roman" w:hAnsi="Calibri" w:cs="Times New Roman"/>
                <w:color w:val="000000"/>
                <w:sz w:val="20"/>
                <w:szCs w:val="20"/>
                <w:lang w:eastAsia="en-US"/>
              </w:rPr>
            </w:pPr>
            <w:r w:rsidRPr="007C59EB">
              <w:rPr>
                <w:rFonts w:ascii="Calibri" w:eastAsia="Times New Roman" w:hAnsi="Calibri" w:cs="Times New Roman"/>
                <w:color w:val="000000"/>
                <w:sz w:val="20"/>
                <w:szCs w:val="20"/>
                <w:lang w:eastAsia="en-US"/>
              </w:rPr>
              <w:t> </w:t>
            </w:r>
          </w:p>
        </w:tc>
        <w:tc>
          <w:tcPr>
            <w:tcW w:w="262" w:type="dxa"/>
            <w:tcBorders>
              <w:top w:val="nil"/>
              <w:left w:val="nil"/>
              <w:bottom w:val="single" w:sz="8" w:space="0" w:color="auto"/>
              <w:right w:val="single" w:sz="8" w:space="0" w:color="auto"/>
            </w:tcBorders>
            <w:shd w:val="clear" w:color="auto" w:fill="auto"/>
            <w:noWrap/>
            <w:vAlign w:val="bottom"/>
            <w:hideMark/>
          </w:tcPr>
          <w:p w:rsidR="007C59EB" w:rsidRPr="007C59EB" w:rsidRDefault="007C59EB" w:rsidP="007C59EB">
            <w:pPr>
              <w:spacing w:after="0"/>
              <w:rPr>
                <w:rFonts w:ascii="Calibri" w:eastAsia="Times New Roman" w:hAnsi="Calibri" w:cs="Times New Roman"/>
                <w:color w:val="000000"/>
                <w:sz w:val="20"/>
                <w:szCs w:val="20"/>
                <w:lang w:eastAsia="en-US"/>
              </w:rPr>
            </w:pPr>
            <w:r w:rsidRPr="007C59EB">
              <w:rPr>
                <w:rFonts w:ascii="Calibri" w:eastAsia="Times New Roman" w:hAnsi="Calibri" w:cs="Times New Roman"/>
                <w:color w:val="000000"/>
                <w:sz w:val="20"/>
                <w:szCs w:val="20"/>
                <w:lang w:eastAsia="en-US"/>
              </w:rPr>
              <w:t> </w:t>
            </w:r>
          </w:p>
        </w:tc>
      </w:tr>
    </w:tbl>
    <w:p w:rsidR="005035EE" w:rsidRDefault="005035EE" w:rsidP="005B75F7"/>
    <w:p w:rsidR="00312DF5" w:rsidRDefault="00312DF5" w:rsidP="005035EE"/>
    <w:p w:rsidR="00CC52DA" w:rsidRDefault="00CC52DA" w:rsidP="005035EE">
      <w:r>
        <w:t xml:space="preserve">Again we notice the very large multiples between the stress </w:t>
      </w:r>
      <w:r w:rsidR="00E765C6">
        <w:t>losses and foreclosure frequencies</w:t>
      </w:r>
      <w:r>
        <w:t xml:space="preserve"> and the long-run average frequencies and losses for the 80s and 90s. This strongly suggests that the FHFA stress levels may have been influenced by the higher frequencies of loss by rate and term refinanced loans. I</w:t>
      </w:r>
      <w:r w:rsidR="005B75F7" w:rsidRPr="005B75F7">
        <w:t>n the next table we will use the information on performance differences between rate and term versus purchase loans from Table 3, and couple it with information on the share of purchase loans by LTV to estimate what the FHFA stress levels suggest about purchase only loan stress default rates.</w:t>
      </w:r>
    </w:p>
    <w:p w:rsidR="00312DF5" w:rsidRDefault="00312DF5" w:rsidP="005035EE"/>
    <w:p w:rsidR="00312DF5" w:rsidRDefault="00312DF5" w:rsidP="005035EE"/>
    <w:p w:rsidR="00312DF5" w:rsidRDefault="00312DF5" w:rsidP="005035EE"/>
    <w:tbl>
      <w:tblPr>
        <w:tblW w:w="9437" w:type="dxa"/>
        <w:tblInd w:w="93" w:type="dxa"/>
        <w:tblLook w:val="04A0" w:firstRow="1" w:lastRow="0" w:firstColumn="1" w:lastColumn="0" w:noHBand="0" w:noVBand="1"/>
      </w:tblPr>
      <w:tblGrid>
        <w:gridCol w:w="549"/>
        <w:gridCol w:w="1751"/>
        <w:gridCol w:w="994"/>
        <w:gridCol w:w="1092"/>
        <w:gridCol w:w="1693"/>
        <w:gridCol w:w="2238"/>
        <w:gridCol w:w="1120"/>
      </w:tblGrid>
      <w:tr w:rsidR="005035EE" w:rsidRPr="005035EE" w:rsidTr="00312DF5">
        <w:trPr>
          <w:trHeight w:val="300"/>
        </w:trPr>
        <w:tc>
          <w:tcPr>
            <w:tcW w:w="9437" w:type="dxa"/>
            <w:gridSpan w:val="7"/>
            <w:tcBorders>
              <w:top w:val="single" w:sz="8" w:space="0" w:color="auto"/>
              <w:left w:val="single" w:sz="8" w:space="0" w:color="auto"/>
              <w:bottom w:val="nil"/>
              <w:right w:val="single" w:sz="8" w:space="0" w:color="000000"/>
            </w:tcBorders>
            <w:shd w:val="clear" w:color="auto" w:fill="auto"/>
            <w:noWrap/>
            <w:vAlign w:val="bottom"/>
            <w:hideMark/>
          </w:tcPr>
          <w:p w:rsidR="005035EE" w:rsidRPr="005035EE" w:rsidRDefault="005035EE" w:rsidP="005035EE">
            <w:pPr>
              <w:spacing w:after="0"/>
              <w:jc w:val="center"/>
              <w:rPr>
                <w:rFonts w:ascii="Calibri" w:eastAsia="Times New Roman" w:hAnsi="Calibri" w:cs="Times New Roman"/>
                <w:b/>
                <w:bCs/>
                <w:color w:val="000000"/>
                <w:sz w:val="28"/>
                <w:szCs w:val="28"/>
                <w:lang w:eastAsia="en-US"/>
              </w:rPr>
            </w:pPr>
            <w:r w:rsidRPr="005035EE">
              <w:rPr>
                <w:rFonts w:ascii="Calibri" w:eastAsia="Times New Roman" w:hAnsi="Calibri" w:cs="Times New Roman"/>
                <w:b/>
                <w:bCs/>
                <w:color w:val="000000"/>
                <w:sz w:val="28"/>
                <w:szCs w:val="28"/>
                <w:lang w:eastAsia="en-US"/>
              </w:rPr>
              <w:lastRenderedPageBreak/>
              <w:t xml:space="preserve">Table 5.    Estimation Of FHFA Purchase Only Default Rates </w:t>
            </w:r>
          </w:p>
        </w:tc>
      </w:tr>
      <w:tr w:rsidR="005035EE" w:rsidRPr="005035EE" w:rsidTr="00312DF5">
        <w:trPr>
          <w:trHeight w:val="300"/>
        </w:trPr>
        <w:tc>
          <w:tcPr>
            <w:tcW w:w="549" w:type="dxa"/>
            <w:tcBorders>
              <w:top w:val="nil"/>
              <w:left w:val="single" w:sz="8" w:space="0" w:color="auto"/>
              <w:bottom w:val="nil"/>
              <w:right w:val="nil"/>
            </w:tcBorders>
            <w:shd w:val="clear" w:color="auto" w:fill="auto"/>
            <w:noWrap/>
            <w:vAlign w:val="bottom"/>
            <w:hideMark/>
          </w:tcPr>
          <w:p w:rsidR="005035EE" w:rsidRPr="005035EE" w:rsidRDefault="005035EE" w:rsidP="005035EE">
            <w:pPr>
              <w:spacing w:after="0"/>
              <w:rPr>
                <w:rFonts w:ascii="Calibri" w:eastAsia="Times New Roman" w:hAnsi="Calibri" w:cs="Times New Roman"/>
                <w:color w:val="000000"/>
                <w:sz w:val="22"/>
                <w:szCs w:val="22"/>
                <w:lang w:eastAsia="en-US"/>
              </w:rPr>
            </w:pPr>
            <w:r w:rsidRPr="005035EE">
              <w:rPr>
                <w:rFonts w:ascii="Calibri" w:eastAsia="Times New Roman" w:hAnsi="Calibri" w:cs="Times New Roman"/>
                <w:color w:val="000000"/>
                <w:sz w:val="22"/>
                <w:szCs w:val="22"/>
                <w:lang w:eastAsia="en-US"/>
              </w:rPr>
              <w:t> </w:t>
            </w:r>
          </w:p>
        </w:tc>
        <w:tc>
          <w:tcPr>
            <w:tcW w:w="1751" w:type="dxa"/>
            <w:tcBorders>
              <w:top w:val="nil"/>
              <w:left w:val="nil"/>
              <w:bottom w:val="nil"/>
              <w:right w:val="nil"/>
            </w:tcBorders>
            <w:shd w:val="clear" w:color="auto" w:fill="auto"/>
            <w:noWrap/>
            <w:vAlign w:val="bottom"/>
            <w:hideMark/>
          </w:tcPr>
          <w:p w:rsidR="005035EE" w:rsidRPr="005035EE" w:rsidRDefault="005035EE" w:rsidP="005035EE">
            <w:pPr>
              <w:spacing w:after="0"/>
              <w:rPr>
                <w:rFonts w:ascii="Calibri" w:eastAsia="Times New Roman" w:hAnsi="Calibri" w:cs="Times New Roman"/>
                <w:color w:val="000000"/>
                <w:sz w:val="22"/>
                <w:szCs w:val="22"/>
                <w:lang w:eastAsia="en-US"/>
              </w:rPr>
            </w:pPr>
          </w:p>
        </w:tc>
        <w:tc>
          <w:tcPr>
            <w:tcW w:w="994" w:type="dxa"/>
            <w:tcBorders>
              <w:top w:val="nil"/>
              <w:left w:val="nil"/>
              <w:bottom w:val="nil"/>
              <w:right w:val="nil"/>
            </w:tcBorders>
            <w:shd w:val="clear" w:color="auto" w:fill="auto"/>
            <w:noWrap/>
            <w:vAlign w:val="bottom"/>
            <w:hideMark/>
          </w:tcPr>
          <w:p w:rsidR="005035EE" w:rsidRPr="005035EE" w:rsidRDefault="005035EE" w:rsidP="005035EE">
            <w:pPr>
              <w:spacing w:after="0"/>
              <w:rPr>
                <w:rFonts w:ascii="Calibri" w:eastAsia="Times New Roman" w:hAnsi="Calibri" w:cs="Times New Roman"/>
                <w:color w:val="000000"/>
                <w:sz w:val="22"/>
                <w:szCs w:val="22"/>
                <w:lang w:eastAsia="en-US"/>
              </w:rPr>
            </w:pPr>
          </w:p>
        </w:tc>
        <w:tc>
          <w:tcPr>
            <w:tcW w:w="1092" w:type="dxa"/>
            <w:tcBorders>
              <w:top w:val="nil"/>
              <w:left w:val="nil"/>
              <w:bottom w:val="nil"/>
              <w:right w:val="nil"/>
            </w:tcBorders>
            <w:shd w:val="clear" w:color="auto" w:fill="auto"/>
            <w:noWrap/>
            <w:vAlign w:val="bottom"/>
            <w:hideMark/>
          </w:tcPr>
          <w:p w:rsidR="005035EE" w:rsidRPr="005035EE" w:rsidRDefault="005035EE" w:rsidP="005035EE">
            <w:pPr>
              <w:spacing w:after="0"/>
              <w:rPr>
                <w:rFonts w:ascii="Calibri" w:eastAsia="Times New Roman" w:hAnsi="Calibri" w:cs="Times New Roman"/>
                <w:color w:val="000000"/>
                <w:sz w:val="22"/>
                <w:szCs w:val="22"/>
                <w:lang w:eastAsia="en-US"/>
              </w:rPr>
            </w:pPr>
          </w:p>
        </w:tc>
        <w:tc>
          <w:tcPr>
            <w:tcW w:w="1693" w:type="dxa"/>
            <w:tcBorders>
              <w:top w:val="nil"/>
              <w:left w:val="nil"/>
              <w:bottom w:val="nil"/>
              <w:right w:val="nil"/>
            </w:tcBorders>
            <w:shd w:val="clear" w:color="auto" w:fill="auto"/>
            <w:noWrap/>
            <w:vAlign w:val="bottom"/>
            <w:hideMark/>
          </w:tcPr>
          <w:p w:rsidR="005035EE" w:rsidRPr="005035EE" w:rsidRDefault="005035EE" w:rsidP="005035EE">
            <w:pPr>
              <w:spacing w:after="0"/>
              <w:rPr>
                <w:rFonts w:ascii="Calibri" w:eastAsia="Times New Roman" w:hAnsi="Calibri" w:cs="Times New Roman"/>
                <w:color w:val="000000"/>
                <w:sz w:val="22"/>
                <w:szCs w:val="22"/>
                <w:lang w:eastAsia="en-US"/>
              </w:rPr>
            </w:pPr>
          </w:p>
        </w:tc>
        <w:tc>
          <w:tcPr>
            <w:tcW w:w="2238" w:type="dxa"/>
            <w:tcBorders>
              <w:top w:val="nil"/>
              <w:left w:val="nil"/>
              <w:bottom w:val="nil"/>
              <w:right w:val="nil"/>
            </w:tcBorders>
            <w:shd w:val="clear" w:color="auto" w:fill="auto"/>
            <w:noWrap/>
            <w:vAlign w:val="bottom"/>
            <w:hideMark/>
          </w:tcPr>
          <w:p w:rsidR="005035EE" w:rsidRPr="005035EE" w:rsidRDefault="005035EE" w:rsidP="005035EE">
            <w:pPr>
              <w:spacing w:after="0"/>
              <w:rPr>
                <w:rFonts w:ascii="Calibri" w:eastAsia="Times New Roman" w:hAnsi="Calibri" w:cs="Times New Roman"/>
                <w:color w:val="000000"/>
                <w:sz w:val="22"/>
                <w:szCs w:val="22"/>
                <w:lang w:eastAsia="en-US"/>
              </w:rPr>
            </w:pPr>
          </w:p>
        </w:tc>
        <w:tc>
          <w:tcPr>
            <w:tcW w:w="1120" w:type="dxa"/>
            <w:tcBorders>
              <w:top w:val="nil"/>
              <w:left w:val="nil"/>
              <w:bottom w:val="nil"/>
              <w:right w:val="single" w:sz="8" w:space="0" w:color="auto"/>
            </w:tcBorders>
            <w:shd w:val="clear" w:color="auto" w:fill="auto"/>
            <w:noWrap/>
            <w:vAlign w:val="bottom"/>
            <w:hideMark/>
          </w:tcPr>
          <w:p w:rsidR="005035EE" w:rsidRPr="005035EE" w:rsidRDefault="005035EE" w:rsidP="005035EE">
            <w:pPr>
              <w:spacing w:after="0"/>
              <w:rPr>
                <w:rFonts w:ascii="Calibri" w:eastAsia="Times New Roman" w:hAnsi="Calibri" w:cs="Times New Roman"/>
                <w:color w:val="000000"/>
                <w:sz w:val="22"/>
                <w:szCs w:val="22"/>
                <w:lang w:eastAsia="en-US"/>
              </w:rPr>
            </w:pPr>
            <w:r w:rsidRPr="005035EE">
              <w:rPr>
                <w:rFonts w:ascii="Calibri" w:eastAsia="Times New Roman" w:hAnsi="Calibri" w:cs="Times New Roman"/>
                <w:color w:val="000000"/>
                <w:sz w:val="22"/>
                <w:szCs w:val="22"/>
                <w:lang w:eastAsia="en-US"/>
              </w:rPr>
              <w:t> </w:t>
            </w:r>
          </w:p>
        </w:tc>
      </w:tr>
      <w:tr w:rsidR="005035EE" w:rsidRPr="005035EE" w:rsidTr="00312DF5">
        <w:trPr>
          <w:trHeight w:val="300"/>
        </w:trPr>
        <w:tc>
          <w:tcPr>
            <w:tcW w:w="549" w:type="dxa"/>
            <w:tcBorders>
              <w:top w:val="nil"/>
              <w:left w:val="single" w:sz="8" w:space="0" w:color="auto"/>
              <w:bottom w:val="nil"/>
              <w:right w:val="nil"/>
            </w:tcBorders>
            <w:shd w:val="clear" w:color="auto" w:fill="auto"/>
            <w:noWrap/>
            <w:vAlign w:val="bottom"/>
            <w:hideMark/>
          </w:tcPr>
          <w:p w:rsidR="005035EE" w:rsidRPr="005035EE" w:rsidRDefault="005035EE" w:rsidP="005035EE">
            <w:pPr>
              <w:spacing w:after="0"/>
              <w:rPr>
                <w:rFonts w:ascii="Calibri" w:eastAsia="Times New Roman" w:hAnsi="Calibri" w:cs="Times New Roman"/>
                <w:color w:val="000000"/>
                <w:sz w:val="22"/>
                <w:szCs w:val="22"/>
                <w:lang w:eastAsia="en-US"/>
              </w:rPr>
            </w:pPr>
            <w:r w:rsidRPr="005035EE">
              <w:rPr>
                <w:rFonts w:ascii="Calibri" w:eastAsia="Times New Roman" w:hAnsi="Calibri" w:cs="Times New Roman"/>
                <w:color w:val="000000"/>
                <w:sz w:val="22"/>
                <w:szCs w:val="22"/>
                <w:lang w:eastAsia="en-US"/>
              </w:rPr>
              <w:t> </w:t>
            </w:r>
          </w:p>
        </w:tc>
        <w:tc>
          <w:tcPr>
            <w:tcW w:w="1751" w:type="dxa"/>
            <w:tcBorders>
              <w:top w:val="nil"/>
              <w:left w:val="nil"/>
              <w:bottom w:val="nil"/>
              <w:right w:val="nil"/>
            </w:tcBorders>
            <w:shd w:val="clear" w:color="auto" w:fill="auto"/>
            <w:noWrap/>
            <w:vAlign w:val="bottom"/>
            <w:hideMark/>
          </w:tcPr>
          <w:p w:rsidR="005035EE" w:rsidRPr="005035EE" w:rsidRDefault="005035EE" w:rsidP="005035EE">
            <w:pPr>
              <w:spacing w:after="0"/>
              <w:jc w:val="center"/>
              <w:rPr>
                <w:rFonts w:ascii="Calibri" w:eastAsia="Times New Roman" w:hAnsi="Calibri" w:cs="Times New Roman"/>
                <w:b/>
                <w:bCs/>
                <w:color w:val="000000"/>
                <w:sz w:val="22"/>
                <w:szCs w:val="22"/>
                <w:lang w:eastAsia="en-US"/>
              </w:rPr>
            </w:pPr>
            <w:r w:rsidRPr="005035EE">
              <w:rPr>
                <w:rFonts w:ascii="Calibri" w:eastAsia="Times New Roman" w:hAnsi="Calibri" w:cs="Times New Roman"/>
                <w:b/>
                <w:bCs/>
                <w:color w:val="000000"/>
                <w:sz w:val="22"/>
                <w:szCs w:val="22"/>
                <w:lang w:eastAsia="en-US"/>
              </w:rPr>
              <w:t>Ratios Of</w:t>
            </w:r>
          </w:p>
        </w:tc>
        <w:tc>
          <w:tcPr>
            <w:tcW w:w="994" w:type="dxa"/>
            <w:tcBorders>
              <w:top w:val="nil"/>
              <w:left w:val="nil"/>
              <w:bottom w:val="nil"/>
              <w:right w:val="nil"/>
            </w:tcBorders>
            <w:shd w:val="clear" w:color="auto" w:fill="auto"/>
            <w:noWrap/>
            <w:vAlign w:val="bottom"/>
            <w:hideMark/>
          </w:tcPr>
          <w:p w:rsidR="005035EE" w:rsidRPr="005035EE" w:rsidRDefault="005035EE" w:rsidP="005035EE">
            <w:pPr>
              <w:spacing w:after="0"/>
              <w:rPr>
                <w:rFonts w:ascii="Calibri" w:eastAsia="Times New Roman" w:hAnsi="Calibri" w:cs="Times New Roman"/>
                <w:color w:val="000000"/>
                <w:sz w:val="22"/>
                <w:szCs w:val="22"/>
                <w:lang w:eastAsia="en-US"/>
              </w:rPr>
            </w:pPr>
          </w:p>
        </w:tc>
        <w:tc>
          <w:tcPr>
            <w:tcW w:w="1092" w:type="dxa"/>
            <w:tcBorders>
              <w:top w:val="nil"/>
              <w:left w:val="nil"/>
              <w:bottom w:val="nil"/>
              <w:right w:val="nil"/>
            </w:tcBorders>
            <w:shd w:val="clear" w:color="auto" w:fill="auto"/>
            <w:noWrap/>
            <w:vAlign w:val="bottom"/>
            <w:hideMark/>
          </w:tcPr>
          <w:p w:rsidR="005035EE" w:rsidRPr="005035EE" w:rsidRDefault="005035EE" w:rsidP="005035EE">
            <w:pPr>
              <w:spacing w:after="0"/>
              <w:rPr>
                <w:rFonts w:ascii="Calibri" w:eastAsia="Times New Roman" w:hAnsi="Calibri" w:cs="Times New Roman"/>
                <w:color w:val="000000"/>
                <w:sz w:val="22"/>
                <w:szCs w:val="22"/>
                <w:lang w:eastAsia="en-US"/>
              </w:rPr>
            </w:pPr>
          </w:p>
        </w:tc>
        <w:tc>
          <w:tcPr>
            <w:tcW w:w="1693" w:type="dxa"/>
            <w:tcBorders>
              <w:top w:val="nil"/>
              <w:left w:val="nil"/>
              <w:bottom w:val="nil"/>
              <w:right w:val="nil"/>
            </w:tcBorders>
            <w:shd w:val="clear" w:color="auto" w:fill="auto"/>
            <w:noWrap/>
            <w:vAlign w:val="bottom"/>
            <w:hideMark/>
          </w:tcPr>
          <w:p w:rsidR="005035EE" w:rsidRPr="005035EE" w:rsidRDefault="005035EE" w:rsidP="005035EE">
            <w:pPr>
              <w:spacing w:after="0"/>
              <w:rPr>
                <w:rFonts w:ascii="Calibri" w:eastAsia="Times New Roman" w:hAnsi="Calibri" w:cs="Times New Roman"/>
                <w:color w:val="000000"/>
                <w:sz w:val="22"/>
                <w:szCs w:val="22"/>
                <w:lang w:eastAsia="en-US"/>
              </w:rPr>
            </w:pPr>
          </w:p>
        </w:tc>
        <w:tc>
          <w:tcPr>
            <w:tcW w:w="2238" w:type="dxa"/>
            <w:tcBorders>
              <w:top w:val="nil"/>
              <w:left w:val="nil"/>
              <w:bottom w:val="nil"/>
              <w:right w:val="nil"/>
            </w:tcBorders>
            <w:shd w:val="clear" w:color="auto" w:fill="auto"/>
            <w:noWrap/>
            <w:vAlign w:val="bottom"/>
            <w:hideMark/>
          </w:tcPr>
          <w:p w:rsidR="005035EE" w:rsidRPr="005035EE" w:rsidRDefault="005035EE" w:rsidP="005035EE">
            <w:pPr>
              <w:spacing w:after="0"/>
              <w:rPr>
                <w:rFonts w:ascii="Calibri" w:eastAsia="Times New Roman" w:hAnsi="Calibri" w:cs="Times New Roman"/>
                <w:color w:val="000000"/>
                <w:sz w:val="22"/>
                <w:szCs w:val="22"/>
                <w:lang w:eastAsia="en-US"/>
              </w:rPr>
            </w:pPr>
          </w:p>
        </w:tc>
        <w:tc>
          <w:tcPr>
            <w:tcW w:w="1120" w:type="dxa"/>
            <w:tcBorders>
              <w:top w:val="nil"/>
              <w:left w:val="nil"/>
              <w:bottom w:val="nil"/>
              <w:right w:val="single" w:sz="8" w:space="0" w:color="auto"/>
            </w:tcBorders>
            <w:shd w:val="clear" w:color="auto" w:fill="auto"/>
            <w:noWrap/>
            <w:vAlign w:val="bottom"/>
            <w:hideMark/>
          </w:tcPr>
          <w:p w:rsidR="005035EE" w:rsidRPr="005035EE" w:rsidRDefault="005035EE" w:rsidP="005035EE">
            <w:pPr>
              <w:spacing w:after="0"/>
              <w:jc w:val="center"/>
              <w:rPr>
                <w:rFonts w:ascii="Calibri" w:eastAsia="Times New Roman" w:hAnsi="Calibri" w:cs="Times New Roman"/>
                <w:b/>
                <w:bCs/>
                <w:color w:val="000000"/>
                <w:sz w:val="22"/>
                <w:szCs w:val="22"/>
                <w:lang w:eastAsia="en-US"/>
              </w:rPr>
            </w:pPr>
            <w:r w:rsidRPr="005035EE">
              <w:rPr>
                <w:rFonts w:ascii="Calibri" w:eastAsia="Times New Roman" w:hAnsi="Calibri" w:cs="Times New Roman"/>
                <w:b/>
                <w:bCs/>
                <w:color w:val="000000"/>
                <w:sz w:val="22"/>
                <w:szCs w:val="22"/>
                <w:lang w:eastAsia="en-US"/>
              </w:rPr>
              <w:t xml:space="preserve">Purchase </w:t>
            </w:r>
          </w:p>
        </w:tc>
      </w:tr>
      <w:tr w:rsidR="005035EE" w:rsidRPr="005035EE" w:rsidTr="00312DF5">
        <w:trPr>
          <w:trHeight w:val="300"/>
        </w:trPr>
        <w:tc>
          <w:tcPr>
            <w:tcW w:w="549" w:type="dxa"/>
            <w:tcBorders>
              <w:top w:val="nil"/>
              <w:left w:val="single" w:sz="8" w:space="0" w:color="auto"/>
              <w:bottom w:val="nil"/>
              <w:right w:val="nil"/>
            </w:tcBorders>
            <w:shd w:val="clear" w:color="auto" w:fill="auto"/>
            <w:noWrap/>
            <w:vAlign w:val="bottom"/>
            <w:hideMark/>
          </w:tcPr>
          <w:p w:rsidR="005035EE" w:rsidRPr="005035EE" w:rsidRDefault="005035EE" w:rsidP="005035EE">
            <w:pPr>
              <w:spacing w:after="0"/>
              <w:rPr>
                <w:rFonts w:ascii="Calibri" w:eastAsia="Times New Roman" w:hAnsi="Calibri" w:cs="Times New Roman"/>
                <w:color w:val="000000"/>
                <w:sz w:val="22"/>
                <w:szCs w:val="22"/>
                <w:lang w:eastAsia="en-US"/>
              </w:rPr>
            </w:pPr>
            <w:r w:rsidRPr="005035EE">
              <w:rPr>
                <w:rFonts w:ascii="Calibri" w:eastAsia="Times New Roman" w:hAnsi="Calibri" w:cs="Times New Roman"/>
                <w:color w:val="000000"/>
                <w:sz w:val="22"/>
                <w:szCs w:val="22"/>
                <w:lang w:eastAsia="en-US"/>
              </w:rPr>
              <w:t> </w:t>
            </w:r>
          </w:p>
        </w:tc>
        <w:tc>
          <w:tcPr>
            <w:tcW w:w="1751" w:type="dxa"/>
            <w:tcBorders>
              <w:top w:val="nil"/>
              <w:left w:val="nil"/>
              <w:bottom w:val="nil"/>
              <w:right w:val="nil"/>
            </w:tcBorders>
            <w:shd w:val="clear" w:color="auto" w:fill="auto"/>
            <w:noWrap/>
            <w:vAlign w:val="bottom"/>
            <w:hideMark/>
          </w:tcPr>
          <w:p w:rsidR="005035EE" w:rsidRPr="005035EE" w:rsidRDefault="005035EE" w:rsidP="005035EE">
            <w:pPr>
              <w:spacing w:after="0"/>
              <w:jc w:val="center"/>
              <w:rPr>
                <w:rFonts w:ascii="Calibri" w:eastAsia="Times New Roman" w:hAnsi="Calibri" w:cs="Times New Roman"/>
                <w:b/>
                <w:bCs/>
                <w:color w:val="000000"/>
                <w:sz w:val="22"/>
                <w:szCs w:val="22"/>
                <w:lang w:eastAsia="en-US"/>
              </w:rPr>
            </w:pPr>
            <w:r w:rsidRPr="005035EE">
              <w:rPr>
                <w:rFonts w:ascii="Calibri" w:eastAsia="Times New Roman" w:hAnsi="Calibri" w:cs="Times New Roman"/>
                <w:b/>
                <w:bCs/>
                <w:color w:val="000000"/>
                <w:sz w:val="22"/>
                <w:szCs w:val="22"/>
                <w:lang w:eastAsia="en-US"/>
              </w:rPr>
              <w:t>Cumulative</w:t>
            </w:r>
          </w:p>
        </w:tc>
        <w:tc>
          <w:tcPr>
            <w:tcW w:w="994" w:type="dxa"/>
            <w:tcBorders>
              <w:top w:val="nil"/>
              <w:left w:val="nil"/>
              <w:bottom w:val="nil"/>
              <w:right w:val="nil"/>
            </w:tcBorders>
            <w:shd w:val="clear" w:color="auto" w:fill="auto"/>
            <w:noWrap/>
            <w:vAlign w:val="bottom"/>
            <w:hideMark/>
          </w:tcPr>
          <w:p w:rsidR="005035EE" w:rsidRPr="005035EE" w:rsidRDefault="005035EE" w:rsidP="005035EE">
            <w:pPr>
              <w:spacing w:after="0"/>
              <w:rPr>
                <w:rFonts w:ascii="Calibri" w:eastAsia="Times New Roman" w:hAnsi="Calibri" w:cs="Times New Roman"/>
                <w:color w:val="000000"/>
                <w:sz w:val="22"/>
                <w:szCs w:val="22"/>
                <w:lang w:eastAsia="en-US"/>
              </w:rPr>
            </w:pPr>
          </w:p>
        </w:tc>
        <w:tc>
          <w:tcPr>
            <w:tcW w:w="1092" w:type="dxa"/>
            <w:tcBorders>
              <w:top w:val="nil"/>
              <w:left w:val="nil"/>
              <w:bottom w:val="nil"/>
              <w:right w:val="nil"/>
            </w:tcBorders>
            <w:shd w:val="clear" w:color="auto" w:fill="auto"/>
            <w:noWrap/>
            <w:vAlign w:val="bottom"/>
            <w:hideMark/>
          </w:tcPr>
          <w:p w:rsidR="005035EE" w:rsidRPr="005035EE" w:rsidRDefault="005035EE" w:rsidP="005035EE">
            <w:pPr>
              <w:spacing w:after="0"/>
              <w:rPr>
                <w:rFonts w:ascii="Calibri" w:eastAsia="Times New Roman" w:hAnsi="Calibri" w:cs="Times New Roman"/>
                <w:color w:val="000000"/>
                <w:sz w:val="22"/>
                <w:szCs w:val="22"/>
                <w:lang w:eastAsia="en-US"/>
              </w:rPr>
            </w:pPr>
          </w:p>
        </w:tc>
        <w:tc>
          <w:tcPr>
            <w:tcW w:w="1693" w:type="dxa"/>
            <w:tcBorders>
              <w:top w:val="nil"/>
              <w:left w:val="nil"/>
              <w:bottom w:val="nil"/>
              <w:right w:val="nil"/>
            </w:tcBorders>
            <w:shd w:val="clear" w:color="auto" w:fill="auto"/>
            <w:noWrap/>
            <w:vAlign w:val="bottom"/>
            <w:hideMark/>
          </w:tcPr>
          <w:p w:rsidR="005035EE" w:rsidRPr="005035EE" w:rsidRDefault="005035EE" w:rsidP="005035EE">
            <w:pPr>
              <w:spacing w:after="0"/>
              <w:jc w:val="center"/>
              <w:rPr>
                <w:rFonts w:ascii="Calibri" w:eastAsia="Times New Roman" w:hAnsi="Calibri" w:cs="Times New Roman"/>
                <w:b/>
                <w:bCs/>
                <w:color w:val="000000"/>
                <w:sz w:val="22"/>
                <w:szCs w:val="22"/>
                <w:lang w:eastAsia="en-US"/>
              </w:rPr>
            </w:pPr>
            <w:r w:rsidRPr="005035EE">
              <w:rPr>
                <w:rFonts w:ascii="Calibri" w:eastAsia="Times New Roman" w:hAnsi="Calibri" w:cs="Times New Roman"/>
                <w:b/>
                <w:bCs/>
                <w:color w:val="000000"/>
                <w:sz w:val="22"/>
                <w:szCs w:val="22"/>
                <w:lang w:eastAsia="en-US"/>
              </w:rPr>
              <w:t>FHFA</w:t>
            </w:r>
          </w:p>
        </w:tc>
        <w:tc>
          <w:tcPr>
            <w:tcW w:w="2238" w:type="dxa"/>
            <w:tcBorders>
              <w:top w:val="nil"/>
              <w:left w:val="nil"/>
              <w:bottom w:val="nil"/>
              <w:right w:val="nil"/>
            </w:tcBorders>
            <w:shd w:val="clear" w:color="auto" w:fill="auto"/>
            <w:noWrap/>
            <w:vAlign w:val="bottom"/>
            <w:hideMark/>
          </w:tcPr>
          <w:p w:rsidR="005035EE" w:rsidRPr="005035EE" w:rsidRDefault="005035EE" w:rsidP="005035EE">
            <w:pPr>
              <w:spacing w:after="0"/>
              <w:jc w:val="center"/>
              <w:rPr>
                <w:rFonts w:ascii="Calibri" w:eastAsia="Times New Roman" w:hAnsi="Calibri" w:cs="Times New Roman"/>
                <w:b/>
                <w:bCs/>
                <w:color w:val="000000"/>
                <w:sz w:val="22"/>
                <w:szCs w:val="22"/>
                <w:lang w:eastAsia="en-US"/>
              </w:rPr>
            </w:pPr>
            <w:r w:rsidRPr="005035EE">
              <w:rPr>
                <w:rFonts w:ascii="Calibri" w:eastAsia="Times New Roman" w:hAnsi="Calibri" w:cs="Times New Roman"/>
                <w:b/>
                <w:bCs/>
                <w:color w:val="000000"/>
                <w:sz w:val="22"/>
                <w:szCs w:val="22"/>
                <w:lang w:eastAsia="en-US"/>
              </w:rPr>
              <w:t>FHFA Adjusted For</w:t>
            </w:r>
          </w:p>
        </w:tc>
        <w:tc>
          <w:tcPr>
            <w:tcW w:w="1120" w:type="dxa"/>
            <w:tcBorders>
              <w:top w:val="nil"/>
              <w:left w:val="nil"/>
              <w:bottom w:val="nil"/>
              <w:right w:val="single" w:sz="8" w:space="0" w:color="auto"/>
            </w:tcBorders>
            <w:shd w:val="clear" w:color="auto" w:fill="auto"/>
            <w:noWrap/>
            <w:vAlign w:val="bottom"/>
            <w:hideMark/>
          </w:tcPr>
          <w:p w:rsidR="005035EE" w:rsidRPr="005035EE" w:rsidRDefault="005035EE" w:rsidP="005035EE">
            <w:pPr>
              <w:spacing w:after="0"/>
              <w:jc w:val="center"/>
              <w:rPr>
                <w:rFonts w:ascii="Calibri" w:eastAsia="Times New Roman" w:hAnsi="Calibri" w:cs="Times New Roman"/>
                <w:b/>
                <w:bCs/>
                <w:color w:val="000000"/>
                <w:sz w:val="22"/>
                <w:szCs w:val="22"/>
                <w:lang w:eastAsia="en-US"/>
              </w:rPr>
            </w:pPr>
            <w:r w:rsidRPr="005035EE">
              <w:rPr>
                <w:rFonts w:ascii="Calibri" w:eastAsia="Times New Roman" w:hAnsi="Calibri" w:cs="Times New Roman"/>
                <w:b/>
                <w:bCs/>
                <w:color w:val="000000"/>
                <w:sz w:val="22"/>
                <w:szCs w:val="22"/>
                <w:lang w:eastAsia="en-US"/>
              </w:rPr>
              <w:t>Only</w:t>
            </w:r>
          </w:p>
        </w:tc>
      </w:tr>
      <w:tr w:rsidR="005035EE" w:rsidRPr="005035EE" w:rsidTr="00312DF5">
        <w:trPr>
          <w:trHeight w:val="300"/>
        </w:trPr>
        <w:tc>
          <w:tcPr>
            <w:tcW w:w="549" w:type="dxa"/>
            <w:tcBorders>
              <w:top w:val="nil"/>
              <w:left w:val="single" w:sz="8" w:space="0" w:color="auto"/>
              <w:bottom w:val="nil"/>
              <w:right w:val="nil"/>
            </w:tcBorders>
            <w:shd w:val="clear" w:color="auto" w:fill="auto"/>
            <w:noWrap/>
            <w:vAlign w:val="bottom"/>
            <w:hideMark/>
          </w:tcPr>
          <w:p w:rsidR="005035EE" w:rsidRPr="005035EE" w:rsidRDefault="005035EE" w:rsidP="005035EE">
            <w:pPr>
              <w:spacing w:after="0"/>
              <w:rPr>
                <w:rFonts w:ascii="Calibri" w:eastAsia="Times New Roman" w:hAnsi="Calibri" w:cs="Times New Roman"/>
                <w:color w:val="000000"/>
                <w:sz w:val="22"/>
                <w:szCs w:val="22"/>
                <w:lang w:eastAsia="en-US"/>
              </w:rPr>
            </w:pPr>
            <w:r w:rsidRPr="005035EE">
              <w:rPr>
                <w:rFonts w:ascii="Calibri" w:eastAsia="Times New Roman" w:hAnsi="Calibri" w:cs="Times New Roman"/>
                <w:color w:val="000000"/>
                <w:sz w:val="22"/>
                <w:szCs w:val="22"/>
                <w:lang w:eastAsia="en-US"/>
              </w:rPr>
              <w:t> </w:t>
            </w:r>
          </w:p>
        </w:tc>
        <w:tc>
          <w:tcPr>
            <w:tcW w:w="1751" w:type="dxa"/>
            <w:tcBorders>
              <w:top w:val="nil"/>
              <w:left w:val="nil"/>
              <w:bottom w:val="nil"/>
              <w:right w:val="nil"/>
            </w:tcBorders>
            <w:shd w:val="clear" w:color="auto" w:fill="auto"/>
            <w:noWrap/>
            <w:vAlign w:val="bottom"/>
            <w:hideMark/>
          </w:tcPr>
          <w:p w:rsidR="005035EE" w:rsidRPr="005035EE" w:rsidRDefault="005035EE" w:rsidP="005035EE">
            <w:pPr>
              <w:spacing w:after="0"/>
              <w:jc w:val="center"/>
              <w:rPr>
                <w:rFonts w:ascii="Calibri" w:eastAsia="Times New Roman" w:hAnsi="Calibri" w:cs="Times New Roman"/>
                <w:b/>
                <w:bCs/>
                <w:color w:val="000000"/>
                <w:sz w:val="22"/>
                <w:szCs w:val="22"/>
                <w:lang w:eastAsia="en-US"/>
              </w:rPr>
            </w:pPr>
            <w:r w:rsidRPr="005035EE">
              <w:rPr>
                <w:rFonts w:ascii="Calibri" w:eastAsia="Times New Roman" w:hAnsi="Calibri" w:cs="Times New Roman"/>
                <w:b/>
                <w:bCs/>
                <w:color w:val="000000"/>
                <w:sz w:val="22"/>
                <w:szCs w:val="22"/>
                <w:lang w:eastAsia="en-US"/>
              </w:rPr>
              <w:t>Loss Rates</w:t>
            </w:r>
          </w:p>
        </w:tc>
        <w:tc>
          <w:tcPr>
            <w:tcW w:w="994" w:type="dxa"/>
            <w:tcBorders>
              <w:top w:val="nil"/>
              <w:left w:val="nil"/>
              <w:bottom w:val="nil"/>
              <w:right w:val="nil"/>
            </w:tcBorders>
            <w:shd w:val="clear" w:color="auto" w:fill="auto"/>
            <w:noWrap/>
            <w:vAlign w:val="bottom"/>
            <w:hideMark/>
          </w:tcPr>
          <w:p w:rsidR="005035EE" w:rsidRPr="005035EE" w:rsidRDefault="005035EE" w:rsidP="005035EE">
            <w:pPr>
              <w:spacing w:after="0"/>
              <w:rPr>
                <w:rFonts w:ascii="Calibri" w:eastAsia="Times New Roman" w:hAnsi="Calibri" w:cs="Times New Roman"/>
                <w:color w:val="000000"/>
                <w:sz w:val="22"/>
                <w:szCs w:val="22"/>
                <w:lang w:eastAsia="en-US"/>
              </w:rPr>
            </w:pPr>
          </w:p>
        </w:tc>
        <w:tc>
          <w:tcPr>
            <w:tcW w:w="1092" w:type="dxa"/>
            <w:tcBorders>
              <w:top w:val="nil"/>
              <w:left w:val="nil"/>
              <w:bottom w:val="nil"/>
              <w:right w:val="nil"/>
            </w:tcBorders>
            <w:shd w:val="clear" w:color="auto" w:fill="auto"/>
            <w:noWrap/>
            <w:vAlign w:val="bottom"/>
            <w:hideMark/>
          </w:tcPr>
          <w:p w:rsidR="005035EE" w:rsidRPr="005035EE" w:rsidRDefault="005035EE" w:rsidP="005035EE">
            <w:pPr>
              <w:spacing w:after="0"/>
              <w:jc w:val="center"/>
              <w:rPr>
                <w:rFonts w:ascii="Calibri" w:eastAsia="Times New Roman" w:hAnsi="Calibri" w:cs="Times New Roman"/>
                <w:b/>
                <w:bCs/>
                <w:color w:val="000000"/>
                <w:sz w:val="22"/>
                <w:szCs w:val="22"/>
                <w:lang w:eastAsia="en-US"/>
              </w:rPr>
            </w:pPr>
            <w:r w:rsidRPr="005035EE">
              <w:rPr>
                <w:rFonts w:ascii="Calibri" w:eastAsia="Times New Roman" w:hAnsi="Calibri" w:cs="Times New Roman"/>
                <w:b/>
                <w:bCs/>
                <w:color w:val="000000"/>
                <w:sz w:val="22"/>
                <w:szCs w:val="22"/>
                <w:lang w:eastAsia="en-US"/>
              </w:rPr>
              <w:t>WTD</w:t>
            </w:r>
          </w:p>
        </w:tc>
        <w:tc>
          <w:tcPr>
            <w:tcW w:w="1693" w:type="dxa"/>
            <w:tcBorders>
              <w:top w:val="nil"/>
              <w:left w:val="nil"/>
              <w:bottom w:val="nil"/>
              <w:right w:val="nil"/>
            </w:tcBorders>
            <w:shd w:val="clear" w:color="auto" w:fill="auto"/>
            <w:noWrap/>
            <w:vAlign w:val="bottom"/>
            <w:hideMark/>
          </w:tcPr>
          <w:p w:rsidR="005035EE" w:rsidRPr="005035EE" w:rsidRDefault="005035EE" w:rsidP="005035EE">
            <w:pPr>
              <w:spacing w:after="0"/>
              <w:jc w:val="center"/>
              <w:rPr>
                <w:rFonts w:ascii="Calibri" w:eastAsia="Times New Roman" w:hAnsi="Calibri" w:cs="Times New Roman"/>
                <w:b/>
                <w:bCs/>
                <w:color w:val="000000"/>
                <w:sz w:val="22"/>
                <w:szCs w:val="22"/>
                <w:lang w:eastAsia="en-US"/>
              </w:rPr>
            </w:pPr>
            <w:r w:rsidRPr="005035EE">
              <w:rPr>
                <w:rFonts w:ascii="Calibri" w:eastAsia="Times New Roman" w:hAnsi="Calibri" w:cs="Times New Roman"/>
                <w:b/>
                <w:bCs/>
                <w:color w:val="000000"/>
                <w:sz w:val="22"/>
                <w:szCs w:val="22"/>
                <w:lang w:eastAsia="en-US"/>
              </w:rPr>
              <w:t>Implied</w:t>
            </w:r>
          </w:p>
        </w:tc>
        <w:tc>
          <w:tcPr>
            <w:tcW w:w="2238" w:type="dxa"/>
            <w:tcBorders>
              <w:top w:val="nil"/>
              <w:left w:val="nil"/>
              <w:bottom w:val="nil"/>
              <w:right w:val="nil"/>
            </w:tcBorders>
            <w:shd w:val="clear" w:color="auto" w:fill="auto"/>
            <w:noWrap/>
            <w:vAlign w:val="bottom"/>
            <w:hideMark/>
          </w:tcPr>
          <w:p w:rsidR="005035EE" w:rsidRPr="005035EE" w:rsidRDefault="005035EE" w:rsidP="005035EE">
            <w:pPr>
              <w:spacing w:after="0"/>
              <w:jc w:val="center"/>
              <w:rPr>
                <w:rFonts w:ascii="Calibri" w:eastAsia="Times New Roman" w:hAnsi="Calibri" w:cs="Times New Roman"/>
                <w:b/>
                <w:bCs/>
                <w:color w:val="000000"/>
                <w:sz w:val="22"/>
                <w:szCs w:val="22"/>
                <w:lang w:eastAsia="en-US"/>
              </w:rPr>
            </w:pPr>
            <w:r w:rsidRPr="005035EE">
              <w:rPr>
                <w:rFonts w:ascii="Calibri" w:eastAsia="Times New Roman" w:hAnsi="Calibri" w:cs="Times New Roman"/>
                <w:b/>
                <w:bCs/>
                <w:color w:val="000000"/>
                <w:sz w:val="22"/>
                <w:szCs w:val="22"/>
                <w:lang w:eastAsia="en-US"/>
              </w:rPr>
              <w:t>Purchase Only</w:t>
            </w:r>
          </w:p>
        </w:tc>
        <w:tc>
          <w:tcPr>
            <w:tcW w:w="1120" w:type="dxa"/>
            <w:tcBorders>
              <w:top w:val="nil"/>
              <w:left w:val="nil"/>
              <w:bottom w:val="nil"/>
              <w:right w:val="single" w:sz="8" w:space="0" w:color="auto"/>
            </w:tcBorders>
            <w:shd w:val="clear" w:color="auto" w:fill="auto"/>
            <w:noWrap/>
            <w:vAlign w:val="bottom"/>
            <w:hideMark/>
          </w:tcPr>
          <w:p w:rsidR="005035EE" w:rsidRPr="005035EE" w:rsidRDefault="005035EE" w:rsidP="005035EE">
            <w:pPr>
              <w:spacing w:after="0"/>
              <w:jc w:val="center"/>
              <w:rPr>
                <w:rFonts w:ascii="Calibri" w:eastAsia="Times New Roman" w:hAnsi="Calibri" w:cs="Times New Roman"/>
                <w:b/>
                <w:bCs/>
                <w:color w:val="000000"/>
                <w:sz w:val="22"/>
                <w:szCs w:val="22"/>
                <w:lang w:eastAsia="en-US"/>
              </w:rPr>
            </w:pPr>
            <w:r w:rsidRPr="005035EE">
              <w:rPr>
                <w:rFonts w:ascii="Calibri" w:eastAsia="Times New Roman" w:hAnsi="Calibri" w:cs="Times New Roman"/>
                <w:b/>
                <w:bCs/>
                <w:color w:val="000000"/>
                <w:sz w:val="22"/>
                <w:szCs w:val="22"/>
                <w:lang w:eastAsia="en-US"/>
              </w:rPr>
              <w:t>2007</w:t>
            </w:r>
          </w:p>
        </w:tc>
      </w:tr>
      <w:tr w:rsidR="005035EE" w:rsidRPr="005035EE" w:rsidTr="00312DF5">
        <w:trPr>
          <w:trHeight w:val="300"/>
        </w:trPr>
        <w:tc>
          <w:tcPr>
            <w:tcW w:w="549" w:type="dxa"/>
            <w:tcBorders>
              <w:top w:val="nil"/>
              <w:left w:val="single" w:sz="8" w:space="0" w:color="auto"/>
              <w:bottom w:val="nil"/>
              <w:right w:val="nil"/>
            </w:tcBorders>
            <w:shd w:val="clear" w:color="auto" w:fill="auto"/>
            <w:noWrap/>
            <w:vAlign w:val="bottom"/>
            <w:hideMark/>
          </w:tcPr>
          <w:p w:rsidR="005035EE" w:rsidRPr="005035EE" w:rsidRDefault="005035EE" w:rsidP="005035EE">
            <w:pPr>
              <w:spacing w:after="0"/>
              <w:jc w:val="center"/>
              <w:rPr>
                <w:rFonts w:ascii="Calibri" w:eastAsia="Times New Roman" w:hAnsi="Calibri" w:cs="Times New Roman"/>
                <w:b/>
                <w:bCs/>
                <w:color w:val="000000"/>
                <w:sz w:val="22"/>
                <w:szCs w:val="22"/>
                <w:u w:val="single"/>
                <w:lang w:eastAsia="en-US"/>
              </w:rPr>
            </w:pPr>
            <w:r w:rsidRPr="005035EE">
              <w:rPr>
                <w:rFonts w:ascii="Calibri" w:eastAsia="Times New Roman" w:hAnsi="Calibri" w:cs="Times New Roman"/>
                <w:b/>
                <w:bCs/>
                <w:color w:val="000000"/>
                <w:sz w:val="22"/>
                <w:szCs w:val="22"/>
                <w:u w:val="single"/>
                <w:lang w:eastAsia="en-US"/>
              </w:rPr>
              <w:t>LTV</w:t>
            </w:r>
          </w:p>
        </w:tc>
        <w:tc>
          <w:tcPr>
            <w:tcW w:w="1751" w:type="dxa"/>
            <w:tcBorders>
              <w:top w:val="nil"/>
              <w:left w:val="nil"/>
              <w:bottom w:val="nil"/>
              <w:right w:val="nil"/>
            </w:tcBorders>
            <w:shd w:val="clear" w:color="auto" w:fill="auto"/>
            <w:noWrap/>
            <w:vAlign w:val="bottom"/>
            <w:hideMark/>
          </w:tcPr>
          <w:p w:rsidR="005035EE" w:rsidRPr="00CC52DA" w:rsidRDefault="005035EE" w:rsidP="005035EE">
            <w:pPr>
              <w:spacing w:after="0"/>
              <w:jc w:val="center"/>
              <w:rPr>
                <w:rFonts w:ascii="Calibri" w:eastAsia="Times New Roman" w:hAnsi="Calibri" w:cs="Times New Roman"/>
                <w:b/>
                <w:bCs/>
                <w:color w:val="000000"/>
                <w:sz w:val="22"/>
                <w:szCs w:val="22"/>
                <w:u w:val="single"/>
                <w:lang w:eastAsia="en-US"/>
              </w:rPr>
            </w:pPr>
            <w:r w:rsidRPr="00CC52DA">
              <w:rPr>
                <w:rFonts w:ascii="Calibri" w:eastAsia="Times New Roman" w:hAnsi="Calibri" w:cs="Times New Roman"/>
                <w:b/>
                <w:bCs/>
                <w:color w:val="000000"/>
                <w:sz w:val="22"/>
                <w:szCs w:val="22"/>
                <w:u w:val="single"/>
                <w:lang w:eastAsia="en-US"/>
              </w:rPr>
              <w:t>REFI/Purchase</w:t>
            </w:r>
          </w:p>
        </w:tc>
        <w:tc>
          <w:tcPr>
            <w:tcW w:w="994" w:type="dxa"/>
            <w:tcBorders>
              <w:top w:val="nil"/>
              <w:left w:val="nil"/>
              <w:bottom w:val="nil"/>
              <w:right w:val="nil"/>
            </w:tcBorders>
            <w:shd w:val="clear" w:color="auto" w:fill="auto"/>
            <w:noWrap/>
            <w:vAlign w:val="bottom"/>
            <w:hideMark/>
          </w:tcPr>
          <w:p w:rsidR="005035EE" w:rsidRPr="005035EE" w:rsidRDefault="005035EE" w:rsidP="005035EE">
            <w:pPr>
              <w:spacing w:after="0"/>
              <w:jc w:val="center"/>
              <w:rPr>
                <w:rFonts w:ascii="Calibri" w:eastAsia="Times New Roman" w:hAnsi="Calibri" w:cs="Times New Roman"/>
                <w:b/>
                <w:bCs/>
                <w:color w:val="000000"/>
                <w:sz w:val="22"/>
                <w:szCs w:val="22"/>
                <w:u w:val="single"/>
                <w:lang w:eastAsia="en-US"/>
              </w:rPr>
            </w:pPr>
            <w:r w:rsidRPr="005035EE">
              <w:rPr>
                <w:rFonts w:ascii="Calibri" w:eastAsia="Times New Roman" w:hAnsi="Calibri" w:cs="Times New Roman"/>
                <w:b/>
                <w:bCs/>
                <w:color w:val="000000"/>
                <w:sz w:val="22"/>
                <w:szCs w:val="22"/>
                <w:u w:val="single"/>
                <w:lang w:eastAsia="en-US"/>
              </w:rPr>
              <w:t xml:space="preserve">% </w:t>
            </w:r>
            <w:proofErr w:type="spellStart"/>
            <w:r w:rsidRPr="005035EE">
              <w:rPr>
                <w:rFonts w:ascii="Calibri" w:eastAsia="Times New Roman" w:hAnsi="Calibri" w:cs="Times New Roman"/>
                <w:b/>
                <w:bCs/>
                <w:color w:val="000000"/>
                <w:sz w:val="22"/>
                <w:szCs w:val="22"/>
                <w:u w:val="single"/>
                <w:lang w:eastAsia="en-US"/>
              </w:rPr>
              <w:t>Purch</w:t>
            </w:r>
            <w:proofErr w:type="spellEnd"/>
          </w:p>
        </w:tc>
        <w:tc>
          <w:tcPr>
            <w:tcW w:w="1092" w:type="dxa"/>
            <w:tcBorders>
              <w:top w:val="nil"/>
              <w:left w:val="nil"/>
              <w:bottom w:val="nil"/>
              <w:right w:val="nil"/>
            </w:tcBorders>
            <w:shd w:val="clear" w:color="auto" w:fill="auto"/>
            <w:noWrap/>
            <w:vAlign w:val="bottom"/>
            <w:hideMark/>
          </w:tcPr>
          <w:p w:rsidR="005035EE" w:rsidRPr="005035EE" w:rsidRDefault="005035EE" w:rsidP="005035EE">
            <w:pPr>
              <w:spacing w:after="0"/>
              <w:jc w:val="center"/>
              <w:rPr>
                <w:rFonts w:ascii="Calibri" w:eastAsia="Times New Roman" w:hAnsi="Calibri" w:cs="Times New Roman"/>
                <w:b/>
                <w:bCs/>
                <w:color w:val="000000"/>
                <w:sz w:val="22"/>
                <w:szCs w:val="22"/>
                <w:u w:val="single"/>
                <w:lang w:eastAsia="en-US"/>
              </w:rPr>
            </w:pPr>
            <w:r w:rsidRPr="005035EE">
              <w:rPr>
                <w:rFonts w:ascii="Calibri" w:eastAsia="Times New Roman" w:hAnsi="Calibri" w:cs="Times New Roman"/>
                <w:b/>
                <w:bCs/>
                <w:color w:val="000000"/>
                <w:sz w:val="22"/>
                <w:szCs w:val="22"/>
                <w:u w:val="single"/>
                <w:lang w:eastAsia="en-US"/>
              </w:rPr>
              <w:t>RT Effect</w:t>
            </w:r>
          </w:p>
        </w:tc>
        <w:tc>
          <w:tcPr>
            <w:tcW w:w="1693" w:type="dxa"/>
            <w:tcBorders>
              <w:top w:val="nil"/>
              <w:left w:val="nil"/>
              <w:bottom w:val="nil"/>
              <w:right w:val="nil"/>
            </w:tcBorders>
            <w:shd w:val="clear" w:color="auto" w:fill="auto"/>
            <w:noWrap/>
            <w:vAlign w:val="bottom"/>
            <w:hideMark/>
          </w:tcPr>
          <w:p w:rsidR="005035EE" w:rsidRPr="005035EE" w:rsidRDefault="005035EE" w:rsidP="005035EE">
            <w:pPr>
              <w:spacing w:after="0"/>
              <w:jc w:val="center"/>
              <w:rPr>
                <w:rFonts w:ascii="Calibri" w:eastAsia="Times New Roman" w:hAnsi="Calibri" w:cs="Times New Roman"/>
                <w:b/>
                <w:bCs/>
                <w:color w:val="000000"/>
                <w:sz w:val="22"/>
                <w:szCs w:val="22"/>
                <w:u w:val="single"/>
                <w:lang w:eastAsia="en-US"/>
              </w:rPr>
            </w:pPr>
            <w:r w:rsidRPr="005035EE">
              <w:rPr>
                <w:rFonts w:ascii="Calibri" w:eastAsia="Times New Roman" w:hAnsi="Calibri" w:cs="Times New Roman"/>
                <w:b/>
                <w:bCs/>
                <w:color w:val="000000"/>
                <w:sz w:val="22"/>
                <w:szCs w:val="22"/>
                <w:u w:val="single"/>
                <w:lang w:eastAsia="en-US"/>
              </w:rPr>
              <w:t>Stress Default</w:t>
            </w:r>
          </w:p>
        </w:tc>
        <w:tc>
          <w:tcPr>
            <w:tcW w:w="2238" w:type="dxa"/>
            <w:tcBorders>
              <w:top w:val="nil"/>
              <w:left w:val="nil"/>
              <w:bottom w:val="nil"/>
              <w:right w:val="nil"/>
            </w:tcBorders>
            <w:shd w:val="clear" w:color="auto" w:fill="auto"/>
            <w:noWrap/>
            <w:vAlign w:val="bottom"/>
            <w:hideMark/>
          </w:tcPr>
          <w:p w:rsidR="005035EE" w:rsidRPr="005035EE" w:rsidRDefault="005810A1" w:rsidP="005810A1">
            <w:pPr>
              <w:spacing w:after="0"/>
              <w:jc w:val="center"/>
              <w:rPr>
                <w:rFonts w:ascii="Calibri" w:eastAsia="Times New Roman" w:hAnsi="Calibri" w:cs="Times New Roman"/>
                <w:b/>
                <w:bCs/>
                <w:color w:val="000000"/>
                <w:sz w:val="22"/>
                <w:szCs w:val="22"/>
                <w:u w:val="single"/>
                <w:lang w:eastAsia="en-US"/>
              </w:rPr>
            </w:pPr>
            <w:r>
              <w:rPr>
                <w:rFonts w:ascii="Calibri" w:eastAsia="Times New Roman" w:hAnsi="Calibri" w:cs="Times New Roman"/>
                <w:b/>
                <w:bCs/>
                <w:color w:val="000000"/>
                <w:sz w:val="22"/>
                <w:szCs w:val="22"/>
                <w:u w:val="single"/>
                <w:lang w:eastAsia="en-US"/>
              </w:rPr>
              <w:t>(Col 4</w:t>
            </w:r>
            <w:r w:rsidR="005035EE" w:rsidRPr="005035EE">
              <w:rPr>
                <w:rFonts w:ascii="Calibri" w:eastAsia="Times New Roman" w:hAnsi="Calibri" w:cs="Times New Roman"/>
                <w:b/>
                <w:bCs/>
                <w:color w:val="000000"/>
                <w:sz w:val="22"/>
                <w:szCs w:val="22"/>
                <w:u w:val="single"/>
                <w:lang w:eastAsia="en-US"/>
              </w:rPr>
              <w:t xml:space="preserve">/Col </w:t>
            </w:r>
            <w:r>
              <w:rPr>
                <w:rFonts w:ascii="Calibri" w:eastAsia="Times New Roman" w:hAnsi="Calibri" w:cs="Times New Roman"/>
                <w:b/>
                <w:bCs/>
                <w:color w:val="000000"/>
                <w:sz w:val="22"/>
                <w:szCs w:val="22"/>
                <w:u w:val="single"/>
                <w:lang w:eastAsia="en-US"/>
              </w:rPr>
              <w:t>3</w:t>
            </w:r>
            <w:r w:rsidR="005035EE" w:rsidRPr="005035EE">
              <w:rPr>
                <w:rFonts w:ascii="Calibri" w:eastAsia="Times New Roman" w:hAnsi="Calibri" w:cs="Times New Roman"/>
                <w:b/>
                <w:bCs/>
                <w:color w:val="000000"/>
                <w:sz w:val="22"/>
                <w:szCs w:val="22"/>
                <w:u w:val="single"/>
                <w:lang w:eastAsia="en-US"/>
              </w:rPr>
              <w:t>)</w:t>
            </w:r>
          </w:p>
        </w:tc>
        <w:tc>
          <w:tcPr>
            <w:tcW w:w="1120" w:type="dxa"/>
            <w:tcBorders>
              <w:top w:val="nil"/>
              <w:left w:val="nil"/>
              <w:bottom w:val="nil"/>
              <w:right w:val="single" w:sz="8" w:space="0" w:color="auto"/>
            </w:tcBorders>
            <w:shd w:val="clear" w:color="auto" w:fill="auto"/>
            <w:noWrap/>
            <w:vAlign w:val="bottom"/>
            <w:hideMark/>
          </w:tcPr>
          <w:p w:rsidR="005035EE" w:rsidRPr="005035EE" w:rsidRDefault="005035EE" w:rsidP="005035EE">
            <w:pPr>
              <w:spacing w:after="0"/>
              <w:jc w:val="center"/>
              <w:rPr>
                <w:rFonts w:ascii="Calibri" w:eastAsia="Times New Roman" w:hAnsi="Calibri" w:cs="Times New Roman"/>
                <w:b/>
                <w:bCs/>
                <w:color w:val="000000"/>
                <w:sz w:val="22"/>
                <w:szCs w:val="22"/>
                <w:u w:val="single"/>
                <w:lang w:eastAsia="en-US"/>
              </w:rPr>
            </w:pPr>
            <w:r w:rsidRPr="005035EE">
              <w:rPr>
                <w:rFonts w:ascii="Calibri" w:eastAsia="Times New Roman" w:hAnsi="Calibri" w:cs="Times New Roman"/>
                <w:b/>
                <w:bCs/>
                <w:color w:val="000000"/>
                <w:sz w:val="22"/>
                <w:szCs w:val="22"/>
                <w:u w:val="single"/>
                <w:lang w:eastAsia="en-US"/>
              </w:rPr>
              <w:t>Def Rate</w:t>
            </w:r>
          </w:p>
        </w:tc>
      </w:tr>
      <w:tr w:rsidR="005035EE" w:rsidRPr="005035EE" w:rsidTr="00312DF5">
        <w:trPr>
          <w:trHeight w:val="300"/>
        </w:trPr>
        <w:tc>
          <w:tcPr>
            <w:tcW w:w="549" w:type="dxa"/>
            <w:tcBorders>
              <w:top w:val="nil"/>
              <w:left w:val="single" w:sz="8" w:space="0" w:color="auto"/>
              <w:bottom w:val="nil"/>
              <w:right w:val="nil"/>
            </w:tcBorders>
            <w:shd w:val="clear" w:color="auto" w:fill="auto"/>
            <w:noWrap/>
            <w:vAlign w:val="bottom"/>
            <w:hideMark/>
          </w:tcPr>
          <w:p w:rsidR="005035EE" w:rsidRPr="005035EE" w:rsidRDefault="005035EE" w:rsidP="005035EE">
            <w:pPr>
              <w:spacing w:after="0"/>
              <w:rPr>
                <w:rFonts w:ascii="Calibri" w:eastAsia="Times New Roman" w:hAnsi="Calibri" w:cs="Times New Roman"/>
                <w:color w:val="000000"/>
                <w:sz w:val="22"/>
                <w:szCs w:val="22"/>
                <w:lang w:eastAsia="en-US"/>
              </w:rPr>
            </w:pPr>
            <w:r w:rsidRPr="005035EE">
              <w:rPr>
                <w:rFonts w:ascii="Calibri" w:eastAsia="Times New Roman" w:hAnsi="Calibri" w:cs="Times New Roman"/>
                <w:color w:val="000000"/>
                <w:sz w:val="22"/>
                <w:szCs w:val="22"/>
                <w:lang w:eastAsia="en-US"/>
              </w:rPr>
              <w:t> </w:t>
            </w:r>
          </w:p>
        </w:tc>
        <w:tc>
          <w:tcPr>
            <w:tcW w:w="1751" w:type="dxa"/>
            <w:tcBorders>
              <w:top w:val="nil"/>
              <w:left w:val="nil"/>
              <w:bottom w:val="nil"/>
              <w:right w:val="nil"/>
            </w:tcBorders>
            <w:shd w:val="clear" w:color="auto" w:fill="auto"/>
            <w:noWrap/>
            <w:vAlign w:val="bottom"/>
            <w:hideMark/>
          </w:tcPr>
          <w:p w:rsidR="005035EE" w:rsidRPr="005035EE" w:rsidRDefault="005035EE" w:rsidP="005035EE">
            <w:pPr>
              <w:spacing w:after="0"/>
              <w:jc w:val="center"/>
              <w:rPr>
                <w:rFonts w:ascii="Calibri" w:eastAsia="Times New Roman" w:hAnsi="Calibri" w:cs="Times New Roman"/>
                <w:b/>
                <w:bCs/>
                <w:color w:val="000000"/>
                <w:sz w:val="22"/>
                <w:szCs w:val="22"/>
                <w:lang w:eastAsia="en-US"/>
              </w:rPr>
            </w:pPr>
            <w:r w:rsidRPr="005035EE">
              <w:rPr>
                <w:rFonts w:ascii="Calibri" w:eastAsia="Times New Roman" w:hAnsi="Calibri" w:cs="Times New Roman"/>
                <w:b/>
                <w:bCs/>
                <w:color w:val="000000"/>
                <w:sz w:val="22"/>
                <w:szCs w:val="22"/>
                <w:lang w:eastAsia="en-US"/>
              </w:rPr>
              <w:t>Col 1</w:t>
            </w:r>
          </w:p>
        </w:tc>
        <w:tc>
          <w:tcPr>
            <w:tcW w:w="994" w:type="dxa"/>
            <w:tcBorders>
              <w:top w:val="nil"/>
              <w:left w:val="nil"/>
              <w:bottom w:val="nil"/>
              <w:right w:val="nil"/>
            </w:tcBorders>
            <w:shd w:val="clear" w:color="auto" w:fill="auto"/>
            <w:noWrap/>
            <w:vAlign w:val="bottom"/>
            <w:hideMark/>
          </w:tcPr>
          <w:p w:rsidR="005035EE" w:rsidRPr="005035EE" w:rsidRDefault="005035EE" w:rsidP="005035EE">
            <w:pPr>
              <w:spacing w:after="0"/>
              <w:jc w:val="center"/>
              <w:rPr>
                <w:rFonts w:ascii="Calibri" w:eastAsia="Times New Roman" w:hAnsi="Calibri" w:cs="Times New Roman"/>
                <w:color w:val="000000"/>
                <w:sz w:val="22"/>
                <w:szCs w:val="22"/>
                <w:lang w:eastAsia="en-US"/>
              </w:rPr>
            </w:pPr>
            <w:r w:rsidRPr="005035EE">
              <w:rPr>
                <w:rFonts w:ascii="Calibri" w:eastAsia="Times New Roman" w:hAnsi="Calibri" w:cs="Times New Roman"/>
                <w:color w:val="000000"/>
                <w:sz w:val="22"/>
                <w:szCs w:val="22"/>
                <w:lang w:eastAsia="en-US"/>
              </w:rPr>
              <w:t>Col 2</w:t>
            </w:r>
          </w:p>
        </w:tc>
        <w:tc>
          <w:tcPr>
            <w:tcW w:w="1092" w:type="dxa"/>
            <w:tcBorders>
              <w:top w:val="nil"/>
              <w:left w:val="nil"/>
              <w:bottom w:val="nil"/>
              <w:right w:val="nil"/>
            </w:tcBorders>
            <w:shd w:val="clear" w:color="auto" w:fill="auto"/>
            <w:noWrap/>
            <w:vAlign w:val="bottom"/>
            <w:hideMark/>
          </w:tcPr>
          <w:p w:rsidR="005035EE" w:rsidRPr="005035EE" w:rsidRDefault="005810A1" w:rsidP="005035EE">
            <w:pPr>
              <w:spacing w:after="0"/>
              <w:jc w:val="center"/>
              <w:rPr>
                <w:rFonts w:ascii="Calibri" w:eastAsia="Times New Roman" w:hAnsi="Calibri" w:cs="Times New Roman"/>
                <w:color w:val="000000"/>
                <w:sz w:val="22"/>
                <w:szCs w:val="22"/>
                <w:lang w:eastAsia="en-US"/>
              </w:rPr>
            </w:pPr>
            <w:r>
              <w:rPr>
                <w:rFonts w:ascii="Calibri" w:eastAsia="Times New Roman" w:hAnsi="Calibri" w:cs="Times New Roman"/>
                <w:color w:val="000000"/>
                <w:sz w:val="22"/>
                <w:szCs w:val="22"/>
                <w:lang w:eastAsia="en-US"/>
              </w:rPr>
              <w:t>Col 3</w:t>
            </w:r>
          </w:p>
        </w:tc>
        <w:tc>
          <w:tcPr>
            <w:tcW w:w="1693" w:type="dxa"/>
            <w:tcBorders>
              <w:top w:val="nil"/>
              <w:left w:val="nil"/>
              <w:bottom w:val="nil"/>
              <w:right w:val="nil"/>
            </w:tcBorders>
            <w:shd w:val="clear" w:color="auto" w:fill="auto"/>
            <w:noWrap/>
            <w:vAlign w:val="bottom"/>
            <w:hideMark/>
          </w:tcPr>
          <w:p w:rsidR="005035EE" w:rsidRPr="005035EE" w:rsidRDefault="005810A1" w:rsidP="005035EE">
            <w:pPr>
              <w:spacing w:after="0"/>
              <w:jc w:val="center"/>
              <w:rPr>
                <w:rFonts w:ascii="Calibri" w:eastAsia="Times New Roman" w:hAnsi="Calibri" w:cs="Times New Roman"/>
                <w:b/>
                <w:bCs/>
                <w:color w:val="000000"/>
                <w:sz w:val="22"/>
                <w:szCs w:val="22"/>
                <w:lang w:eastAsia="en-US"/>
              </w:rPr>
            </w:pPr>
            <w:r>
              <w:rPr>
                <w:rFonts w:ascii="Calibri" w:eastAsia="Times New Roman" w:hAnsi="Calibri" w:cs="Times New Roman"/>
                <w:b/>
                <w:bCs/>
                <w:color w:val="000000"/>
                <w:sz w:val="22"/>
                <w:szCs w:val="22"/>
                <w:lang w:eastAsia="en-US"/>
              </w:rPr>
              <w:t>Col 4</w:t>
            </w:r>
          </w:p>
        </w:tc>
        <w:tc>
          <w:tcPr>
            <w:tcW w:w="2238" w:type="dxa"/>
            <w:tcBorders>
              <w:top w:val="nil"/>
              <w:left w:val="nil"/>
              <w:bottom w:val="nil"/>
              <w:right w:val="nil"/>
            </w:tcBorders>
            <w:shd w:val="clear" w:color="auto" w:fill="auto"/>
            <w:noWrap/>
            <w:vAlign w:val="bottom"/>
            <w:hideMark/>
          </w:tcPr>
          <w:p w:rsidR="005035EE" w:rsidRPr="005035EE" w:rsidRDefault="005810A1" w:rsidP="005035EE">
            <w:pPr>
              <w:spacing w:after="0"/>
              <w:jc w:val="center"/>
              <w:rPr>
                <w:rFonts w:ascii="Calibri" w:eastAsia="Times New Roman" w:hAnsi="Calibri" w:cs="Times New Roman"/>
                <w:color w:val="000000"/>
                <w:sz w:val="22"/>
                <w:szCs w:val="22"/>
                <w:lang w:eastAsia="en-US"/>
              </w:rPr>
            </w:pPr>
            <w:r>
              <w:rPr>
                <w:rFonts w:ascii="Calibri" w:eastAsia="Times New Roman" w:hAnsi="Calibri" w:cs="Times New Roman"/>
                <w:color w:val="000000"/>
                <w:sz w:val="22"/>
                <w:szCs w:val="22"/>
                <w:lang w:eastAsia="en-US"/>
              </w:rPr>
              <w:t>Col 5</w:t>
            </w:r>
          </w:p>
        </w:tc>
        <w:tc>
          <w:tcPr>
            <w:tcW w:w="1120" w:type="dxa"/>
            <w:tcBorders>
              <w:top w:val="nil"/>
              <w:left w:val="nil"/>
              <w:bottom w:val="nil"/>
              <w:right w:val="single" w:sz="8" w:space="0" w:color="auto"/>
            </w:tcBorders>
            <w:shd w:val="clear" w:color="auto" w:fill="auto"/>
            <w:noWrap/>
            <w:vAlign w:val="bottom"/>
            <w:hideMark/>
          </w:tcPr>
          <w:p w:rsidR="005035EE" w:rsidRPr="005035EE" w:rsidRDefault="005810A1" w:rsidP="005035EE">
            <w:pPr>
              <w:spacing w:after="0"/>
              <w:jc w:val="center"/>
              <w:rPr>
                <w:rFonts w:ascii="Calibri" w:eastAsia="Times New Roman" w:hAnsi="Calibri" w:cs="Times New Roman"/>
                <w:color w:val="000000"/>
                <w:sz w:val="22"/>
                <w:szCs w:val="22"/>
                <w:lang w:eastAsia="en-US"/>
              </w:rPr>
            </w:pPr>
            <w:r>
              <w:rPr>
                <w:rFonts w:ascii="Calibri" w:eastAsia="Times New Roman" w:hAnsi="Calibri" w:cs="Times New Roman"/>
                <w:color w:val="000000"/>
                <w:sz w:val="22"/>
                <w:szCs w:val="22"/>
                <w:lang w:eastAsia="en-US"/>
              </w:rPr>
              <w:t>Col 6</w:t>
            </w:r>
          </w:p>
        </w:tc>
      </w:tr>
      <w:tr w:rsidR="005035EE" w:rsidRPr="005035EE" w:rsidTr="00312DF5">
        <w:trPr>
          <w:trHeight w:val="300"/>
        </w:trPr>
        <w:tc>
          <w:tcPr>
            <w:tcW w:w="549" w:type="dxa"/>
            <w:tcBorders>
              <w:top w:val="nil"/>
              <w:left w:val="single" w:sz="8" w:space="0" w:color="auto"/>
              <w:bottom w:val="nil"/>
              <w:right w:val="nil"/>
            </w:tcBorders>
            <w:shd w:val="clear" w:color="auto" w:fill="auto"/>
            <w:noWrap/>
            <w:vAlign w:val="bottom"/>
            <w:hideMark/>
          </w:tcPr>
          <w:p w:rsidR="005035EE" w:rsidRPr="005035EE" w:rsidRDefault="005035EE" w:rsidP="005035EE">
            <w:pPr>
              <w:spacing w:after="0"/>
              <w:jc w:val="center"/>
              <w:rPr>
                <w:rFonts w:ascii="Calibri" w:eastAsia="Times New Roman" w:hAnsi="Calibri" w:cs="Times New Roman"/>
                <w:b/>
                <w:bCs/>
                <w:color w:val="000000"/>
                <w:sz w:val="22"/>
                <w:szCs w:val="22"/>
                <w:lang w:eastAsia="en-US"/>
              </w:rPr>
            </w:pPr>
            <w:r w:rsidRPr="005035EE">
              <w:rPr>
                <w:rFonts w:ascii="Calibri" w:eastAsia="Times New Roman" w:hAnsi="Calibri" w:cs="Times New Roman"/>
                <w:b/>
                <w:bCs/>
                <w:color w:val="000000"/>
                <w:sz w:val="22"/>
                <w:szCs w:val="22"/>
                <w:lang w:eastAsia="en-US"/>
              </w:rPr>
              <w:t>85</w:t>
            </w:r>
          </w:p>
        </w:tc>
        <w:tc>
          <w:tcPr>
            <w:tcW w:w="1751" w:type="dxa"/>
            <w:tcBorders>
              <w:top w:val="nil"/>
              <w:left w:val="nil"/>
              <w:bottom w:val="nil"/>
              <w:right w:val="nil"/>
            </w:tcBorders>
            <w:shd w:val="clear" w:color="auto" w:fill="auto"/>
            <w:noWrap/>
            <w:vAlign w:val="bottom"/>
            <w:hideMark/>
          </w:tcPr>
          <w:p w:rsidR="005035EE" w:rsidRPr="005035EE" w:rsidRDefault="005035EE" w:rsidP="005035EE">
            <w:pPr>
              <w:spacing w:after="0"/>
              <w:jc w:val="center"/>
              <w:rPr>
                <w:rFonts w:ascii="Calibri" w:eastAsia="Times New Roman" w:hAnsi="Calibri" w:cs="Times New Roman"/>
                <w:b/>
                <w:bCs/>
                <w:color w:val="000000"/>
                <w:sz w:val="22"/>
                <w:szCs w:val="22"/>
                <w:lang w:eastAsia="en-US"/>
              </w:rPr>
            </w:pPr>
            <w:r w:rsidRPr="005035EE">
              <w:rPr>
                <w:rFonts w:ascii="Calibri" w:eastAsia="Times New Roman" w:hAnsi="Calibri" w:cs="Times New Roman"/>
                <w:b/>
                <w:bCs/>
                <w:color w:val="000000"/>
                <w:sz w:val="22"/>
                <w:szCs w:val="22"/>
                <w:lang w:eastAsia="en-US"/>
              </w:rPr>
              <w:t>2.23</w:t>
            </w:r>
          </w:p>
        </w:tc>
        <w:tc>
          <w:tcPr>
            <w:tcW w:w="994" w:type="dxa"/>
            <w:tcBorders>
              <w:top w:val="nil"/>
              <w:left w:val="nil"/>
              <w:bottom w:val="nil"/>
              <w:right w:val="nil"/>
            </w:tcBorders>
            <w:shd w:val="clear" w:color="auto" w:fill="auto"/>
            <w:noWrap/>
            <w:vAlign w:val="bottom"/>
            <w:hideMark/>
          </w:tcPr>
          <w:p w:rsidR="005035EE" w:rsidRPr="005035EE" w:rsidRDefault="005035EE" w:rsidP="005035EE">
            <w:pPr>
              <w:spacing w:after="0"/>
              <w:jc w:val="center"/>
              <w:rPr>
                <w:rFonts w:ascii="Calibri" w:eastAsia="Times New Roman" w:hAnsi="Calibri" w:cs="Times New Roman"/>
                <w:color w:val="000000"/>
                <w:sz w:val="22"/>
                <w:szCs w:val="22"/>
                <w:lang w:eastAsia="en-US"/>
              </w:rPr>
            </w:pPr>
            <w:r w:rsidRPr="005035EE">
              <w:rPr>
                <w:rFonts w:ascii="Calibri" w:eastAsia="Times New Roman" w:hAnsi="Calibri" w:cs="Times New Roman"/>
                <w:color w:val="000000"/>
                <w:sz w:val="22"/>
                <w:szCs w:val="22"/>
                <w:lang w:eastAsia="en-US"/>
              </w:rPr>
              <w:t>76%</w:t>
            </w:r>
          </w:p>
        </w:tc>
        <w:tc>
          <w:tcPr>
            <w:tcW w:w="1092" w:type="dxa"/>
            <w:tcBorders>
              <w:top w:val="nil"/>
              <w:left w:val="nil"/>
              <w:bottom w:val="nil"/>
              <w:right w:val="nil"/>
            </w:tcBorders>
            <w:shd w:val="clear" w:color="auto" w:fill="auto"/>
            <w:noWrap/>
            <w:vAlign w:val="bottom"/>
            <w:hideMark/>
          </w:tcPr>
          <w:p w:rsidR="005035EE" w:rsidRPr="005035EE" w:rsidRDefault="005035EE" w:rsidP="005035EE">
            <w:pPr>
              <w:spacing w:after="0"/>
              <w:jc w:val="center"/>
              <w:rPr>
                <w:rFonts w:ascii="Calibri" w:eastAsia="Times New Roman" w:hAnsi="Calibri" w:cs="Times New Roman"/>
                <w:color w:val="000000"/>
                <w:sz w:val="22"/>
                <w:szCs w:val="22"/>
                <w:lang w:eastAsia="en-US"/>
              </w:rPr>
            </w:pPr>
            <w:r w:rsidRPr="005035EE">
              <w:rPr>
                <w:rFonts w:ascii="Calibri" w:eastAsia="Times New Roman" w:hAnsi="Calibri" w:cs="Times New Roman"/>
                <w:color w:val="000000"/>
                <w:sz w:val="22"/>
                <w:szCs w:val="22"/>
                <w:lang w:eastAsia="en-US"/>
              </w:rPr>
              <w:t>1.292</w:t>
            </w:r>
          </w:p>
        </w:tc>
        <w:tc>
          <w:tcPr>
            <w:tcW w:w="1693" w:type="dxa"/>
            <w:tcBorders>
              <w:top w:val="nil"/>
              <w:left w:val="nil"/>
              <w:bottom w:val="nil"/>
              <w:right w:val="nil"/>
            </w:tcBorders>
            <w:shd w:val="clear" w:color="auto" w:fill="auto"/>
            <w:noWrap/>
            <w:vAlign w:val="bottom"/>
            <w:hideMark/>
          </w:tcPr>
          <w:p w:rsidR="005035EE" w:rsidRPr="005035EE" w:rsidRDefault="005035EE" w:rsidP="005035EE">
            <w:pPr>
              <w:spacing w:after="0"/>
              <w:jc w:val="center"/>
              <w:rPr>
                <w:rFonts w:ascii="Calibri" w:eastAsia="Times New Roman" w:hAnsi="Calibri" w:cs="Times New Roman"/>
                <w:color w:val="000000"/>
                <w:sz w:val="22"/>
                <w:szCs w:val="22"/>
                <w:lang w:eastAsia="en-US"/>
              </w:rPr>
            </w:pPr>
            <w:r w:rsidRPr="005035EE">
              <w:rPr>
                <w:rFonts w:ascii="Calibri" w:eastAsia="Times New Roman" w:hAnsi="Calibri" w:cs="Times New Roman"/>
                <w:color w:val="000000"/>
                <w:sz w:val="22"/>
                <w:szCs w:val="22"/>
                <w:lang w:eastAsia="en-US"/>
              </w:rPr>
              <w:t>32.9%</w:t>
            </w:r>
          </w:p>
        </w:tc>
        <w:tc>
          <w:tcPr>
            <w:tcW w:w="2238" w:type="dxa"/>
            <w:tcBorders>
              <w:top w:val="nil"/>
              <w:left w:val="nil"/>
              <w:bottom w:val="nil"/>
              <w:right w:val="nil"/>
            </w:tcBorders>
            <w:shd w:val="clear" w:color="auto" w:fill="auto"/>
            <w:noWrap/>
            <w:vAlign w:val="bottom"/>
            <w:hideMark/>
          </w:tcPr>
          <w:p w:rsidR="005035EE" w:rsidRPr="005035EE" w:rsidRDefault="005035EE" w:rsidP="005035EE">
            <w:pPr>
              <w:spacing w:after="0"/>
              <w:jc w:val="center"/>
              <w:rPr>
                <w:rFonts w:ascii="Calibri" w:eastAsia="Times New Roman" w:hAnsi="Calibri" w:cs="Times New Roman"/>
                <w:b/>
                <w:bCs/>
                <w:color w:val="000000"/>
                <w:sz w:val="22"/>
                <w:szCs w:val="22"/>
                <w:lang w:eastAsia="en-US"/>
              </w:rPr>
            </w:pPr>
            <w:r w:rsidRPr="005035EE">
              <w:rPr>
                <w:rFonts w:ascii="Calibri" w:eastAsia="Times New Roman" w:hAnsi="Calibri" w:cs="Times New Roman"/>
                <w:b/>
                <w:bCs/>
                <w:color w:val="000000"/>
                <w:sz w:val="22"/>
                <w:szCs w:val="22"/>
                <w:lang w:eastAsia="en-US"/>
              </w:rPr>
              <w:t>25.5%</w:t>
            </w:r>
          </w:p>
        </w:tc>
        <w:tc>
          <w:tcPr>
            <w:tcW w:w="1120" w:type="dxa"/>
            <w:tcBorders>
              <w:top w:val="nil"/>
              <w:left w:val="nil"/>
              <w:bottom w:val="nil"/>
              <w:right w:val="single" w:sz="8" w:space="0" w:color="auto"/>
            </w:tcBorders>
            <w:shd w:val="clear" w:color="auto" w:fill="auto"/>
            <w:noWrap/>
            <w:vAlign w:val="bottom"/>
            <w:hideMark/>
          </w:tcPr>
          <w:p w:rsidR="005035EE" w:rsidRPr="005035EE" w:rsidRDefault="005035EE" w:rsidP="005035EE">
            <w:pPr>
              <w:spacing w:after="0"/>
              <w:jc w:val="center"/>
              <w:rPr>
                <w:rFonts w:ascii="Calibri" w:eastAsia="Times New Roman" w:hAnsi="Calibri" w:cs="Times New Roman"/>
                <w:b/>
                <w:bCs/>
                <w:color w:val="000000"/>
                <w:sz w:val="22"/>
                <w:szCs w:val="22"/>
                <w:lang w:eastAsia="en-US"/>
              </w:rPr>
            </w:pPr>
            <w:r w:rsidRPr="005035EE">
              <w:rPr>
                <w:rFonts w:ascii="Calibri" w:eastAsia="Times New Roman" w:hAnsi="Calibri" w:cs="Times New Roman"/>
                <w:b/>
                <w:bCs/>
                <w:color w:val="000000"/>
                <w:sz w:val="22"/>
                <w:szCs w:val="22"/>
                <w:lang w:eastAsia="en-US"/>
              </w:rPr>
              <w:t>9.1%</w:t>
            </w:r>
          </w:p>
        </w:tc>
      </w:tr>
      <w:tr w:rsidR="005035EE" w:rsidRPr="005035EE" w:rsidTr="00312DF5">
        <w:trPr>
          <w:trHeight w:val="300"/>
        </w:trPr>
        <w:tc>
          <w:tcPr>
            <w:tcW w:w="549" w:type="dxa"/>
            <w:tcBorders>
              <w:top w:val="nil"/>
              <w:left w:val="single" w:sz="8" w:space="0" w:color="auto"/>
              <w:bottom w:val="nil"/>
              <w:right w:val="nil"/>
            </w:tcBorders>
            <w:shd w:val="clear" w:color="000000" w:fill="99FFCC"/>
            <w:noWrap/>
            <w:vAlign w:val="bottom"/>
            <w:hideMark/>
          </w:tcPr>
          <w:p w:rsidR="005035EE" w:rsidRPr="005035EE" w:rsidRDefault="005035EE" w:rsidP="005035EE">
            <w:pPr>
              <w:spacing w:after="0"/>
              <w:jc w:val="center"/>
              <w:rPr>
                <w:rFonts w:ascii="Calibri" w:eastAsia="Times New Roman" w:hAnsi="Calibri" w:cs="Times New Roman"/>
                <w:b/>
                <w:bCs/>
                <w:color w:val="000000"/>
                <w:sz w:val="22"/>
                <w:szCs w:val="22"/>
                <w:lang w:eastAsia="en-US"/>
              </w:rPr>
            </w:pPr>
            <w:r w:rsidRPr="005035EE">
              <w:rPr>
                <w:rFonts w:ascii="Calibri" w:eastAsia="Times New Roman" w:hAnsi="Calibri" w:cs="Times New Roman"/>
                <w:b/>
                <w:bCs/>
                <w:color w:val="000000"/>
                <w:sz w:val="22"/>
                <w:szCs w:val="22"/>
                <w:lang w:eastAsia="en-US"/>
              </w:rPr>
              <w:t>90</w:t>
            </w:r>
          </w:p>
        </w:tc>
        <w:tc>
          <w:tcPr>
            <w:tcW w:w="1751" w:type="dxa"/>
            <w:tcBorders>
              <w:top w:val="nil"/>
              <w:left w:val="nil"/>
              <w:bottom w:val="nil"/>
              <w:right w:val="nil"/>
            </w:tcBorders>
            <w:shd w:val="clear" w:color="auto" w:fill="auto"/>
            <w:noWrap/>
            <w:vAlign w:val="bottom"/>
            <w:hideMark/>
          </w:tcPr>
          <w:p w:rsidR="005035EE" w:rsidRPr="005035EE" w:rsidRDefault="005035EE" w:rsidP="005035EE">
            <w:pPr>
              <w:spacing w:after="0"/>
              <w:jc w:val="center"/>
              <w:rPr>
                <w:rFonts w:ascii="Calibri" w:eastAsia="Times New Roman" w:hAnsi="Calibri" w:cs="Times New Roman"/>
                <w:b/>
                <w:bCs/>
                <w:color w:val="000000"/>
                <w:sz w:val="22"/>
                <w:szCs w:val="22"/>
                <w:lang w:eastAsia="en-US"/>
              </w:rPr>
            </w:pPr>
            <w:r w:rsidRPr="005035EE">
              <w:rPr>
                <w:rFonts w:ascii="Calibri" w:eastAsia="Times New Roman" w:hAnsi="Calibri" w:cs="Times New Roman"/>
                <w:b/>
                <w:bCs/>
                <w:color w:val="000000"/>
                <w:sz w:val="22"/>
                <w:szCs w:val="22"/>
                <w:lang w:eastAsia="en-US"/>
              </w:rPr>
              <w:t>2.69</w:t>
            </w:r>
          </w:p>
        </w:tc>
        <w:tc>
          <w:tcPr>
            <w:tcW w:w="994" w:type="dxa"/>
            <w:tcBorders>
              <w:top w:val="nil"/>
              <w:left w:val="nil"/>
              <w:bottom w:val="nil"/>
              <w:right w:val="nil"/>
            </w:tcBorders>
            <w:shd w:val="clear" w:color="auto" w:fill="auto"/>
            <w:noWrap/>
            <w:vAlign w:val="bottom"/>
            <w:hideMark/>
          </w:tcPr>
          <w:p w:rsidR="005035EE" w:rsidRPr="005035EE" w:rsidRDefault="005035EE" w:rsidP="005035EE">
            <w:pPr>
              <w:spacing w:after="0"/>
              <w:jc w:val="center"/>
              <w:rPr>
                <w:rFonts w:ascii="Calibri" w:eastAsia="Times New Roman" w:hAnsi="Calibri" w:cs="Times New Roman"/>
                <w:color w:val="000000"/>
                <w:sz w:val="22"/>
                <w:szCs w:val="22"/>
                <w:lang w:eastAsia="en-US"/>
              </w:rPr>
            </w:pPr>
            <w:r w:rsidRPr="005035EE">
              <w:rPr>
                <w:rFonts w:ascii="Calibri" w:eastAsia="Times New Roman" w:hAnsi="Calibri" w:cs="Times New Roman"/>
                <w:color w:val="000000"/>
                <w:sz w:val="22"/>
                <w:szCs w:val="22"/>
                <w:lang w:eastAsia="en-US"/>
              </w:rPr>
              <w:t>49%</w:t>
            </w:r>
          </w:p>
        </w:tc>
        <w:tc>
          <w:tcPr>
            <w:tcW w:w="1092" w:type="dxa"/>
            <w:tcBorders>
              <w:top w:val="nil"/>
              <w:left w:val="nil"/>
              <w:bottom w:val="nil"/>
              <w:right w:val="nil"/>
            </w:tcBorders>
            <w:shd w:val="clear" w:color="auto" w:fill="auto"/>
            <w:noWrap/>
            <w:vAlign w:val="bottom"/>
            <w:hideMark/>
          </w:tcPr>
          <w:p w:rsidR="005035EE" w:rsidRPr="005035EE" w:rsidRDefault="005035EE" w:rsidP="005035EE">
            <w:pPr>
              <w:spacing w:after="0"/>
              <w:jc w:val="center"/>
              <w:rPr>
                <w:rFonts w:ascii="Calibri" w:eastAsia="Times New Roman" w:hAnsi="Calibri" w:cs="Times New Roman"/>
                <w:color w:val="000000"/>
                <w:sz w:val="22"/>
                <w:szCs w:val="22"/>
                <w:lang w:eastAsia="en-US"/>
              </w:rPr>
            </w:pPr>
            <w:r w:rsidRPr="005035EE">
              <w:rPr>
                <w:rFonts w:ascii="Calibri" w:eastAsia="Times New Roman" w:hAnsi="Calibri" w:cs="Times New Roman"/>
                <w:color w:val="000000"/>
                <w:sz w:val="22"/>
                <w:szCs w:val="22"/>
                <w:lang w:eastAsia="en-US"/>
              </w:rPr>
              <w:t>1.853</w:t>
            </w:r>
          </w:p>
        </w:tc>
        <w:tc>
          <w:tcPr>
            <w:tcW w:w="1693" w:type="dxa"/>
            <w:tcBorders>
              <w:top w:val="nil"/>
              <w:left w:val="nil"/>
              <w:bottom w:val="nil"/>
              <w:right w:val="nil"/>
            </w:tcBorders>
            <w:shd w:val="clear" w:color="auto" w:fill="auto"/>
            <w:noWrap/>
            <w:vAlign w:val="bottom"/>
            <w:hideMark/>
          </w:tcPr>
          <w:p w:rsidR="005035EE" w:rsidRPr="005035EE" w:rsidRDefault="005035EE" w:rsidP="005035EE">
            <w:pPr>
              <w:spacing w:after="0"/>
              <w:jc w:val="center"/>
              <w:rPr>
                <w:rFonts w:ascii="Calibri" w:eastAsia="Times New Roman" w:hAnsi="Calibri" w:cs="Times New Roman"/>
                <w:color w:val="000000"/>
                <w:sz w:val="22"/>
                <w:szCs w:val="22"/>
                <w:lang w:eastAsia="en-US"/>
              </w:rPr>
            </w:pPr>
            <w:r w:rsidRPr="005035EE">
              <w:rPr>
                <w:rFonts w:ascii="Calibri" w:eastAsia="Times New Roman" w:hAnsi="Calibri" w:cs="Times New Roman"/>
                <w:color w:val="000000"/>
                <w:sz w:val="22"/>
                <w:szCs w:val="22"/>
                <w:lang w:eastAsia="en-US"/>
              </w:rPr>
              <w:t>26.3%</w:t>
            </w:r>
          </w:p>
        </w:tc>
        <w:tc>
          <w:tcPr>
            <w:tcW w:w="2238" w:type="dxa"/>
            <w:tcBorders>
              <w:top w:val="nil"/>
              <w:left w:val="nil"/>
              <w:bottom w:val="nil"/>
              <w:right w:val="nil"/>
            </w:tcBorders>
            <w:shd w:val="clear" w:color="000000" w:fill="99FFCC"/>
            <w:noWrap/>
            <w:vAlign w:val="bottom"/>
            <w:hideMark/>
          </w:tcPr>
          <w:p w:rsidR="005035EE" w:rsidRPr="005035EE" w:rsidRDefault="005035EE" w:rsidP="005035EE">
            <w:pPr>
              <w:spacing w:after="0"/>
              <w:jc w:val="center"/>
              <w:rPr>
                <w:rFonts w:ascii="Calibri" w:eastAsia="Times New Roman" w:hAnsi="Calibri" w:cs="Times New Roman"/>
                <w:b/>
                <w:bCs/>
                <w:color w:val="000000"/>
                <w:sz w:val="22"/>
                <w:szCs w:val="22"/>
                <w:lang w:eastAsia="en-US"/>
              </w:rPr>
            </w:pPr>
            <w:r w:rsidRPr="005035EE">
              <w:rPr>
                <w:rFonts w:ascii="Calibri" w:eastAsia="Times New Roman" w:hAnsi="Calibri" w:cs="Times New Roman"/>
                <w:b/>
                <w:bCs/>
                <w:color w:val="000000"/>
                <w:sz w:val="22"/>
                <w:szCs w:val="22"/>
                <w:lang w:eastAsia="en-US"/>
              </w:rPr>
              <w:t>14.2%</w:t>
            </w:r>
          </w:p>
        </w:tc>
        <w:tc>
          <w:tcPr>
            <w:tcW w:w="1120" w:type="dxa"/>
            <w:tcBorders>
              <w:top w:val="nil"/>
              <w:left w:val="nil"/>
              <w:bottom w:val="nil"/>
              <w:right w:val="single" w:sz="8" w:space="0" w:color="auto"/>
            </w:tcBorders>
            <w:shd w:val="clear" w:color="000000" w:fill="99FFCC"/>
            <w:noWrap/>
            <w:vAlign w:val="bottom"/>
            <w:hideMark/>
          </w:tcPr>
          <w:p w:rsidR="005035EE" w:rsidRPr="005035EE" w:rsidRDefault="005035EE" w:rsidP="005035EE">
            <w:pPr>
              <w:spacing w:after="0"/>
              <w:jc w:val="center"/>
              <w:rPr>
                <w:rFonts w:ascii="Calibri" w:eastAsia="Times New Roman" w:hAnsi="Calibri" w:cs="Times New Roman"/>
                <w:b/>
                <w:bCs/>
                <w:color w:val="000000"/>
                <w:sz w:val="22"/>
                <w:szCs w:val="22"/>
                <w:lang w:eastAsia="en-US"/>
              </w:rPr>
            </w:pPr>
            <w:r w:rsidRPr="005035EE">
              <w:rPr>
                <w:rFonts w:ascii="Calibri" w:eastAsia="Times New Roman" w:hAnsi="Calibri" w:cs="Times New Roman"/>
                <w:b/>
                <w:bCs/>
                <w:color w:val="000000"/>
                <w:sz w:val="22"/>
                <w:szCs w:val="22"/>
                <w:lang w:eastAsia="en-US"/>
              </w:rPr>
              <w:t>15.2%</w:t>
            </w:r>
          </w:p>
        </w:tc>
      </w:tr>
      <w:tr w:rsidR="005035EE" w:rsidRPr="005035EE" w:rsidTr="00312DF5">
        <w:trPr>
          <w:trHeight w:val="300"/>
        </w:trPr>
        <w:tc>
          <w:tcPr>
            <w:tcW w:w="549" w:type="dxa"/>
            <w:tcBorders>
              <w:top w:val="nil"/>
              <w:left w:val="single" w:sz="8" w:space="0" w:color="auto"/>
              <w:bottom w:val="nil"/>
              <w:right w:val="nil"/>
            </w:tcBorders>
            <w:shd w:val="clear" w:color="000000" w:fill="99FFCC"/>
            <w:noWrap/>
            <w:vAlign w:val="bottom"/>
            <w:hideMark/>
          </w:tcPr>
          <w:p w:rsidR="005035EE" w:rsidRPr="005035EE" w:rsidRDefault="005035EE" w:rsidP="005035EE">
            <w:pPr>
              <w:spacing w:after="0"/>
              <w:jc w:val="center"/>
              <w:rPr>
                <w:rFonts w:ascii="Calibri" w:eastAsia="Times New Roman" w:hAnsi="Calibri" w:cs="Times New Roman"/>
                <w:b/>
                <w:bCs/>
                <w:color w:val="000000"/>
                <w:sz w:val="22"/>
                <w:szCs w:val="22"/>
                <w:lang w:eastAsia="en-US"/>
              </w:rPr>
            </w:pPr>
            <w:r w:rsidRPr="005035EE">
              <w:rPr>
                <w:rFonts w:ascii="Calibri" w:eastAsia="Times New Roman" w:hAnsi="Calibri" w:cs="Times New Roman"/>
                <w:b/>
                <w:bCs/>
                <w:color w:val="000000"/>
                <w:sz w:val="22"/>
                <w:szCs w:val="22"/>
                <w:lang w:eastAsia="en-US"/>
              </w:rPr>
              <w:t>95</w:t>
            </w:r>
          </w:p>
        </w:tc>
        <w:tc>
          <w:tcPr>
            <w:tcW w:w="1751" w:type="dxa"/>
            <w:tcBorders>
              <w:top w:val="nil"/>
              <w:left w:val="nil"/>
              <w:bottom w:val="nil"/>
              <w:right w:val="nil"/>
            </w:tcBorders>
            <w:shd w:val="clear" w:color="auto" w:fill="auto"/>
            <w:noWrap/>
            <w:vAlign w:val="bottom"/>
            <w:hideMark/>
          </w:tcPr>
          <w:p w:rsidR="005035EE" w:rsidRPr="005035EE" w:rsidRDefault="005035EE" w:rsidP="005035EE">
            <w:pPr>
              <w:spacing w:after="0"/>
              <w:jc w:val="center"/>
              <w:rPr>
                <w:rFonts w:ascii="Calibri" w:eastAsia="Times New Roman" w:hAnsi="Calibri" w:cs="Times New Roman"/>
                <w:b/>
                <w:bCs/>
                <w:color w:val="000000"/>
                <w:sz w:val="22"/>
                <w:szCs w:val="22"/>
                <w:lang w:eastAsia="en-US"/>
              </w:rPr>
            </w:pPr>
            <w:r w:rsidRPr="005035EE">
              <w:rPr>
                <w:rFonts w:ascii="Calibri" w:eastAsia="Times New Roman" w:hAnsi="Calibri" w:cs="Times New Roman"/>
                <w:b/>
                <w:bCs/>
                <w:color w:val="000000"/>
                <w:sz w:val="22"/>
                <w:szCs w:val="22"/>
                <w:lang w:eastAsia="en-US"/>
              </w:rPr>
              <w:t>2.43</w:t>
            </w:r>
          </w:p>
        </w:tc>
        <w:tc>
          <w:tcPr>
            <w:tcW w:w="994" w:type="dxa"/>
            <w:tcBorders>
              <w:top w:val="nil"/>
              <w:left w:val="nil"/>
              <w:bottom w:val="nil"/>
              <w:right w:val="nil"/>
            </w:tcBorders>
            <w:shd w:val="clear" w:color="auto" w:fill="auto"/>
            <w:noWrap/>
            <w:vAlign w:val="bottom"/>
            <w:hideMark/>
          </w:tcPr>
          <w:p w:rsidR="005035EE" w:rsidRPr="005035EE" w:rsidRDefault="005035EE" w:rsidP="005035EE">
            <w:pPr>
              <w:spacing w:after="0"/>
              <w:jc w:val="center"/>
              <w:rPr>
                <w:rFonts w:ascii="Calibri" w:eastAsia="Times New Roman" w:hAnsi="Calibri" w:cs="Times New Roman"/>
                <w:color w:val="000000"/>
                <w:sz w:val="22"/>
                <w:szCs w:val="22"/>
                <w:lang w:eastAsia="en-US"/>
              </w:rPr>
            </w:pPr>
            <w:r w:rsidRPr="005035EE">
              <w:rPr>
                <w:rFonts w:ascii="Calibri" w:eastAsia="Times New Roman" w:hAnsi="Calibri" w:cs="Times New Roman"/>
                <w:color w:val="000000"/>
                <w:sz w:val="22"/>
                <w:szCs w:val="22"/>
                <w:lang w:eastAsia="en-US"/>
              </w:rPr>
              <w:t>72%</w:t>
            </w:r>
          </w:p>
        </w:tc>
        <w:tc>
          <w:tcPr>
            <w:tcW w:w="1092" w:type="dxa"/>
            <w:tcBorders>
              <w:top w:val="nil"/>
              <w:left w:val="nil"/>
              <w:bottom w:val="nil"/>
              <w:right w:val="nil"/>
            </w:tcBorders>
            <w:shd w:val="clear" w:color="auto" w:fill="auto"/>
            <w:noWrap/>
            <w:vAlign w:val="bottom"/>
            <w:hideMark/>
          </w:tcPr>
          <w:p w:rsidR="005035EE" w:rsidRPr="005035EE" w:rsidRDefault="005035EE" w:rsidP="005035EE">
            <w:pPr>
              <w:spacing w:after="0"/>
              <w:jc w:val="center"/>
              <w:rPr>
                <w:rFonts w:ascii="Calibri" w:eastAsia="Times New Roman" w:hAnsi="Calibri" w:cs="Times New Roman"/>
                <w:color w:val="000000"/>
                <w:sz w:val="22"/>
                <w:szCs w:val="22"/>
                <w:lang w:eastAsia="en-US"/>
              </w:rPr>
            </w:pPr>
            <w:r w:rsidRPr="005035EE">
              <w:rPr>
                <w:rFonts w:ascii="Calibri" w:eastAsia="Times New Roman" w:hAnsi="Calibri" w:cs="Times New Roman"/>
                <w:color w:val="000000"/>
                <w:sz w:val="22"/>
                <w:szCs w:val="22"/>
                <w:lang w:eastAsia="en-US"/>
              </w:rPr>
              <w:t>1.406</w:t>
            </w:r>
          </w:p>
        </w:tc>
        <w:tc>
          <w:tcPr>
            <w:tcW w:w="1693" w:type="dxa"/>
            <w:tcBorders>
              <w:top w:val="nil"/>
              <w:left w:val="nil"/>
              <w:bottom w:val="nil"/>
              <w:right w:val="nil"/>
            </w:tcBorders>
            <w:shd w:val="clear" w:color="auto" w:fill="auto"/>
            <w:noWrap/>
            <w:vAlign w:val="bottom"/>
            <w:hideMark/>
          </w:tcPr>
          <w:p w:rsidR="005035EE" w:rsidRPr="005035EE" w:rsidRDefault="005035EE" w:rsidP="005035EE">
            <w:pPr>
              <w:spacing w:after="0"/>
              <w:jc w:val="center"/>
              <w:rPr>
                <w:rFonts w:ascii="Calibri" w:eastAsia="Times New Roman" w:hAnsi="Calibri" w:cs="Times New Roman"/>
                <w:color w:val="000000"/>
                <w:sz w:val="22"/>
                <w:szCs w:val="22"/>
                <w:lang w:eastAsia="en-US"/>
              </w:rPr>
            </w:pPr>
            <w:r w:rsidRPr="005035EE">
              <w:rPr>
                <w:rFonts w:ascii="Calibri" w:eastAsia="Times New Roman" w:hAnsi="Calibri" w:cs="Times New Roman"/>
                <w:color w:val="000000"/>
                <w:sz w:val="22"/>
                <w:szCs w:val="22"/>
                <w:lang w:eastAsia="en-US"/>
              </w:rPr>
              <w:t>29.8%</w:t>
            </w:r>
          </w:p>
        </w:tc>
        <w:tc>
          <w:tcPr>
            <w:tcW w:w="2238" w:type="dxa"/>
            <w:tcBorders>
              <w:top w:val="nil"/>
              <w:left w:val="nil"/>
              <w:bottom w:val="nil"/>
              <w:right w:val="nil"/>
            </w:tcBorders>
            <w:shd w:val="clear" w:color="000000" w:fill="99FFCC"/>
            <w:noWrap/>
            <w:vAlign w:val="bottom"/>
            <w:hideMark/>
          </w:tcPr>
          <w:p w:rsidR="005035EE" w:rsidRPr="005035EE" w:rsidRDefault="005035EE" w:rsidP="005035EE">
            <w:pPr>
              <w:spacing w:after="0"/>
              <w:jc w:val="center"/>
              <w:rPr>
                <w:rFonts w:ascii="Calibri" w:eastAsia="Times New Roman" w:hAnsi="Calibri" w:cs="Times New Roman"/>
                <w:b/>
                <w:bCs/>
                <w:color w:val="000000"/>
                <w:sz w:val="22"/>
                <w:szCs w:val="22"/>
                <w:lang w:eastAsia="en-US"/>
              </w:rPr>
            </w:pPr>
            <w:r w:rsidRPr="005035EE">
              <w:rPr>
                <w:rFonts w:ascii="Calibri" w:eastAsia="Times New Roman" w:hAnsi="Calibri" w:cs="Times New Roman"/>
                <w:b/>
                <w:bCs/>
                <w:color w:val="000000"/>
                <w:sz w:val="22"/>
                <w:szCs w:val="22"/>
                <w:lang w:eastAsia="en-US"/>
              </w:rPr>
              <w:t>21.2%</w:t>
            </w:r>
          </w:p>
        </w:tc>
        <w:tc>
          <w:tcPr>
            <w:tcW w:w="1120" w:type="dxa"/>
            <w:tcBorders>
              <w:top w:val="nil"/>
              <w:left w:val="nil"/>
              <w:bottom w:val="nil"/>
              <w:right w:val="single" w:sz="8" w:space="0" w:color="auto"/>
            </w:tcBorders>
            <w:shd w:val="clear" w:color="000000" w:fill="99FFCC"/>
            <w:noWrap/>
            <w:vAlign w:val="bottom"/>
            <w:hideMark/>
          </w:tcPr>
          <w:p w:rsidR="005035EE" w:rsidRPr="005035EE" w:rsidRDefault="005035EE" w:rsidP="005035EE">
            <w:pPr>
              <w:spacing w:after="0"/>
              <w:jc w:val="center"/>
              <w:rPr>
                <w:rFonts w:ascii="Calibri" w:eastAsia="Times New Roman" w:hAnsi="Calibri" w:cs="Times New Roman"/>
                <w:b/>
                <w:bCs/>
                <w:color w:val="000000"/>
                <w:sz w:val="22"/>
                <w:szCs w:val="22"/>
                <w:lang w:eastAsia="en-US"/>
              </w:rPr>
            </w:pPr>
            <w:r w:rsidRPr="005035EE">
              <w:rPr>
                <w:rFonts w:ascii="Calibri" w:eastAsia="Times New Roman" w:hAnsi="Calibri" w:cs="Times New Roman"/>
                <w:b/>
                <w:bCs/>
                <w:color w:val="000000"/>
                <w:sz w:val="22"/>
                <w:szCs w:val="22"/>
                <w:lang w:eastAsia="en-US"/>
              </w:rPr>
              <w:t>21.8%</w:t>
            </w:r>
          </w:p>
        </w:tc>
      </w:tr>
      <w:tr w:rsidR="005035EE" w:rsidRPr="005035EE" w:rsidTr="00312DF5">
        <w:trPr>
          <w:trHeight w:val="300"/>
        </w:trPr>
        <w:tc>
          <w:tcPr>
            <w:tcW w:w="549" w:type="dxa"/>
            <w:tcBorders>
              <w:top w:val="nil"/>
              <w:left w:val="single" w:sz="8" w:space="0" w:color="auto"/>
              <w:bottom w:val="nil"/>
              <w:right w:val="nil"/>
            </w:tcBorders>
            <w:shd w:val="clear" w:color="000000" w:fill="99FFCC"/>
            <w:noWrap/>
            <w:vAlign w:val="bottom"/>
            <w:hideMark/>
          </w:tcPr>
          <w:p w:rsidR="005035EE" w:rsidRPr="005035EE" w:rsidRDefault="005035EE" w:rsidP="005035EE">
            <w:pPr>
              <w:spacing w:after="0"/>
              <w:jc w:val="center"/>
              <w:rPr>
                <w:rFonts w:ascii="Calibri" w:eastAsia="Times New Roman" w:hAnsi="Calibri" w:cs="Times New Roman"/>
                <w:b/>
                <w:bCs/>
                <w:color w:val="000000"/>
                <w:sz w:val="22"/>
                <w:szCs w:val="22"/>
                <w:lang w:eastAsia="en-US"/>
              </w:rPr>
            </w:pPr>
            <w:r w:rsidRPr="005035EE">
              <w:rPr>
                <w:rFonts w:ascii="Calibri" w:eastAsia="Times New Roman" w:hAnsi="Calibri" w:cs="Times New Roman"/>
                <w:b/>
                <w:bCs/>
                <w:color w:val="000000"/>
                <w:sz w:val="22"/>
                <w:szCs w:val="22"/>
                <w:lang w:eastAsia="en-US"/>
              </w:rPr>
              <w:t>&gt;95</w:t>
            </w:r>
          </w:p>
        </w:tc>
        <w:tc>
          <w:tcPr>
            <w:tcW w:w="1751" w:type="dxa"/>
            <w:tcBorders>
              <w:top w:val="nil"/>
              <w:left w:val="nil"/>
              <w:bottom w:val="nil"/>
              <w:right w:val="nil"/>
            </w:tcBorders>
            <w:shd w:val="clear" w:color="auto" w:fill="auto"/>
            <w:noWrap/>
            <w:vAlign w:val="bottom"/>
            <w:hideMark/>
          </w:tcPr>
          <w:p w:rsidR="005035EE" w:rsidRPr="005035EE" w:rsidRDefault="005035EE" w:rsidP="005035EE">
            <w:pPr>
              <w:spacing w:after="0"/>
              <w:jc w:val="center"/>
              <w:rPr>
                <w:rFonts w:ascii="Calibri" w:eastAsia="Times New Roman" w:hAnsi="Calibri" w:cs="Times New Roman"/>
                <w:b/>
                <w:bCs/>
                <w:color w:val="000000"/>
                <w:sz w:val="22"/>
                <w:szCs w:val="22"/>
                <w:lang w:eastAsia="en-US"/>
              </w:rPr>
            </w:pPr>
            <w:r w:rsidRPr="005035EE">
              <w:rPr>
                <w:rFonts w:ascii="Calibri" w:eastAsia="Times New Roman" w:hAnsi="Calibri" w:cs="Times New Roman"/>
                <w:b/>
                <w:bCs/>
                <w:color w:val="000000"/>
                <w:sz w:val="22"/>
                <w:szCs w:val="22"/>
                <w:lang w:eastAsia="en-US"/>
              </w:rPr>
              <w:t>2.08</w:t>
            </w:r>
          </w:p>
        </w:tc>
        <w:tc>
          <w:tcPr>
            <w:tcW w:w="994" w:type="dxa"/>
            <w:tcBorders>
              <w:top w:val="nil"/>
              <w:left w:val="nil"/>
              <w:bottom w:val="nil"/>
              <w:right w:val="nil"/>
            </w:tcBorders>
            <w:shd w:val="clear" w:color="auto" w:fill="auto"/>
            <w:noWrap/>
            <w:vAlign w:val="bottom"/>
            <w:hideMark/>
          </w:tcPr>
          <w:p w:rsidR="005035EE" w:rsidRPr="005035EE" w:rsidRDefault="005035EE" w:rsidP="005035EE">
            <w:pPr>
              <w:spacing w:after="0"/>
              <w:jc w:val="center"/>
              <w:rPr>
                <w:rFonts w:ascii="Calibri" w:eastAsia="Times New Roman" w:hAnsi="Calibri" w:cs="Times New Roman"/>
                <w:color w:val="000000"/>
                <w:sz w:val="22"/>
                <w:szCs w:val="22"/>
                <w:lang w:eastAsia="en-US"/>
              </w:rPr>
            </w:pPr>
            <w:r w:rsidRPr="005035EE">
              <w:rPr>
                <w:rFonts w:ascii="Calibri" w:eastAsia="Times New Roman" w:hAnsi="Calibri" w:cs="Times New Roman"/>
                <w:color w:val="000000"/>
                <w:sz w:val="22"/>
                <w:szCs w:val="22"/>
                <w:lang w:eastAsia="en-US"/>
              </w:rPr>
              <w:t>90%</w:t>
            </w:r>
          </w:p>
        </w:tc>
        <w:tc>
          <w:tcPr>
            <w:tcW w:w="1092" w:type="dxa"/>
            <w:tcBorders>
              <w:top w:val="nil"/>
              <w:left w:val="nil"/>
              <w:bottom w:val="nil"/>
              <w:right w:val="nil"/>
            </w:tcBorders>
            <w:shd w:val="clear" w:color="auto" w:fill="auto"/>
            <w:noWrap/>
            <w:vAlign w:val="bottom"/>
            <w:hideMark/>
          </w:tcPr>
          <w:p w:rsidR="005035EE" w:rsidRPr="005035EE" w:rsidRDefault="005035EE" w:rsidP="005035EE">
            <w:pPr>
              <w:spacing w:after="0"/>
              <w:jc w:val="center"/>
              <w:rPr>
                <w:rFonts w:ascii="Calibri" w:eastAsia="Times New Roman" w:hAnsi="Calibri" w:cs="Times New Roman"/>
                <w:color w:val="000000"/>
                <w:sz w:val="22"/>
                <w:szCs w:val="22"/>
                <w:lang w:eastAsia="en-US"/>
              </w:rPr>
            </w:pPr>
            <w:r w:rsidRPr="005035EE">
              <w:rPr>
                <w:rFonts w:ascii="Calibri" w:eastAsia="Times New Roman" w:hAnsi="Calibri" w:cs="Times New Roman"/>
                <w:color w:val="000000"/>
                <w:sz w:val="22"/>
                <w:szCs w:val="22"/>
                <w:lang w:eastAsia="en-US"/>
              </w:rPr>
              <w:t>1.108</w:t>
            </w:r>
          </w:p>
        </w:tc>
        <w:tc>
          <w:tcPr>
            <w:tcW w:w="1693" w:type="dxa"/>
            <w:tcBorders>
              <w:top w:val="nil"/>
              <w:left w:val="nil"/>
              <w:bottom w:val="nil"/>
              <w:right w:val="nil"/>
            </w:tcBorders>
            <w:shd w:val="clear" w:color="auto" w:fill="auto"/>
            <w:noWrap/>
            <w:vAlign w:val="bottom"/>
            <w:hideMark/>
          </w:tcPr>
          <w:p w:rsidR="005035EE" w:rsidRPr="005035EE" w:rsidRDefault="005035EE" w:rsidP="005035EE">
            <w:pPr>
              <w:spacing w:after="0"/>
              <w:jc w:val="center"/>
              <w:rPr>
                <w:rFonts w:ascii="Calibri" w:eastAsia="Times New Roman" w:hAnsi="Calibri" w:cs="Times New Roman"/>
                <w:color w:val="000000"/>
                <w:sz w:val="22"/>
                <w:szCs w:val="22"/>
                <w:lang w:eastAsia="en-US"/>
              </w:rPr>
            </w:pPr>
            <w:r w:rsidRPr="005035EE">
              <w:rPr>
                <w:rFonts w:ascii="Calibri" w:eastAsia="Times New Roman" w:hAnsi="Calibri" w:cs="Times New Roman"/>
                <w:color w:val="000000"/>
                <w:sz w:val="22"/>
                <w:szCs w:val="22"/>
                <w:lang w:eastAsia="en-US"/>
              </w:rPr>
              <w:t>37.21%</w:t>
            </w:r>
          </w:p>
        </w:tc>
        <w:tc>
          <w:tcPr>
            <w:tcW w:w="2238" w:type="dxa"/>
            <w:tcBorders>
              <w:top w:val="nil"/>
              <w:left w:val="nil"/>
              <w:bottom w:val="nil"/>
              <w:right w:val="nil"/>
            </w:tcBorders>
            <w:shd w:val="clear" w:color="000000" w:fill="99FFCC"/>
            <w:noWrap/>
            <w:vAlign w:val="bottom"/>
            <w:hideMark/>
          </w:tcPr>
          <w:p w:rsidR="005035EE" w:rsidRPr="005035EE" w:rsidRDefault="005035EE" w:rsidP="005035EE">
            <w:pPr>
              <w:spacing w:after="0"/>
              <w:jc w:val="center"/>
              <w:rPr>
                <w:rFonts w:ascii="Calibri" w:eastAsia="Times New Roman" w:hAnsi="Calibri" w:cs="Times New Roman"/>
                <w:b/>
                <w:bCs/>
                <w:color w:val="000000"/>
                <w:sz w:val="22"/>
                <w:szCs w:val="22"/>
                <w:lang w:eastAsia="en-US"/>
              </w:rPr>
            </w:pPr>
            <w:r w:rsidRPr="005035EE">
              <w:rPr>
                <w:rFonts w:ascii="Calibri" w:eastAsia="Times New Roman" w:hAnsi="Calibri" w:cs="Times New Roman"/>
                <w:b/>
                <w:bCs/>
                <w:color w:val="000000"/>
                <w:sz w:val="22"/>
                <w:szCs w:val="22"/>
                <w:lang w:eastAsia="en-US"/>
              </w:rPr>
              <w:t>33.6%</w:t>
            </w:r>
          </w:p>
        </w:tc>
        <w:tc>
          <w:tcPr>
            <w:tcW w:w="1120" w:type="dxa"/>
            <w:tcBorders>
              <w:top w:val="nil"/>
              <w:left w:val="nil"/>
              <w:bottom w:val="nil"/>
              <w:right w:val="single" w:sz="8" w:space="0" w:color="auto"/>
            </w:tcBorders>
            <w:shd w:val="clear" w:color="000000" w:fill="99FFCC"/>
            <w:noWrap/>
            <w:vAlign w:val="bottom"/>
            <w:hideMark/>
          </w:tcPr>
          <w:p w:rsidR="005035EE" w:rsidRPr="005035EE" w:rsidRDefault="005035EE" w:rsidP="005035EE">
            <w:pPr>
              <w:spacing w:after="0"/>
              <w:jc w:val="center"/>
              <w:rPr>
                <w:rFonts w:ascii="Calibri" w:eastAsia="Times New Roman" w:hAnsi="Calibri" w:cs="Times New Roman"/>
                <w:b/>
                <w:bCs/>
                <w:color w:val="000000"/>
                <w:sz w:val="22"/>
                <w:szCs w:val="22"/>
                <w:lang w:eastAsia="en-US"/>
              </w:rPr>
            </w:pPr>
            <w:r w:rsidRPr="005035EE">
              <w:rPr>
                <w:rFonts w:ascii="Calibri" w:eastAsia="Times New Roman" w:hAnsi="Calibri" w:cs="Times New Roman"/>
                <w:b/>
                <w:bCs/>
                <w:color w:val="000000"/>
                <w:sz w:val="22"/>
                <w:szCs w:val="22"/>
                <w:lang w:eastAsia="en-US"/>
              </w:rPr>
              <w:t>34.5%</w:t>
            </w:r>
          </w:p>
        </w:tc>
      </w:tr>
      <w:tr w:rsidR="005035EE" w:rsidRPr="005035EE" w:rsidTr="00312DF5">
        <w:trPr>
          <w:trHeight w:val="300"/>
        </w:trPr>
        <w:tc>
          <w:tcPr>
            <w:tcW w:w="549" w:type="dxa"/>
            <w:tcBorders>
              <w:top w:val="nil"/>
              <w:left w:val="single" w:sz="8" w:space="0" w:color="auto"/>
              <w:bottom w:val="nil"/>
              <w:right w:val="nil"/>
            </w:tcBorders>
            <w:shd w:val="clear" w:color="auto" w:fill="auto"/>
            <w:noWrap/>
            <w:vAlign w:val="bottom"/>
            <w:hideMark/>
          </w:tcPr>
          <w:p w:rsidR="005035EE" w:rsidRPr="005035EE" w:rsidRDefault="005035EE" w:rsidP="005035EE">
            <w:pPr>
              <w:spacing w:after="0"/>
              <w:rPr>
                <w:rFonts w:ascii="Calibri" w:eastAsia="Times New Roman" w:hAnsi="Calibri" w:cs="Times New Roman"/>
                <w:color w:val="000000"/>
                <w:sz w:val="22"/>
                <w:szCs w:val="22"/>
                <w:lang w:eastAsia="en-US"/>
              </w:rPr>
            </w:pPr>
            <w:r w:rsidRPr="005035EE">
              <w:rPr>
                <w:rFonts w:ascii="Calibri" w:eastAsia="Times New Roman" w:hAnsi="Calibri" w:cs="Times New Roman"/>
                <w:color w:val="000000"/>
                <w:sz w:val="22"/>
                <w:szCs w:val="22"/>
                <w:lang w:eastAsia="en-US"/>
              </w:rPr>
              <w:t> </w:t>
            </w:r>
          </w:p>
        </w:tc>
        <w:tc>
          <w:tcPr>
            <w:tcW w:w="1751" w:type="dxa"/>
            <w:tcBorders>
              <w:top w:val="nil"/>
              <w:left w:val="nil"/>
              <w:bottom w:val="nil"/>
              <w:right w:val="nil"/>
            </w:tcBorders>
            <w:shd w:val="clear" w:color="auto" w:fill="auto"/>
            <w:noWrap/>
            <w:vAlign w:val="bottom"/>
            <w:hideMark/>
          </w:tcPr>
          <w:p w:rsidR="005035EE" w:rsidRPr="005035EE" w:rsidRDefault="005035EE" w:rsidP="005035EE">
            <w:pPr>
              <w:spacing w:after="0"/>
              <w:rPr>
                <w:rFonts w:ascii="Calibri" w:eastAsia="Times New Roman" w:hAnsi="Calibri" w:cs="Times New Roman"/>
                <w:color w:val="000000"/>
                <w:sz w:val="22"/>
                <w:szCs w:val="22"/>
                <w:lang w:eastAsia="en-US"/>
              </w:rPr>
            </w:pPr>
          </w:p>
        </w:tc>
        <w:tc>
          <w:tcPr>
            <w:tcW w:w="994" w:type="dxa"/>
            <w:tcBorders>
              <w:top w:val="nil"/>
              <w:left w:val="nil"/>
              <w:bottom w:val="nil"/>
              <w:right w:val="nil"/>
            </w:tcBorders>
            <w:shd w:val="clear" w:color="auto" w:fill="auto"/>
            <w:noWrap/>
            <w:vAlign w:val="bottom"/>
            <w:hideMark/>
          </w:tcPr>
          <w:p w:rsidR="005035EE" w:rsidRPr="005035EE" w:rsidRDefault="005035EE" w:rsidP="005035EE">
            <w:pPr>
              <w:spacing w:after="0"/>
              <w:rPr>
                <w:rFonts w:ascii="Calibri" w:eastAsia="Times New Roman" w:hAnsi="Calibri" w:cs="Times New Roman"/>
                <w:color w:val="000000"/>
                <w:sz w:val="22"/>
                <w:szCs w:val="22"/>
                <w:lang w:eastAsia="en-US"/>
              </w:rPr>
            </w:pPr>
          </w:p>
        </w:tc>
        <w:tc>
          <w:tcPr>
            <w:tcW w:w="1092" w:type="dxa"/>
            <w:tcBorders>
              <w:top w:val="nil"/>
              <w:left w:val="nil"/>
              <w:bottom w:val="nil"/>
              <w:right w:val="nil"/>
            </w:tcBorders>
            <w:shd w:val="clear" w:color="auto" w:fill="auto"/>
            <w:noWrap/>
            <w:vAlign w:val="bottom"/>
            <w:hideMark/>
          </w:tcPr>
          <w:p w:rsidR="005035EE" w:rsidRPr="005035EE" w:rsidRDefault="005035EE" w:rsidP="005035EE">
            <w:pPr>
              <w:spacing w:after="0"/>
              <w:rPr>
                <w:rFonts w:ascii="Calibri" w:eastAsia="Times New Roman" w:hAnsi="Calibri" w:cs="Times New Roman"/>
                <w:color w:val="000000"/>
                <w:sz w:val="22"/>
                <w:szCs w:val="22"/>
                <w:lang w:eastAsia="en-US"/>
              </w:rPr>
            </w:pPr>
          </w:p>
        </w:tc>
        <w:tc>
          <w:tcPr>
            <w:tcW w:w="1693" w:type="dxa"/>
            <w:tcBorders>
              <w:top w:val="nil"/>
              <w:left w:val="nil"/>
              <w:bottom w:val="nil"/>
              <w:right w:val="nil"/>
            </w:tcBorders>
            <w:shd w:val="clear" w:color="auto" w:fill="auto"/>
            <w:noWrap/>
            <w:vAlign w:val="bottom"/>
            <w:hideMark/>
          </w:tcPr>
          <w:p w:rsidR="005035EE" w:rsidRPr="005035EE" w:rsidRDefault="005035EE" w:rsidP="005035EE">
            <w:pPr>
              <w:spacing w:after="0"/>
              <w:rPr>
                <w:rFonts w:ascii="Calibri" w:eastAsia="Times New Roman" w:hAnsi="Calibri" w:cs="Times New Roman"/>
                <w:color w:val="000000"/>
                <w:sz w:val="22"/>
                <w:szCs w:val="22"/>
                <w:lang w:eastAsia="en-US"/>
              </w:rPr>
            </w:pPr>
          </w:p>
        </w:tc>
        <w:tc>
          <w:tcPr>
            <w:tcW w:w="2238" w:type="dxa"/>
            <w:tcBorders>
              <w:top w:val="nil"/>
              <w:left w:val="nil"/>
              <w:bottom w:val="nil"/>
              <w:right w:val="nil"/>
            </w:tcBorders>
            <w:shd w:val="clear" w:color="auto" w:fill="auto"/>
            <w:noWrap/>
            <w:vAlign w:val="bottom"/>
            <w:hideMark/>
          </w:tcPr>
          <w:p w:rsidR="005035EE" w:rsidRPr="005035EE" w:rsidRDefault="005035EE" w:rsidP="005035EE">
            <w:pPr>
              <w:spacing w:after="0"/>
              <w:rPr>
                <w:rFonts w:ascii="Calibri" w:eastAsia="Times New Roman" w:hAnsi="Calibri" w:cs="Times New Roman"/>
                <w:color w:val="000000"/>
                <w:sz w:val="22"/>
                <w:szCs w:val="22"/>
                <w:lang w:eastAsia="en-US"/>
              </w:rPr>
            </w:pPr>
          </w:p>
        </w:tc>
        <w:tc>
          <w:tcPr>
            <w:tcW w:w="1120" w:type="dxa"/>
            <w:tcBorders>
              <w:top w:val="nil"/>
              <w:left w:val="nil"/>
              <w:bottom w:val="nil"/>
              <w:right w:val="single" w:sz="8" w:space="0" w:color="auto"/>
            </w:tcBorders>
            <w:shd w:val="clear" w:color="auto" w:fill="auto"/>
            <w:noWrap/>
            <w:vAlign w:val="bottom"/>
            <w:hideMark/>
          </w:tcPr>
          <w:p w:rsidR="005035EE" w:rsidRPr="005035EE" w:rsidRDefault="005035EE" w:rsidP="005035EE">
            <w:pPr>
              <w:spacing w:after="0"/>
              <w:rPr>
                <w:rFonts w:ascii="Calibri" w:eastAsia="Times New Roman" w:hAnsi="Calibri" w:cs="Times New Roman"/>
                <w:color w:val="000000"/>
                <w:sz w:val="22"/>
                <w:szCs w:val="22"/>
                <w:lang w:eastAsia="en-US"/>
              </w:rPr>
            </w:pPr>
            <w:r w:rsidRPr="005035EE">
              <w:rPr>
                <w:rFonts w:ascii="Calibri" w:eastAsia="Times New Roman" w:hAnsi="Calibri" w:cs="Times New Roman"/>
                <w:color w:val="000000"/>
                <w:sz w:val="22"/>
                <w:szCs w:val="22"/>
                <w:lang w:eastAsia="en-US"/>
              </w:rPr>
              <w:t> </w:t>
            </w:r>
          </w:p>
        </w:tc>
      </w:tr>
      <w:tr w:rsidR="005035EE" w:rsidRPr="005035EE" w:rsidTr="00312DF5">
        <w:trPr>
          <w:trHeight w:val="315"/>
        </w:trPr>
        <w:tc>
          <w:tcPr>
            <w:tcW w:w="9437" w:type="dxa"/>
            <w:gridSpan w:val="7"/>
            <w:tcBorders>
              <w:top w:val="nil"/>
              <w:left w:val="single" w:sz="8" w:space="0" w:color="auto"/>
              <w:bottom w:val="nil"/>
              <w:right w:val="single" w:sz="8" w:space="0" w:color="000000"/>
            </w:tcBorders>
            <w:shd w:val="clear" w:color="000000" w:fill="99FFCC"/>
            <w:noWrap/>
            <w:vAlign w:val="bottom"/>
            <w:hideMark/>
          </w:tcPr>
          <w:p w:rsidR="005035EE" w:rsidRPr="005035EE" w:rsidRDefault="005035EE" w:rsidP="005035EE">
            <w:pPr>
              <w:spacing w:after="0"/>
              <w:jc w:val="center"/>
              <w:rPr>
                <w:rFonts w:ascii="Calibri" w:eastAsia="Times New Roman" w:hAnsi="Calibri" w:cs="Times New Roman"/>
                <w:b/>
                <w:bCs/>
                <w:color w:val="000000"/>
                <w:lang w:eastAsia="en-US"/>
              </w:rPr>
            </w:pPr>
            <w:r w:rsidRPr="005035EE">
              <w:rPr>
                <w:rFonts w:ascii="Calibri" w:eastAsia="Times New Roman" w:hAnsi="Calibri" w:cs="Times New Roman"/>
                <w:b/>
                <w:bCs/>
                <w:color w:val="000000"/>
                <w:lang w:eastAsia="en-US"/>
              </w:rPr>
              <w:t>Except For 85 LTV Loans 2007 Purchase Only Default Rates</w:t>
            </w:r>
          </w:p>
        </w:tc>
      </w:tr>
      <w:tr w:rsidR="005035EE" w:rsidRPr="005035EE" w:rsidTr="00312DF5">
        <w:trPr>
          <w:trHeight w:val="330"/>
        </w:trPr>
        <w:tc>
          <w:tcPr>
            <w:tcW w:w="549" w:type="dxa"/>
            <w:tcBorders>
              <w:top w:val="nil"/>
              <w:left w:val="single" w:sz="8" w:space="0" w:color="auto"/>
              <w:bottom w:val="single" w:sz="8" w:space="0" w:color="auto"/>
              <w:right w:val="nil"/>
            </w:tcBorders>
            <w:shd w:val="clear" w:color="000000" w:fill="99FFCC"/>
            <w:noWrap/>
            <w:vAlign w:val="bottom"/>
            <w:hideMark/>
          </w:tcPr>
          <w:p w:rsidR="005035EE" w:rsidRPr="005035EE" w:rsidRDefault="005035EE" w:rsidP="005035EE">
            <w:pPr>
              <w:spacing w:after="0"/>
              <w:rPr>
                <w:rFonts w:ascii="Calibri" w:eastAsia="Times New Roman" w:hAnsi="Calibri" w:cs="Times New Roman"/>
                <w:b/>
                <w:bCs/>
                <w:color w:val="000000"/>
                <w:sz w:val="22"/>
                <w:szCs w:val="22"/>
                <w:lang w:eastAsia="en-US"/>
              </w:rPr>
            </w:pPr>
            <w:r w:rsidRPr="005035EE">
              <w:rPr>
                <w:rFonts w:ascii="Calibri" w:eastAsia="Times New Roman" w:hAnsi="Calibri" w:cs="Times New Roman"/>
                <w:b/>
                <w:bCs/>
                <w:color w:val="000000"/>
                <w:sz w:val="22"/>
                <w:szCs w:val="22"/>
                <w:lang w:eastAsia="en-US"/>
              </w:rPr>
              <w:t> </w:t>
            </w:r>
          </w:p>
        </w:tc>
        <w:tc>
          <w:tcPr>
            <w:tcW w:w="1751" w:type="dxa"/>
            <w:tcBorders>
              <w:top w:val="nil"/>
              <w:left w:val="nil"/>
              <w:bottom w:val="single" w:sz="8" w:space="0" w:color="auto"/>
              <w:right w:val="nil"/>
            </w:tcBorders>
            <w:shd w:val="clear" w:color="000000" w:fill="99FFCC"/>
            <w:noWrap/>
            <w:vAlign w:val="bottom"/>
            <w:hideMark/>
          </w:tcPr>
          <w:p w:rsidR="005035EE" w:rsidRPr="005035EE" w:rsidRDefault="005035EE" w:rsidP="005035EE">
            <w:pPr>
              <w:spacing w:after="0"/>
              <w:rPr>
                <w:rFonts w:ascii="Calibri" w:eastAsia="Times New Roman" w:hAnsi="Calibri" w:cs="Times New Roman"/>
                <w:b/>
                <w:bCs/>
                <w:color w:val="000000"/>
                <w:sz w:val="22"/>
                <w:szCs w:val="22"/>
                <w:lang w:eastAsia="en-US"/>
              </w:rPr>
            </w:pPr>
            <w:r w:rsidRPr="005035EE">
              <w:rPr>
                <w:rFonts w:ascii="Calibri" w:eastAsia="Times New Roman" w:hAnsi="Calibri" w:cs="Times New Roman"/>
                <w:b/>
                <w:bCs/>
                <w:color w:val="000000"/>
                <w:sz w:val="22"/>
                <w:szCs w:val="22"/>
                <w:lang w:eastAsia="en-US"/>
              </w:rPr>
              <w:t> </w:t>
            </w:r>
          </w:p>
        </w:tc>
        <w:tc>
          <w:tcPr>
            <w:tcW w:w="6017" w:type="dxa"/>
            <w:gridSpan w:val="4"/>
            <w:tcBorders>
              <w:top w:val="nil"/>
              <w:left w:val="nil"/>
              <w:bottom w:val="single" w:sz="8" w:space="0" w:color="auto"/>
              <w:right w:val="nil"/>
            </w:tcBorders>
            <w:shd w:val="clear" w:color="000000" w:fill="99FFCC"/>
            <w:noWrap/>
            <w:vAlign w:val="bottom"/>
            <w:hideMark/>
          </w:tcPr>
          <w:p w:rsidR="005035EE" w:rsidRPr="005035EE" w:rsidRDefault="005035EE" w:rsidP="005035EE">
            <w:pPr>
              <w:spacing w:after="0"/>
              <w:rPr>
                <w:rFonts w:ascii="Calibri" w:eastAsia="Times New Roman" w:hAnsi="Calibri" w:cs="Times New Roman"/>
                <w:b/>
                <w:bCs/>
                <w:color w:val="000000"/>
                <w:lang w:eastAsia="en-US"/>
              </w:rPr>
            </w:pPr>
            <w:r w:rsidRPr="005035EE">
              <w:rPr>
                <w:rFonts w:ascii="Calibri" w:eastAsia="Times New Roman" w:hAnsi="Calibri" w:cs="Times New Roman"/>
                <w:b/>
                <w:bCs/>
                <w:color w:val="000000"/>
                <w:lang w:eastAsia="en-US"/>
              </w:rPr>
              <w:t xml:space="preserve"> Match Very Well FHFA Stress Frequencies</w:t>
            </w:r>
          </w:p>
        </w:tc>
        <w:tc>
          <w:tcPr>
            <w:tcW w:w="1120" w:type="dxa"/>
            <w:tcBorders>
              <w:top w:val="nil"/>
              <w:left w:val="nil"/>
              <w:bottom w:val="single" w:sz="8" w:space="0" w:color="auto"/>
              <w:right w:val="single" w:sz="8" w:space="0" w:color="auto"/>
            </w:tcBorders>
            <w:shd w:val="clear" w:color="000000" w:fill="99FFCC"/>
            <w:noWrap/>
            <w:vAlign w:val="bottom"/>
            <w:hideMark/>
          </w:tcPr>
          <w:p w:rsidR="005035EE" w:rsidRPr="005035EE" w:rsidRDefault="005035EE" w:rsidP="005035EE">
            <w:pPr>
              <w:spacing w:after="0"/>
              <w:rPr>
                <w:rFonts w:ascii="Calibri" w:eastAsia="Times New Roman" w:hAnsi="Calibri" w:cs="Times New Roman"/>
                <w:b/>
                <w:bCs/>
                <w:color w:val="000000"/>
                <w:sz w:val="22"/>
                <w:szCs w:val="22"/>
                <w:lang w:eastAsia="en-US"/>
              </w:rPr>
            </w:pPr>
            <w:r w:rsidRPr="005035EE">
              <w:rPr>
                <w:rFonts w:ascii="Calibri" w:eastAsia="Times New Roman" w:hAnsi="Calibri" w:cs="Times New Roman"/>
                <w:b/>
                <w:bCs/>
                <w:color w:val="000000"/>
                <w:sz w:val="22"/>
                <w:szCs w:val="22"/>
                <w:lang w:eastAsia="en-US"/>
              </w:rPr>
              <w:t> </w:t>
            </w:r>
          </w:p>
        </w:tc>
      </w:tr>
    </w:tbl>
    <w:p w:rsidR="005B75F7" w:rsidRPr="005B75F7" w:rsidRDefault="005035EE" w:rsidP="005035EE">
      <w:r w:rsidRPr="005B75F7">
        <w:t xml:space="preserve"> </w:t>
      </w:r>
    </w:p>
    <w:p w:rsidR="005B75F7" w:rsidRPr="005B75F7" w:rsidRDefault="005B75F7" w:rsidP="005B75F7">
      <w:r w:rsidRPr="005B75F7">
        <w:t xml:space="preserve">Taking the performance factors we observed in Table 3 and weighting them by the relative shares of both we get an estimate of how much rate and term loans affected the combination of the </w:t>
      </w:r>
      <w:r w:rsidR="001A0478">
        <w:t>purchase and refinanced loans</w:t>
      </w:r>
      <w:r w:rsidRPr="005B75F7">
        <w:t xml:space="preserve"> together. By dividing our estimate of FHFA implied stress default frequencies for each high LTV group </w:t>
      </w:r>
      <w:r w:rsidR="005810A1">
        <w:t xml:space="preserve">(column 4) </w:t>
      </w:r>
      <w:r w:rsidRPr="005B75F7">
        <w:t xml:space="preserve">with our </w:t>
      </w:r>
      <w:r w:rsidR="005810A1">
        <w:t xml:space="preserve">weighted rate and term performance </w:t>
      </w:r>
      <w:r w:rsidRPr="005B75F7">
        <w:t xml:space="preserve">factors </w:t>
      </w:r>
      <w:r w:rsidR="005810A1">
        <w:t>(</w:t>
      </w:r>
      <w:r w:rsidRPr="005B75F7">
        <w:t xml:space="preserve">column </w:t>
      </w:r>
      <w:r w:rsidR="005810A1">
        <w:t xml:space="preserve">3) we get estimated stress </w:t>
      </w:r>
      <w:r w:rsidRPr="005B75F7">
        <w:t>foreclosure frequencies for fixed rate owner-occupied purchase loans. As it turns out, these stress frequencies (except for 85 LTV loans) come very close to estimated foreclosure frequencies for loans originated in 2007.</w:t>
      </w:r>
      <w:r w:rsidR="00CC52DA">
        <w:t xml:space="preserve"> We conclude that FHFA is using single book stress losses based on 2007 originations.</w:t>
      </w:r>
      <w:r w:rsidRPr="005B75F7">
        <w:t xml:space="preserve"> </w:t>
      </w:r>
      <w:r w:rsidR="008E2863">
        <w:t>T</w:t>
      </w:r>
      <w:r w:rsidRPr="005B75F7">
        <w:t xml:space="preserve">here is </w:t>
      </w:r>
      <w:r w:rsidR="008E2863">
        <w:t xml:space="preserve">also </w:t>
      </w:r>
      <w:r w:rsidRPr="005B75F7">
        <w:t xml:space="preserve">no mention of adjusting the private MI exposures as the loans season over time. </w:t>
      </w:r>
      <w:r w:rsidR="001A0478">
        <w:t>T</w:t>
      </w:r>
      <w:r w:rsidRPr="005B75F7">
        <w:t>her</w:t>
      </w:r>
      <w:r w:rsidR="001A0478">
        <w:t>efore, it appears</w:t>
      </w:r>
      <w:r w:rsidRPr="005B75F7">
        <w:t xml:space="preserve"> that FHFA intends to assign a single loss rate charge for capital purposes over the life of the privately insured loans. And we assume, therefore, that this approach is also being app</w:t>
      </w:r>
      <w:r w:rsidR="008E2863">
        <w:t>lied to the GSE pricing calculations</w:t>
      </w:r>
      <w:r w:rsidRPr="005B75F7">
        <w:t>.</w:t>
      </w:r>
    </w:p>
    <w:p w:rsidR="005B75F7" w:rsidRPr="005B75F7" w:rsidRDefault="008E2863" w:rsidP="005B75F7">
      <w:r>
        <w:t>However,</w:t>
      </w:r>
      <w:r w:rsidR="005B75F7" w:rsidRPr="005B75F7">
        <w:t xml:space="preserve"> the choice of using a single book (origination year) estimation of required capital for pricing purposes is </w:t>
      </w:r>
      <w:r w:rsidR="005810A1">
        <w:t>far</w:t>
      </w:r>
      <w:r w:rsidR="005B75F7" w:rsidRPr="005B75F7">
        <w:t xml:space="preserve"> too conservative.  Pricing needs to consider the performance of the whole portfolio, not just a single book. Indeed if the pricing assumes that the whole portfolio will perform at the same level of stress loss as the 2007 books have performed, then one is no longer looking at the probability </w:t>
      </w:r>
      <w:r>
        <w:t>loss as an occurrence that happens once in 1</w:t>
      </w:r>
      <w:r w:rsidR="005B75F7" w:rsidRPr="005B75F7">
        <w:t>00</w:t>
      </w:r>
      <w:r>
        <w:t xml:space="preserve"> chances</w:t>
      </w:r>
      <w:r w:rsidR="005B75F7" w:rsidRPr="005B75F7">
        <w:t xml:space="preserve">. </w:t>
      </w:r>
      <w:r w:rsidR="005810A1">
        <w:rPr>
          <w:rStyle w:val="FootnoteReference"/>
        </w:rPr>
        <w:footnoteReference w:id="6"/>
      </w:r>
      <w:r w:rsidR="005B75F7" w:rsidRPr="005B75F7">
        <w:t xml:space="preserve"> </w:t>
      </w:r>
      <w:r w:rsidR="00950800">
        <w:t>More realistically, no</w:t>
      </w:r>
      <w:r w:rsidR="005810A1">
        <w:t xml:space="preserve"> management team would continue to write new guarantee business in the same manner after it became evident that the last two or three books (origin</w:t>
      </w:r>
      <w:r w:rsidR="00853B23">
        <w:t>ation years) displayed unmistak</w:t>
      </w:r>
      <w:r w:rsidR="005810A1">
        <w:t>able signs</w:t>
      </w:r>
      <w:r w:rsidR="00853B23">
        <w:t xml:space="preserve"> of</w:t>
      </w:r>
      <w:r w:rsidR="005810A1">
        <w:t xml:space="preserve"> perform</w:t>
      </w:r>
      <w:r w:rsidR="00853B23">
        <w:t>ing</w:t>
      </w:r>
      <w:r w:rsidR="005810A1">
        <w:t xml:space="preserve"> so poorly.</w:t>
      </w:r>
      <w:r w:rsidR="00950800">
        <w:t xml:space="preserve"> </w:t>
      </w:r>
      <w:r w:rsidR="00853B23">
        <w:t xml:space="preserve">Over the last fifty years there </w:t>
      </w:r>
      <w:r w:rsidR="00853B23">
        <w:lastRenderedPageBreak/>
        <w:t>have no instances even on a regional basis where older portions of a portfolio have performed as poorly as the newest worst case book.</w:t>
      </w:r>
    </w:p>
    <w:p w:rsidR="005B75F7" w:rsidRPr="005B75F7" w:rsidRDefault="00853B23" w:rsidP="005B75F7">
      <w:r>
        <w:t xml:space="preserve">This phenomenon is not particular to only the US home financing market. </w:t>
      </w:r>
      <w:r w:rsidR="005B75F7" w:rsidRPr="005B75F7">
        <w:t>Indeed, sovereign regulators of private mortgage insurance in Australia, Canada, and Mexico, all have recognized</w:t>
      </w:r>
      <w:r w:rsidR="00950800">
        <w:t xml:space="preserve"> the importance of a portfolio approach in </w:t>
      </w:r>
      <w:r w:rsidR="005B75F7" w:rsidRPr="005B75F7">
        <w:t xml:space="preserve">that older seasoned loans exhibit far less volatility in performance than newer loans under stress. Consequently, these sovereign regulators have set capital requirements that lower the capital charge as loans age. This approach is clearly different from the credit support required of a stand-alone MBS security which would not benefit from the cross-subsidization of other concurrent originations as well as older originations. Assuming that there will be several more books of business in the GSE future, the pricing of that risk needs to reflect such cross-subsidization in the form of a portfolio approach to setting capital for pricing.  </w:t>
      </w:r>
    </w:p>
    <w:p w:rsidR="005B75F7" w:rsidRPr="005B75F7" w:rsidRDefault="008E2863" w:rsidP="005B75F7">
      <w:r>
        <w:t>B</w:t>
      </w:r>
      <w:r w:rsidRPr="005B75F7">
        <w:t>ased on our experience,</w:t>
      </w:r>
      <w:r>
        <w:t xml:space="preserve"> t</w:t>
      </w:r>
      <w:r w:rsidR="005B75F7" w:rsidRPr="005B75F7">
        <w:t xml:space="preserve">he best </w:t>
      </w:r>
      <w:r>
        <w:t xml:space="preserve">way </w:t>
      </w:r>
      <w:r w:rsidR="005B75F7" w:rsidRPr="005B75F7">
        <w:t>to incorporate seasoning effects on capital requirements over the life of the loan, is to examine historical concurrent loan performance of consecutive origination years assembled by FICO/LTV cuts of loans</w:t>
      </w:r>
      <w:r>
        <w:t xml:space="preserve">. </w:t>
      </w:r>
      <w:r w:rsidR="005B75F7" w:rsidRPr="005B75F7">
        <w:t xml:space="preserve">In the past, we compared single book frequency and loss outcomes to actual outcomes of loan losses generated by portfolios of ten concurrent books over fifteen year periods for combinations of loans, using combinations of six regions or more (out nine US Census regions) to simulate all potential loss possibilities for a nationally distributed portfolio and the prepayment speeds associated with each of those observations. Our past experience with such studies showed that the expected losses on multiple concurrent books are the same as the long-run expected losses on single books. However, as one moves out on the more extreme economic stress situations, the volatility experienced by the multiple book is more limited than that of a single book, because of the better performance of the older portions of the portfolio. Indeed, all of the regional and national housing downturns in the U.S. and around the globe have been preceded by excessive price increases in real estate values, which allowed all of the older loans to build up a larger equity cushion prior to downturn correction. As a result, in all actual high stress cases, the older loans performed better on a concurrent basis than newer loans which enjoyed minimal if any price appreciation prior to the downturn.  In our experience, the worst stress losses of the multi-book observations were less than half that of the single book worst case losses. </w:t>
      </w:r>
    </w:p>
    <w:p w:rsidR="00463A62" w:rsidRPr="005B75F7" w:rsidRDefault="005B75F7" w:rsidP="0094250B">
      <w:r w:rsidRPr="005B75F7">
        <w:t xml:space="preserve">In Table 6, we apply what we’ve learned so far regarding the relative differences in expected and stress level losses between 30 year fixed rate owner occupied purchase loans and rate and term refinanced loans, and what we’ve learned about single book and multiple book capital on the capital assigned for pricing purposes. In the top section, we examine what the use of multiple book capital implies for pricing of fixed rate owner-occupied purchase AND rate and term refinanced loans taken together. We calculate the fees in the manner set forth in Figure 2 of the FHFA request for comment, assuming a 9% targeted ROE. The FHFA proposed fee calculations are developed using a single book capital charge based on 2007 loss </w:t>
      </w:r>
      <w:r w:rsidRPr="005B75F7">
        <w:lastRenderedPageBreak/>
        <w:t>rates, while the Multi-book fees uses the 2007 10 concurrent book calculated loss rates. The difference in fees range from 26% to 39% lower.</w:t>
      </w:r>
    </w:p>
    <w:tbl>
      <w:tblPr>
        <w:tblW w:w="10600" w:type="dxa"/>
        <w:tblInd w:w="93" w:type="dxa"/>
        <w:tblLook w:val="04A0" w:firstRow="1" w:lastRow="0" w:firstColumn="1" w:lastColumn="0" w:noHBand="0" w:noVBand="1"/>
      </w:tblPr>
      <w:tblGrid>
        <w:gridCol w:w="1057"/>
        <w:gridCol w:w="1400"/>
        <w:gridCol w:w="988"/>
        <w:gridCol w:w="743"/>
        <w:gridCol w:w="988"/>
        <w:gridCol w:w="1221"/>
        <w:gridCol w:w="1464"/>
        <w:gridCol w:w="1477"/>
        <w:gridCol w:w="1262"/>
      </w:tblGrid>
      <w:tr w:rsidR="0094250B" w:rsidRPr="0094250B" w:rsidTr="0094250B">
        <w:trPr>
          <w:trHeight w:val="315"/>
        </w:trPr>
        <w:tc>
          <w:tcPr>
            <w:tcW w:w="10600" w:type="dxa"/>
            <w:gridSpan w:val="9"/>
            <w:tcBorders>
              <w:top w:val="single" w:sz="8" w:space="0" w:color="auto"/>
              <w:left w:val="single" w:sz="8" w:space="0" w:color="auto"/>
              <w:bottom w:val="nil"/>
              <w:right w:val="single" w:sz="8" w:space="0" w:color="000000"/>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lang w:eastAsia="en-US"/>
              </w:rPr>
            </w:pPr>
            <w:r w:rsidRPr="0094250B">
              <w:rPr>
                <w:rFonts w:ascii="Calibri" w:eastAsia="Times New Roman" w:hAnsi="Calibri" w:cs="Times New Roman"/>
                <w:color w:val="000000"/>
                <w:lang w:eastAsia="en-US"/>
              </w:rPr>
              <w:t>Table 6.   Impact On Pricing For Purchase Only AND Using Multiple Book Capital Approach</w:t>
            </w:r>
          </w:p>
        </w:tc>
      </w:tr>
      <w:tr w:rsidR="0094250B" w:rsidRPr="0094250B" w:rsidTr="0094250B">
        <w:trPr>
          <w:trHeight w:val="300"/>
        </w:trPr>
        <w:tc>
          <w:tcPr>
            <w:tcW w:w="1057" w:type="dxa"/>
            <w:tcBorders>
              <w:top w:val="nil"/>
              <w:left w:val="single" w:sz="8" w:space="0" w:color="auto"/>
              <w:bottom w:val="nil"/>
              <w:right w:val="nil"/>
            </w:tcBorders>
            <w:shd w:val="clear" w:color="auto" w:fill="auto"/>
            <w:noWrap/>
            <w:vAlign w:val="bottom"/>
            <w:hideMark/>
          </w:tcPr>
          <w:p w:rsidR="0094250B" w:rsidRPr="0094250B" w:rsidRDefault="0094250B" w:rsidP="0094250B">
            <w:pPr>
              <w:spacing w:after="0"/>
              <w:rPr>
                <w:rFonts w:ascii="Calibri" w:eastAsia="Times New Roman" w:hAnsi="Calibri" w:cs="Times New Roman"/>
                <w:color w:val="000000"/>
                <w:sz w:val="22"/>
                <w:szCs w:val="22"/>
                <w:lang w:eastAsia="en-US"/>
              </w:rPr>
            </w:pPr>
            <w:r w:rsidRPr="0094250B">
              <w:rPr>
                <w:rFonts w:ascii="Calibri" w:eastAsia="Times New Roman" w:hAnsi="Calibri" w:cs="Times New Roman"/>
                <w:color w:val="000000"/>
                <w:sz w:val="22"/>
                <w:szCs w:val="22"/>
                <w:lang w:eastAsia="en-US"/>
              </w:rPr>
              <w:t> </w:t>
            </w:r>
          </w:p>
        </w:tc>
        <w:tc>
          <w:tcPr>
            <w:tcW w:w="1400" w:type="dxa"/>
            <w:tcBorders>
              <w:top w:val="nil"/>
              <w:left w:val="nil"/>
              <w:bottom w:val="nil"/>
              <w:right w:val="nil"/>
            </w:tcBorders>
            <w:shd w:val="clear" w:color="auto" w:fill="auto"/>
            <w:noWrap/>
            <w:vAlign w:val="bottom"/>
            <w:hideMark/>
          </w:tcPr>
          <w:p w:rsidR="0094250B" w:rsidRPr="0094250B" w:rsidRDefault="0094250B" w:rsidP="0094250B">
            <w:pPr>
              <w:spacing w:after="0"/>
              <w:rPr>
                <w:rFonts w:ascii="Calibri" w:eastAsia="Times New Roman" w:hAnsi="Calibri" w:cs="Times New Roman"/>
                <w:color w:val="000000"/>
                <w:sz w:val="22"/>
                <w:szCs w:val="22"/>
                <w:lang w:eastAsia="en-US"/>
              </w:rPr>
            </w:pPr>
          </w:p>
        </w:tc>
        <w:tc>
          <w:tcPr>
            <w:tcW w:w="988" w:type="dxa"/>
            <w:tcBorders>
              <w:top w:val="nil"/>
              <w:left w:val="nil"/>
              <w:bottom w:val="nil"/>
              <w:right w:val="nil"/>
            </w:tcBorders>
            <w:shd w:val="clear" w:color="auto" w:fill="auto"/>
            <w:noWrap/>
            <w:vAlign w:val="bottom"/>
            <w:hideMark/>
          </w:tcPr>
          <w:p w:rsidR="0094250B" w:rsidRPr="0094250B" w:rsidRDefault="0094250B" w:rsidP="0094250B">
            <w:pPr>
              <w:spacing w:after="0"/>
              <w:rPr>
                <w:rFonts w:ascii="Calibri" w:eastAsia="Times New Roman" w:hAnsi="Calibri" w:cs="Times New Roman"/>
                <w:color w:val="000000"/>
                <w:sz w:val="22"/>
                <w:szCs w:val="22"/>
                <w:lang w:eastAsia="en-US"/>
              </w:rPr>
            </w:pPr>
          </w:p>
        </w:tc>
        <w:tc>
          <w:tcPr>
            <w:tcW w:w="743" w:type="dxa"/>
            <w:tcBorders>
              <w:top w:val="nil"/>
              <w:left w:val="nil"/>
              <w:bottom w:val="nil"/>
              <w:right w:val="nil"/>
            </w:tcBorders>
            <w:shd w:val="clear" w:color="auto" w:fill="auto"/>
            <w:noWrap/>
            <w:vAlign w:val="bottom"/>
            <w:hideMark/>
          </w:tcPr>
          <w:p w:rsidR="0094250B" w:rsidRPr="0094250B" w:rsidRDefault="0094250B" w:rsidP="0094250B">
            <w:pPr>
              <w:spacing w:after="0"/>
              <w:rPr>
                <w:rFonts w:ascii="Calibri" w:eastAsia="Times New Roman" w:hAnsi="Calibri" w:cs="Times New Roman"/>
                <w:color w:val="000000"/>
                <w:sz w:val="22"/>
                <w:szCs w:val="22"/>
                <w:lang w:eastAsia="en-US"/>
              </w:rPr>
            </w:pPr>
          </w:p>
        </w:tc>
        <w:tc>
          <w:tcPr>
            <w:tcW w:w="988" w:type="dxa"/>
            <w:tcBorders>
              <w:top w:val="nil"/>
              <w:left w:val="nil"/>
              <w:bottom w:val="nil"/>
              <w:right w:val="nil"/>
            </w:tcBorders>
            <w:shd w:val="clear" w:color="auto" w:fill="auto"/>
            <w:noWrap/>
            <w:vAlign w:val="bottom"/>
            <w:hideMark/>
          </w:tcPr>
          <w:p w:rsidR="0094250B" w:rsidRPr="0094250B" w:rsidRDefault="0094250B" w:rsidP="0094250B">
            <w:pPr>
              <w:spacing w:after="0"/>
              <w:rPr>
                <w:rFonts w:ascii="Calibri" w:eastAsia="Times New Roman" w:hAnsi="Calibri" w:cs="Times New Roman"/>
                <w:color w:val="000000"/>
                <w:sz w:val="22"/>
                <w:szCs w:val="22"/>
                <w:lang w:eastAsia="en-US"/>
              </w:rPr>
            </w:pPr>
          </w:p>
        </w:tc>
        <w:tc>
          <w:tcPr>
            <w:tcW w:w="1221" w:type="dxa"/>
            <w:tcBorders>
              <w:top w:val="nil"/>
              <w:left w:val="nil"/>
              <w:bottom w:val="nil"/>
              <w:right w:val="nil"/>
            </w:tcBorders>
            <w:shd w:val="clear" w:color="auto" w:fill="auto"/>
            <w:noWrap/>
            <w:vAlign w:val="bottom"/>
            <w:hideMark/>
          </w:tcPr>
          <w:p w:rsidR="0094250B" w:rsidRPr="0094250B" w:rsidRDefault="0094250B" w:rsidP="0094250B">
            <w:pPr>
              <w:spacing w:after="0"/>
              <w:rPr>
                <w:rFonts w:ascii="Calibri" w:eastAsia="Times New Roman" w:hAnsi="Calibri" w:cs="Times New Roman"/>
                <w:color w:val="000000"/>
                <w:sz w:val="22"/>
                <w:szCs w:val="22"/>
                <w:lang w:eastAsia="en-US"/>
              </w:rPr>
            </w:pPr>
          </w:p>
        </w:tc>
        <w:tc>
          <w:tcPr>
            <w:tcW w:w="1464" w:type="dxa"/>
            <w:tcBorders>
              <w:top w:val="nil"/>
              <w:left w:val="nil"/>
              <w:bottom w:val="nil"/>
              <w:right w:val="nil"/>
            </w:tcBorders>
            <w:shd w:val="clear" w:color="auto" w:fill="auto"/>
            <w:noWrap/>
            <w:vAlign w:val="bottom"/>
            <w:hideMark/>
          </w:tcPr>
          <w:p w:rsidR="0094250B" w:rsidRPr="0094250B" w:rsidRDefault="0094250B" w:rsidP="0094250B">
            <w:pPr>
              <w:spacing w:after="0"/>
              <w:rPr>
                <w:rFonts w:ascii="Calibri" w:eastAsia="Times New Roman" w:hAnsi="Calibri" w:cs="Times New Roman"/>
                <w:color w:val="000000"/>
                <w:sz w:val="22"/>
                <w:szCs w:val="22"/>
                <w:lang w:eastAsia="en-US"/>
              </w:rPr>
            </w:pPr>
          </w:p>
        </w:tc>
        <w:tc>
          <w:tcPr>
            <w:tcW w:w="1477" w:type="dxa"/>
            <w:tcBorders>
              <w:top w:val="nil"/>
              <w:left w:val="nil"/>
              <w:bottom w:val="nil"/>
              <w:right w:val="nil"/>
            </w:tcBorders>
            <w:shd w:val="clear" w:color="auto" w:fill="auto"/>
            <w:noWrap/>
            <w:vAlign w:val="bottom"/>
            <w:hideMark/>
          </w:tcPr>
          <w:p w:rsidR="0094250B" w:rsidRPr="0094250B" w:rsidRDefault="0094250B" w:rsidP="0094250B">
            <w:pPr>
              <w:spacing w:after="0"/>
              <w:rPr>
                <w:rFonts w:ascii="Calibri" w:eastAsia="Times New Roman" w:hAnsi="Calibri" w:cs="Times New Roman"/>
                <w:color w:val="000000"/>
                <w:sz w:val="22"/>
                <w:szCs w:val="22"/>
                <w:lang w:eastAsia="en-US"/>
              </w:rPr>
            </w:pPr>
          </w:p>
        </w:tc>
        <w:tc>
          <w:tcPr>
            <w:tcW w:w="1262" w:type="dxa"/>
            <w:tcBorders>
              <w:top w:val="nil"/>
              <w:left w:val="nil"/>
              <w:bottom w:val="nil"/>
              <w:right w:val="single" w:sz="8" w:space="0" w:color="auto"/>
            </w:tcBorders>
            <w:shd w:val="clear" w:color="auto" w:fill="auto"/>
            <w:noWrap/>
            <w:vAlign w:val="bottom"/>
            <w:hideMark/>
          </w:tcPr>
          <w:p w:rsidR="0094250B" w:rsidRPr="0094250B" w:rsidRDefault="0094250B" w:rsidP="0094250B">
            <w:pPr>
              <w:spacing w:after="0"/>
              <w:rPr>
                <w:rFonts w:ascii="Calibri" w:eastAsia="Times New Roman" w:hAnsi="Calibri" w:cs="Times New Roman"/>
                <w:color w:val="000000"/>
                <w:sz w:val="22"/>
                <w:szCs w:val="22"/>
                <w:lang w:eastAsia="en-US"/>
              </w:rPr>
            </w:pPr>
            <w:r w:rsidRPr="0094250B">
              <w:rPr>
                <w:rFonts w:ascii="Calibri" w:eastAsia="Times New Roman" w:hAnsi="Calibri" w:cs="Times New Roman"/>
                <w:color w:val="000000"/>
                <w:sz w:val="22"/>
                <w:szCs w:val="22"/>
                <w:lang w:eastAsia="en-US"/>
              </w:rPr>
              <w:t> </w:t>
            </w:r>
          </w:p>
        </w:tc>
      </w:tr>
      <w:tr w:rsidR="0094250B" w:rsidRPr="0094250B" w:rsidTr="0094250B">
        <w:trPr>
          <w:trHeight w:val="300"/>
        </w:trPr>
        <w:tc>
          <w:tcPr>
            <w:tcW w:w="1057" w:type="dxa"/>
            <w:tcBorders>
              <w:top w:val="nil"/>
              <w:left w:val="single" w:sz="8" w:space="0" w:color="auto"/>
              <w:bottom w:val="nil"/>
              <w:right w:val="nil"/>
            </w:tcBorders>
            <w:shd w:val="clear" w:color="auto" w:fill="auto"/>
            <w:noWrap/>
            <w:vAlign w:val="bottom"/>
            <w:hideMark/>
          </w:tcPr>
          <w:p w:rsidR="0094250B" w:rsidRPr="0094250B" w:rsidRDefault="0094250B" w:rsidP="0094250B">
            <w:pPr>
              <w:spacing w:after="0"/>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 </w:t>
            </w:r>
          </w:p>
        </w:tc>
        <w:tc>
          <w:tcPr>
            <w:tcW w:w="2388" w:type="dxa"/>
            <w:gridSpan w:val="2"/>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b/>
                <w:bCs/>
                <w:color w:val="000000"/>
                <w:sz w:val="20"/>
                <w:szCs w:val="20"/>
                <w:lang w:eastAsia="en-US"/>
              </w:rPr>
            </w:pPr>
            <w:r w:rsidRPr="0094250B">
              <w:rPr>
                <w:rFonts w:ascii="Calibri" w:eastAsia="Times New Roman" w:hAnsi="Calibri" w:cs="Times New Roman"/>
                <w:b/>
                <w:bCs/>
                <w:color w:val="000000"/>
                <w:sz w:val="20"/>
                <w:szCs w:val="20"/>
                <w:lang w:eastAsia="en-US"/>
              </w:rPr>
              <w:t>2007 Losses To GSE</w:t>
            </w:r>
          </w:p>
        </w:tc>
        <w:tc>
          <w:tcPr>
            <w:tcW w:w="743" w:type="dxa"/>
            <w:tcBorders>
              <w:top w:val="nil"/>
              <w:left w:val="nil"/>
              <w:bottom w:val="nil"/>
              <w:right w:val="nil"/>
            </w:tcBorders>
            <w:shd w:val="clear" w:color="auto" w:fill="auto"/>
            <w:noWrap/>
            <w:vAlign w:val="bottom"/>
            <w:hideMark/>
          </w:tcPr>
          <w:p w:rsidR="0094250B" w:rsidRPr="0094250B" w:rsidRDefault="0094250B" w:rsidP="0094250B">
            <w:pPr>
              <w:spacing w:after="0"/>
              <w:rPr>
                <w:rFonts w:ascii="Calibri" w:eastAsia="Times New Roman" w:hAnsi="Calibri" w:cs="Times New Roman"/>
                <w:color w:val="000000"/>
                <w:sz w:val="20"/>
                <w:szCs w:val="20"/>
                <w:lang w:eastAsia="en-US"/>
              </w:rPr>
            </w:pPr>
          </w:p>
        </w:tc>
        <w:tc>
          <w:tcPr>
            <w:tcW w:w="988" w:type="dxa"/>
            <w:tcBorders>
              <w:top w:val="nil"/>
              <w:left w:val="nil"/>
              <w:bottom w:val="nil"/>
              <w:right w:val="nil"/>
            </w:tcBorders>
            <w:shd w:val="clear" w:color="auto" w:fill="auto"/>
            <w:noWrap/>
            <w:vAlign w:val="bottom"/>
            <w:hideMark/>
          </w:tcPr>
          <w:p w:rsidR="0094250B" w:rsidRPr="0094250B" w:rsidRDefault="0094250B" w:rsidP="0094250B">
            <w:pPr>
              <w:spacing w:after="0"/>
              <w:rPr>
                <w:rFonts w:ascii="Calibri" w:eastAsia="Times New Roman" w:hAnsi="Calibri" w:cs="Times New Roman"/>
                <w:color w:val="000000"/>
                <w:sz w:val="20"/>
                <w:szCs w:val="20"/>
                <w:lang w:eastAsia="en-US"/>
              </w:rPr>
            </w:pPr>
          </w:p>
        </w:tc>
        <w:tc>
          <w:tcPr>
            <w:tcW w:w="1221"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b/>
                <w:bCs/>
                <w:color w:val="000000"/>
                <w:sz w:val="20"/>
                <w:szCs w:val="20"/>
                <w:lang w:eastAsia="en-US"/>
              </w:rPr>
            </w:pPr>
            <w:r w:rsidRPr="0094250B">
              <w:rPr>
                <w:rFonts w:ascii="Calibri" w:eastAsia="Times New Roman" w:hAnsi="Calibri" w:cs="Times New Roman"/>
                <w:b/>
                <w:bCs/>
                <w:color w:val="000000"/>
                <w:sz w:val="20"/>
                <w:szCs w:val="20"/>
                <w:lang w:eastAsia="en-US"/>
              </w:rPr>
              <w:t>Ratios</w:t>
            </w:r>
          </w:p>
        </w:tc>
        <w:tc>
          <w:tcPr>
            <w:tcW w:w="1464" w:type="dxa"/>
            <w:tcBorders>
              <w:top w:val="nil"/>
              <w:left w:val="nil"/>
              <w:bottom w:val="nil"/>
              <w:right w:val="nil"/>
            </w:tcBorders>
            <w:shd w:val="clear" w:color="000000" w:fill="FFFF00"/>
            <w:noWrap/>
            <w:vAlign w:val="bottom"/>
            <w:hideMark/>
          </w:tcPr>
          <w:p w:rsidR="0094250B" w:rsidRPr="0094250B" w:rsidRDefault="0094250B" w:rsidP="0094250B">
            <w:pPr>
              <w:spacing w:after="0"/>
              <w:jc w:val="center"/>
              <w:rPr>
                <w:rFonts w:ascii="Calibri" w:eastAsia="Times New Roman" w:hAnsi="Calibri" w:cs="Times New Roman"/>
                <w:b/>
                <w:bCs/>
                <w:color w:val="000000"/>
                <w:sz w:val="20"/>
                <w:szCs w:val="20"/>
                <w:lang w:eastAsia="en-US"/>
              </w:rPr>
            </w:pPr>
            <w:proofErr w:type="spellStart"/>
            <w:r w:rsidRPr="0094250B">
              <w:rPr>
                <w:rFonts w:ascii="Calibri" w:eastAsia="Times New Roman" w:hAnsi="Calibri" w:cs="Times New Roman"/>
                <w:b/>
                <w:bCs/>
                <w:color w:val="000000"/>
                <w:sz w:val="20"/>
                <w:szCs w:val="20"/>
                <w:lang w:eastAsia="en-US"/>
              </w:rPr>
              <w:t>Purch+R&amp;T</w:t>
            </w:r>
            <w:proofErr w:type="spellEnd"/>
          </w:p>
        </w:tc>
        <w:tc>
          <w:tcPr>
            <w:tcW w:w="1477"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b/>
                <w:bCs/>
                <w:color w:val="000000"/>
                <w:sz w:val="20"/>
                <w:szCs w:val="20"/>
                <w:lang w:eastAsia="en-US"/>
              </w:rPr>
            </w:pPr>
            <w:r w:rsidRPr="0094250B">
              <w:rPr>
                <w:rFonts w:ascii="Calibri" w:eastAsia="Times New Roman" w:hAnsi="Calibri" w:cs="Times New Roman"/>
                <w:b/>
                <w:bCs/>
                <w:color w:val="000000"/>
                <w:sz w:val="20"/>
                <w:szCs w:val="20"/>
                <w:lang w:eastAsia="en-US"/>
              </w:rPr>
              <w:t>FHFA</w:t>
            </w:r>
          </w:p>
        </w:tc>
        <w:tc>
          <w:tcPr>
            <w:tcW w:w="1262" w:type="dxa"/>
            <w:tcBorders>
              <w:top w:val="nil"/>
              <w:left w:val="nil"/>
              <w:bottom w:val="nil"/>
              <w:right w:val="single" w:sz="8" w:space="0" w:color="auto"/>
            </w:tcBorders>
            <w:shd w:val="clear" w:color="auto" w:fill="auto"/>
            <w:noWrap/>
            <w:vAlign w:val="bottom"/>
            <w:hideMark/>
          </w:tcPr>
          <w:p w:rsidR="0094250B" w:rsidRPr="0094250B" w:rsidRDefault="0094250B" w:rsidP="0094250B">
            <w:pPr>
              <w:spacing w:after="0"/>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 </w:t>
            </w:r>
          </w:p>
        </w:tc>
      </w:tr>
      <w:tr w:rsidR="0094250B" w:rsidRPr="0094250B" w:rsidTr="0094250B">
        <w:trPr>
          <w:trHeight w:val="330"/>
        </w:trPr>
        <w:tc>
          <w:tcPr>
            <w:tcW w:w="1057" w:type="dxa"/>
            <w:tcBorders>
              <w:top w:val="nil"/>
              <w:left w:val="single" w:sz="8" w:space="0" w:color="auto"/>
              <w:bottom w:val="nil"/>
              <w:right w:val="nil"/>
            </w:tcBorders>
            <w:shd w:val="clear" w:color="auto" w:fill="auto"/>
            <w:noWrap/>
            <w:vAlign w:val="bottom"/>
            <w:hideMark/>
          </w:tcPr>
          <w:p w:rsidR="0094250B" w:rsidRPr="0094250B" w:rsidRDefault="0094250B" w:rsidP="0094250B">
            <w:pPr>
              <w:spacing w:after="0"/>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 </w:t>
            </w:r>
          </w:p>
        </w:tc>
        <w:tc>
          <w:tcPr>
            <w:tcW w:w="2388" w:type="dxa"/>
            <w:gridSpan w:val="2"/>
            <w:tcBorders>
              <w:top w:val="nil"/>
              <w:left w:val="nil"/>
              <w:bottom w:val="nil"/>
              <w:right w:val="nil"/>
            </w:tcBorders>
            <w:shd w:val="clear" w:color="000000" w:fill="FFFF00"/>
            <w:noWrap/>
            <w:vAlign w:val="bottom"/>
            <w:hideMark/>
          </w:tcPr>
          <w:p w:rsidR="0094250B" w:rsidRPr="00637449" w:rsidRDefault="0094250B" w:rsidP="0094250B">
            <w:pPr>
              <w:spacing w:after="0"/>
              <w:jc w:val="center"/>
              <w:rPr>
                <w:rFonts w:ascii="Calibri" w:eastAsia="Times New Roman" w:hAnsi="Calibri" w:cs="Times New Roman"/>
                <w:b/>
                <w:bCs/>
                <w:color w:val="000000"/>
                <w:sz w:val="20"/>
                <w:szCs w:val="20"/>
                <w:u w:val="single"/>
                <w:lang w:eastAsia="en-US"/>
              </w:rPr>
            </w:pPr>
            <w:r w:rsidRPr="00637449">
              <w:rPr>
                <w:rFonts w:ascii="Calibri" w:eastAsia="Times New Roman" w:hAnsi="Calibri" w:cs="Times New Roman"/>
                <w:b/>
                <w:bCs/>
                <w:color w:val="000000"/>
                <w:sz w:val="20"/>
                <w:szCs w:val="20"/>
                <w:u w:val="single"/>
                <w:lang w:eastAsia="en-US"/>
              </w:rPr>
              <w:t>Owner Purchase + R&amp;T</w:t>
            </w:r>
          </w:p>
        </w:tc>
        <w:tc>
          <w:tcPr>
            <w:tcW w:w="1731" w:type="dxa"/>
            <w:gridSpan w:val="2"/>
            <w:tcBorders>
              <w:top w:val="nil"/>
              <w:left w:val="nil"/>
              <w:bottom w:val="nil"/>
              <w:right w:val="nil"/>
            </w:tcBorders>
            <w:shd w:val="clear" w:color="auto" w:fill="auto"/>
            <w:noWrap/>
            <w:vAlign w:val="bottom"/>
            <w:hideMark/>
          </w:tcPr>
          <w:p w:rsidR="0094250B" w:rsidRPr="00637449" w:rsidRDefault="0094250B" w:rsidP="0094250B">
            <w:pPr>
              <w:spacing w:after="0"/>
              <w:jc w:val="center"/>
              <w:rPr>
                <w:rFonts w:ascii="Calibri" w:eastAsia="Times New Roman" w:hAnsi="Calibri" w:cs="Times New Roman"/>
                <w:b/>
                <w:bCs/>
                <w:color w:val="000000"/>
                <w:sz w:val="20"/>
                <w:szCs w:val="20"/>
                <w:u w:val="single"/>
                <w:lang w:eastAsia="en-US"/>
              </w:rPr>
            </w:pPr>
            <w:r w:rsidRPr="00637449">
              <w:rPr>
                <w:rFonts w:ascii="Calibri" w:eastAsia="Times New Roman" w:hAnsi="Calibri" w:cs="Times New Roman"/>
                <w:b/>
                <w:bCs/>
                <w:color w:val="000000"/>
                <w:sz w:val="20"/>
                <w:szCs w:val="20"/>
                <w:u w:val="single"/>
                <w:lang w:eastAsia="en-US"/>
              </w:rPr>
              <w:t>Estimated Capital</w:t>
            </w:r>
          </w:p>
        </w:tc>
        <w:tc>
          <w:tcPr>
            <w:tcW w:w="1221"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b/>
                <w:bCs/>
                <w:color w:val="000000"/>
                <w:sz w:val="20"/>
                <w:szCs w:val="20"/>
                <w:lang w:eastAsia="en-US"/>
              </w:rPr>
            </w:pPr>
            <w:r w:rsidRPr="0094250B">
              <w:rPr>
                <w:rFonts w:ascii="Calibri" w:eastAsia="Times New Roman" w:hAnsi="Calibri" w:cs="Times New Roman"/>
                <w:b/>
                <w:bCs/>
                <w:color w:val="000000"/>
                <w:sz w:val="20"/>
                <w:szCs w:val="20"/>
                <w:lang w:eastAsia="en-US"/>
              </w:rPr>
              <w:t>10 Books/</w:t>
            </w:r>
          </w:p>
        </w:tc>
        <w:tc>
          <w:tcPr>
            <w:tcW w:w="1464"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Multi Book</w:t>
            </w:r>
          </w:p>
        </w:tc>
        <w:tc>
          <w:tcPr>
            <w:tcW w:w="1477"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b/>
                <w:bCs/>
                <w:color w:val="000000"/>
                <w:sz w:val="20"/>
                <w:szCs w:val="20"/>
                <w:lang w:eastAsia="en-US"/>
              </w:rPr>
            </w:pPr>
            <w:r w:rsidRPr="0094250B">
              <w:rPr>
                <w:rFonts w:ascii="Calibri" w:eastAsia="Times New Roman" w:hAnsi="Calibri" w:cs="Times New Roman"/>
                <w:b/>
                <w:bCs/>
                <w:color w:val="000000"/>
                <w:sz w:val="20"/>
                <w:szCs w:val="20"/>
                <w:lang w:eastAsia="en-US"/>
              </w:rPr>
              <w:t>Proposed</w:t>
            </w:r>
          </w:p>
        </w:tc>
        <w:tc>
          <w:tcPr>
            <w:tcW w:w="1262" w:type="dxa"/>
            <w:tcBorders>
              <w:top w:val="nil"/>
              <w:left w:val="nil"/>
              <w:bottom w:val="nil"/>
              <w:right w:val="single" w:sz="8" w:space="0" w:color="auto"/>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b/>
                <w:bCs/>
                <w:color w:val="000000"/>
                <w:sz w:val="20"/>
                <w:szCs w:val="20"/>
                <w:lang w:eastAsia="en-US"/>
              </w:rPr>
            </w:pPr>
            <w:r w:rsidRPr="0094250B">
              <w:rPr>
                <w:rFonts w:ascii="Calibri" w:eastAsia="Times New Roman" w:hAnsi="Calibri" w:cs="Times New Roman"/>
                <w:b/>
                <w:bCs/>
                <w:color w:val="000000"/>
                <w:sz w:val="20"/>
                <w:szCs w:val="20"/>
                <w:lang w:eastAsia="en-US"/>
              </w:rPr>
              <w:t>Percent</w:t>
            </w:r>
          </w:p>
        </w:tc>
      </w:tr>
      <w:tr w:rsidR="0094250B" w:rsidRPr="0094250B" w:rsidTr="0094250B">
        <w:trPr>
          <w:trHeight w:val="375"/>
        </w:trPr>
        <w:tc>
          <w:tcPr>
            <w:tcW w:w="1057" w:type="dxa"/>
            <w:tcBorders>
              <w:top w:val="nil"/>
              <w:left w:val="single" w:sz="8" w:space="0" w:color="auto"/>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b/>
                <w:bCs/>
                <w:color w:val="000000"/>
                <w:sz w:val="20"/>
                <w:szCs w:val="20"/>
                <w:u w:val="single"/>
                <w:lang w:eastAsia="en-US"/>
              </w:rPr>
            </w:pPr>
            <w:r w:rsidRPr="0094250B">
              <w:rPr>
                <w:rFonts w:ascii="Calibri" w:eastAsia="Times New Roman" w:hAnsi="Calibri" w:cs="Times New Roman"/>
                <w:b/>
                <w:bCs/>
                <w:color w:val="000000"/>
                <w:sz w:val="20"/>
                <w:szCs w:val="20"/>
                <w:u w:val="single"/>
                <w:lang w:eastAsia="en-US"/>
              </w:rPr>
              <w:t>LTV</w:t>
            </w:r>
          </w:p>
        </w:tc>
        <w:tc>
          <w:tcPr>
            <w:tcW w:w="1400"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b/>
                <w:bCs/>
                <w:color w:val="000000"/>
                <w:sz w:val="20"/>
                <w:szCs w:val="20"/>
                <w:u w:val="single"/>
                <w:lang w:eastAsia="en-US"/>
              </w:rPr>
            </w:pPr>
            <w:r w:rsidRPr="0094250B">
              <w:rPr>
                <w:rFonts w:ascii="Calibri" w:eastAsia="Times New Roman" w:hAnsi="Calibri" w:cs="Times New Roman"/>
                <w:b/>
                <w:bCs/>
                <w:color w:val="000000"/>
                <w:sz w:val="20"/>
                <w:szCs w:val="20"/>
                <w:u w:val="single"/>
                <w:lang w:eastAsia="en-US"/>
              </w:rPr>
              <w:t>Single Book</w:t>
            </w:r>
          </w:p>
        </w:tc>
        <w:tc>
          <w:tcPr>
            <w:tcW w:w="988"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b/>
                <w:bCs/>
                <w:color w:val="000000"/>
                <w:sz w:val="20"/>
                <w:szCs w:val="20"/>
                <w:u w:val="single"/>
                <w:lang w:eastAsia="en-US"/>
              </w:rPr>
            </w:pPr>
            <w:r w:rsidRPr="0094250B">
              <w:rPr>
                <w:rFonts w:ascii="Calibri" w:eastAsia="Times New Roman" w:hAnsi="Calibri" w:cs="Times New Roman"/>
                <w:b/>
                <w:bCs/>
                <w:color w:val="000000"/>
                <w:sz w:val="20"/>
                <w:szCs w:val="20"/>
                <w:u w:val="single"/>
                <w:lang w:eastAsia="en-US"/>
              </w:rPr>
              <w:t>10 Book</w:t>
            </w:r>
          </w:p>
        </w:tc>
        <w:tc>
          <w:tcPr>
            <w:tcW w:w="743"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b/>
                <w:bCs/>
                <w:color w:val="000000"/>
                <w:sz w:val="20"/>
                <w:szCs w:val="20"/>
                <w:u w:val="single"/>
                <w:lang w:eastAsia="en-US"/>
              </w:rPr>
            </w:pPr>
            <w:r w:rsidRPr="0094250B">
              <w:rPr>
                <w:rFonts w:ascii="Calibri" w:eastAsia="Times New Roman" w:hAnsi="Calibri" w:cs="Times New Roman"/>
                <w:b/>
                <w:bCs/>
                <w:color w:val="000000"/>
                <w:sz w:val="20"/>
                <w:szCs w:val="20"/>
                <w:u w:val="single"/>
                <w:lang w:eastAsia="en-US"/>
              </w:rPr>
              <w:t>Single</w:t>
            </w:r>
          </w:p>
        </w:tc>
        <w:tc>
          <w:tcPr>
            <w:tcW w:w="988"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b/>
                <w:bCs/>
                <w:color w:val="000000"/>
                <w:sz w:val="20"/>
                <w:szCs w:val="20"/>
                <w:u w:val="single"/>
                <w:lang w:eastAsia="en-US"/>
              </w:rPr>
            </w:pPr>
            <w:r w:rsidRPr="0094250B">
              <w:rPr>
                <w:rFonts w:ascii="Calibri" w:eastAsia="Times New Roman" w:hAnsi="Calibri" w:cs="Times New Roman"/>
                <w:b/>
                <w:bCs/>
                <w:color w:val="000000"/>
                <w:sz w:val="20"/>
                <w:szCs w:val="20"/>
                <w:u w:val="single"/>
                <w:lang w:eastAsia="en-US"/>
              </w:rPr>
              <w:t>10 Book</w:t>
            </w:r>
          </w:p>
        </w:tc>
        <w:tc>
          <w:tcPr>
            <w:tcW w:w="1221"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b/>
                <w:bCs/>
                <w:color w:val="000000"/>
                <w:sz w:val="20"/>
                <w:szCs w:val="20"/>
                <w:u w:val="single"/>
                <w:lang w:eastAsia="en-US"/>
              </w:rPr>
            </w:pPr>
            <w:r w:rsidRPr="0094250B">
              <w:rPr>
                <w:rFonts w:ascii="Calibri" w:eastAsia="Times New Roman" w:hAnsi="Calibri" w:cs="Times New Roman"/>
                <w:b/>
                <w:bCs/>
                <w:color w:val="000000"/>
                <w:sz w:val="20"/>
                <w:szCs w:val="20"/>
                <w:u w:val="single"/>
                <w:lang w:eastAsia="en-US"/>
              </w:rPr>
              <w:t>Single</w:t>
            </w:r>
          </w:p>
        </w:tc>
        <w:tc>
          <w:tcPr>
            <w:tcW w:w="1464"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b/>
                <w:bCs/>
                <w:color w:val="000000"/>
                <w:sz w:val="20"/>
                <w:szCs w:val="20"/>
                <w:u w:val="single"/>
                <w:lang w:eastAsia="en-US"/>
              </w:rPr>
            </w:pPr>
            <w:r w:rsidRPr="0094250B">
              <w:rPr>
                <w:rFonts w:ascii="Calibri" w:eastAsia="Times New Roman" w:hAnsi="Calibri" w:cs="Times New Roman"/>
                <w:b/>
                <w:bCs/>
                <w:color w:val="000000"/>
                <w:sz w:val="20"/>
                <w:szCs w:val="20"/>
                <w:u w:val="single"/>
                <w:lang w:eastAsia="en-US"/>
              </w:rPr>
              <w:t>Annual Fees</w:t>
            </w:r>
          </w:p>
        </w:tc>
        <w:tc>
          <w:tcPr>
            <w:tcW w:w="1477"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b/>
                <w:bCs/>
                <w:color w:val="000000"/>
                <w:sz w:val="20"/>
                <w:szCs w:val="20"/>
                <w:u w:val="single"/>
                <w:lang w:eastAsia="en-US"/>
              </w:rPr>
            </w:pPr>
            <w:proofErr w:type="spellStart"/>
            <w:r w:rsidRPr="0094250B">
              <w:rPr>
                <w:rFonts w:ascii="Calibri" w:eastAsia="Times New Roman" w:hAnsi="Calibri" w:cs="Times New Roman"/>
                <w:b/>
                <w:bCs/>
                <w:color w:val="000000"/>
                <w:sz w:val="20"/>
                <w:szCs w:val="20"/>
                <w:u w:val="single"/>
                <w:lang w:eastAsia="en-US"/>
              </w:rPr>
              <w:t>Ann.G</w:t>
            </w:r>
            <w:proofErr w:type="spellEnd"/>
            <w:r w:rsidRPr="0094250B">
              <w:rPr>
                <w:rFonts w:ascii="Calibri" w:eastAsia="Times New Roman" w:hAnsi="Calibri" w:cs="Times New Roman"/>
                <w:b/>
                <w:bCs/>
                <w:color w:val="000000"/>
                <w:sz w:val="20"/>
                <w:szCs w:val="20"/>
                <w:u w:val="single"/>
                <w:lang w:eastAsia="en-US"/>
              </w:rPr>
              <w:t>-Fees</w:t>
            </w:r>
          </w:p>
        </w:tc>
        <w:tc>
          <w:tcPr>
            <w:tcW w:w="1262" w:type="dxa"/>
            <w:tcBorders>
              <w:top w:val="nil"/>
              <w:left w:val="nil"/>
              <w:bottom w:val="nil"/>
              <w:right w:val="single" w:sz="8" w:space="0" w:color="auto"/>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b/>
                <w:bCs/>
                <w:color w:val="000000"/>
                <w:sz w:val="20"/>
                <w:szCs w:val="20"/>
                <w:u w:val="single"/>
                <w:lang w:eastAsia="en-US"/>
              </w:rPr>
            </w:pPr>
            <w:r w:rsidRPr="0094250B">
              <w:rPr>
                <w:rFonts w:ascii="Calibri" w:eastAsia="Times New Roman" w:hAnsi="Calibri" w:cs="Times New Roman"/>
                <w:b/>
                <w:bCs/>
                <w:color w:val="000000"/>
                <w:sz w:val="20"/>
                <w:szCs w:val="20"/>
                <w:u w:val="single"/>
                <w:lang w:eastAsia="en-US"/>
              </w:rPr>
              <w:t>Difference</w:t>
            </w:r>
          </w:p>
        </w:tc>
      </w:tr>
      <w:tr w:rsidR="0094250B" w:rsidRPr="0094250B" w:rsidTr="0094250B">
        <w:trPr>
          <w:trHeight w:val="300"/>
        </w:trPr>
        <w:tc>
          <w:tcPr>
            <w:tcW w:w="1057" w:type="dxa"/>
            <w:tcBorders>
              <w:top w:val="nil"/>
              <w:left w:val="single" w:sz="8" w:space="0" w:color="auto"/>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b/>
                <w:bCs/>
                <w:color w:val="000000"/>
                <w:sz w:val="20"/>
                <w:szCs w:val="20"/>
                <w:u w:val="single"/>
                <w:lang w:eastAsia="en-US"/>
              </w:rPr>
            </w:pPr>
            <w:r w:rsidRPr="0094250B">
              <w:rPr>
                <w:rFonts w:ascii="Calibri" w:eastAsia="Times New Roman" w:hAnsi="Calibri" w:cs="Times New Roman"/>
                <w:b/>
                <w:bCs/>
                <w:color w:val="000000"/>
                <w:sz w:val="20"/>
                <w:szCs w:val="20"/>
                <w:u w:val="single"/>
                <w:lang w:eastAsia="en-US"/>
              </w:rPr>
              <w:t> </w:t>
            </w:r>
          </w:p>
        </w:tc>
        <w:tc>
          <w:tcPr>
            <w:tcW w:w="1400"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b/>
                <w:bCs/>
                <w:color w:val="000000"/>
                <w:sz w:val="20"/>
                <w:szCs w:val="20"/>
                <w:u w:val="single"/>
                <w:lang w:eastAsia="en-US"/>
              </w:rPr>
            </w:pPr>
          </w:p>
        </w:tc>
        <w:tc>
          <w:tcPr>
            <w:tcW w:w="988"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b/>
                <w:bCs/>
                <w:color w:val="000000"/>
                <w:sz w:val="20"/>
                <w:szCs w:val="20"/>
                <w:u w:val="single"/>
                <w:lang w:eastAsia="en-US"/>
              </w:rPr>
            </w:pPr>
          </w:p>
        </w:tc>
        <w:tc>
          <w:tcPr>
            <w:tcW w:w="743"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b/>
                <w:bCs/>
                <w:color w:val="000000"/>
                <w:sz w:val="20"/>
                <w:szCs w:val="20"/>
                <w:u w:val="single"/>
                <w:lang w:eastAsia="en-US"/>
              </w:rPr>
            </w:pPr>
          </w:p>
        </w:tc>
        <w:tc>
          <w:tcPr>
            <w:tcW w:w="988"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b/>
                <w:bCs/>
                <w:color w:val="000000"/>
                <w:sz w:val="20"/>
                <w:szCs w:val="20"/>
                <w:u w:val="single"/>
                <w:lang w:eastAsia="en-US"/>
              </w:rPr>
            </w:pPr>
          </w:p>
        </w:tc>
        <w:tc>
          <w:tcPr>
            <w:tcW w:w="1221" w:type="dxa"/>
            <w:tcBorders>
              <w:top w:val="nil"/>
              <w:left w:val="nil"/>
              <w:bottom w:val="nil"/>
              <w:right w:val="nil"/>
            </w:tcBorders>
            <w:shd w:val="clear" w:color="auto" w:fill="auto"/>
            <w:noWrap/>
            <w:vAlign w:val="bottom"/>
            <w:hideMark/>
          </w:tcPr>
          <w:p w:rsidR="0094250B" w:rsidRPr="0094250B" w:rsidRDefault="0094250B" w:rsidP="0094250B">
            <w:pPr>
              <w:spacing w:after="0"/>
              <w:rPr>
                <w:rFonts w:ascii="Calibri" w:eastAsia="Times New Roman" w:hAnsi="Calibri" w:cs="Times New Roman"/>
                <w:b/>
                <w:bCs/>
                <w:color w:val="000000"/>
                <w:sz w:val="20"/>
                <w:szCs w:val="20"/>
                <w:u w:val="single"/>
                <w:lang w:eastAsia="en-US"/>
              </w:rPr>
            </w:pPr>
          </w:p>
        </w:tc>
        <w:tc>
          <w:tcPr>
            <w:tcW w:w="1464"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b/>
                <w:bCs/>
                <w:color w:val="000000"/>
                <w:sz w:val="20"/>
                <w:szCs w:val="20"/>
                <w:u w:val="single"/>
                <w:lang w:eastAsia="en-US"/>
              </w:rPr>
            </w:pPr>
          </w:p>
        </w:tc>
        <w:tc>
          <w:tcPr>
            <w:tcW w:w="1477"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b/>
                <w:bCs/>
                <w:color w:val="000000"/>
                <w:sz w:val="20"/>
                <w:szCs w:val="20"/>
                <w:u w:val="single"/>
                <w:lang w:eastAsia="en-US"/>
              </w:rPr>
            </w:pPr>
          </w:p>
        </w:tc>
        <w:tc>
          <w:tcPr>
            <w:tcW w:w="1262" w:type="dxa"/>
            <w:tcBorders>
              <w:top w:val="nil"/>
              <w:left w:val="nil"/>
              <w:bottom w:val="nil"/>
              <w:right w:val="single" w:sz="8" w:space="0" w:color="auto"/>
            </w:tcBorders>
            <w:shd w:val="clear" w:color="auto" w:fill="auto"/>
            <w:noWrap/>
            <w:vAlign w:val="bottom"/>
            <w:hideMark/>
          </w:tcPr>
          <w:p w:rsidR="0094250B" w:rsidRPr="0094250B" w:rsidRDefault="0094250B" w:rsidP="0094250B">
            <w:pPr>
              <w:spacing w:after="0"/>
              <w:rPr>
                <w:rFonts w:ascii="Calibri" w:eastAsia="Times New Roman" w:hAnsi="Calibri" w:cs="Times New Roman"/>
                <w:b/>
                <w:bCs/>
                <w:color w:val="000000"/>
                <w:sz w:val="20"/>
                <w:szCs w:val="20"/>
                <w:u w:val="single"/>
                <w:lang w:eastAsia="en-US"/>
              </w:rPr>
            </w:pPr>
            <w:r w:rsidRPr="0094250B">
              <w:rPr>
                <w:rFonts w:ascii="Calibri" w:eastAsia="Times New Roman" w:hAnsi="Calibri" w:cs="Times New Roman"/>
                <w:b/>
                <w:bCs/>
                <w:color w:val="000000"/>
                <w:sz w:val="20"/>
                <w:szCs w:val="20"/>
                <w:u w:val="single"/>
                <w:lang w:eastAsia="en-US"/>
              </w:rPr>
              <w:t> </w:t>
            </w:r>
          </w:p>
        </w:tc>
      </w:tr>
      <w:tr w:rsidR="0094250B" w:rsidRPr="0094250B" w:rsidTr="0094250B">
        <w:trPr>
          <w:trHeight w:val="300"/>
        </w:trPr>
        <w:tc>
          <w:tcPr>
            <w:tcW w:w="1057" w:type="dxa"/>
            <w:tcBorders>
              <w:top w:val="nil"/>
              <w:left w:val="single" w:sz="8" w:space="0" w:color="auto"/>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0-60</w:t>
            </w:r>
          </w:p>
        </w:tc>
        <w:tc>
          <w:tcPr>
            <w:tcW w:w="1400"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1.18%</w:t>
            </w:r>
          </w:p>
        </w:tc>
        <w:tc>
          <w:tcPr>
            <w:tcW w:w="988"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0.63%</w:t>
            </w:r>
          </w:p>
        </w:tc>
        <w:tc>
          <w:tcPr>
            <w:tcW w:w="743"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0.91%</w:t>
            </w:r>
          </w:p>
        </w:tc>
        <w:tc>
          <w:tcPr>
            <w:tcW w:w="988"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0.36%</w:t>
            </w:r>
          </w:p>
        </w:tc>
        <w:tc>
          <w:tcPr>
            <w:tcW w:w="1221"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39.3%</w:t>
            </w:r>
          </w:p>
        </w:tc>
        <w:tc>
          <w:tcPr>
            <w:tcW w:w="1464"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0.15%</w:t>
            </w:r>
          </w:p>
        </w:tc>
        <w:tc>
          <w:tcPr>
            <w:tcW w:w="1477"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0.195%</w:t>
            </w:r>
          </w:p>
        </w:tc>
        <w:tc>
          <w:tcPr>
            <w:tcW w:w="1262" w:type="dxa"/>
            <w:tcBorders>
              <w:top w:val="nil"/>
              <w:left w:val="nil"/>
              <w:bottom w:val="nil"/>
              <w:right w:val="single" w:sz="8" w:space="0" w:color="auto"/>
            </w:tcBorders>
            <w:shd w:val="clear" w:color="000000" w:fill="FFFF00"/>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-26%</w:t>
            </w:r>
          </w:p>
        </w:tc>
      </w:tr>
      <w:tr w:rsidR="0094250B" w:rsidRPr="0094250B" w:rsidTr="0094250B">
        <w:trPr>
          <w:trHeight w:val="300"/>
        </w:trPr>
        <w:tc>
          <w:tcPr>
            <w:tcW w:w="1057" w:type="dxa"/>
            <w:tcBorders>
              <w:top w:val="nil"/>
              <w:left w:val="single" w:sz="8" w:space="0" w:color="auto"/>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60.01-70</w:t>
            </w:r>
          </w:p>
        </w:tc>
        <w:tc>
          <w:tcPr>
            <w:tcW w:w="1400"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2.08%</w:t>
            </w:r>
          </w:p>
        </w:tc>
        <w:tc>
          <w:tcPr>
            <w:tcW w:w="988"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1.11%</w:t>
            </w:r>
          </w:p>
        </w:tc>
        <w:tc>
          <w:tcPr>
            <w:tcW w:w="743"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1.60%</w:t>
            </w:r>
          </w:p>
        </w:tc>
        <w:tc>
          <w:tcPr>
            <w:tcW w:w="988"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0.63%</w:t>
            </w:r>
          </w:p>
        </w:tc>
        <w:tc>
          <w:tcPr>
            <w:tcW w:w="1221"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39.3%</w:t>
            </w:r>
          </w:p>
        </w:tc>
        <w:tc>
          <w:tcPr>
            <w:tcW w:w="1464"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0.20%</w:t>
            </w:r>
          </w:p>
        </w:tc>
        <w:tc>
          <w:tcPr>
            <w:tcW w:w="1477"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0.289%</w:t>
            </w:r>
          </w:p>
        </w:tc>
        <w:tc>
          <w:tcPr>
            <w:tcW w:w="1262" w:type="dxa"/>
            <w:tcBorders>
              <w:top w:val="nil"/>
              <w:left w:val="nil"/>
              <w:bottom w:val="nil"/>
              <w:right w:val="single" w:sz="8" w:space="0" w:color="auto"/>
            </w:tcBorders>
            <w:shd w:val="clear" w:color="000000" w:fill="FFFF00"/>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-30%</w:t>
            </w:r>
          </w:p>
        </w:tc>
      </w:tr>
      <w:tr w:rsidR="0094250B" w:rsidRPr="0094250B" w:rsidTr="0094250B">
        <w:trPr>
          <w:trHeight w:val="300"/>
        </w:trPr>
        <w:tc>
          <w:tcPr>
            <w:tcW w:w="1057" w:type="dxa"/>
            <w:tcBorders>
              <w:top w:val="nil"/>
              <w:left w:val="single" w:sz="8" w:space="0" w:color="auto"/>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70.01-75</w:t>
            </w:r>
          </w:p>
        </w:tc>
        <w:tc>
          <w:tcPr>
            <w:tcW w:w="1400"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2.97%</w:t>
            </w:r>
          </w:p>
        </w:tc>
        <w:tc>
          <w:tcPr>
            <w:tcW w:w="988"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1.58%</w:t>
            </w:r>
          </w:p>
        </w:tc>
        <w:tc>
          <w:tcPr>
            <w:tcW w:w="743"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1.98%</w:t>
            </w:r>
          </w:p>
        </w:tc>
        <w:tc>
          <w:tcPr>
            <w:tcW w:w="988"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0.59%</w:t>
            </w:r>
          </w:p>
        </w:tc>
        <w:tc>
          <w:tcPr>
            <w:tcW w:w="1221"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29.9%</w:t>
            </w:r>
          </w:p>
        </w:tc>
        <w:tc>
          <w:tcPr>
            <w:tcW w:w="1464"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0.28%</w:t>
            </w:r>
          </w:p>
        </w:tc>
        <w:tc>
          <w:tcPr>
            <w:tcW w:w="1477"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0.400%</w:t>
            </w:r>
          </w:p>
        </w:tc>
        <w:tc>
          <w:tcPr>
            <w:tcW w:w="1262" w:type="dxa"/>
            <w:tcBorders>
              <w:top w:val="nil"/>
              <w:left w:val="nil"/>
              <w:bottom w:val="nil"/>
              <w:right w:val="single" w:sz="8" w:space="0" w:color="auto"/>
            </w:tcBorders>
            <w:shd w:val="clear" w:color="000000" w:fill="FFFF00"/>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-31%</w:t>
            </w:r>
          </w:p>
        </w:tc>
      </w:tr>
      <w:tr w:rsidR="0094250B" w:rsidRPr="0094250B" w:rsidTr="0094250B">
        <w:trPr>
          <w:trHeight w:val="300"/>
        </w:trPr>
        <w:tc>
          <w:tcPr>
            <w:tcW w:w="1057" w:type="dxa"/>
            <w:tcBorders>
              <w:top w:val="nil"/>
              <w:left w:val="single" w:sz="8" w:space="0" w:color="auto"/>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75.01-80</w:t>
            </w:r>
          </w:p>
        </w:tc>
        <w:tc>
          <w:tcPr>
            <w:tcW w:w="1400"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4.92%</w:t>
            </w:r>
          </w:p>
        </w:tc>
        <w:tc>
          <w:tcPr>
            <w:tcW w:w="988"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2.62%</w:t>
            </w:r>
          </w:p>
        </w:tc>
        <w:tc>
          <w:tcPr>
            <w:tcW w:w="743"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3.77%</w:t>
            </w:r>
          </w:p>
        </w:tc>
        <w:tc>
          <w:tcPr>
            <w:tcW w:w="988"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1.47%</w:t>
            </w:r>
          </w:p>
        </w:tc>
        <w:tc>
          <w:tcPr>
            <w:tcW w:w="1221"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39.1%</w:t>
            </w:r>
          </w:p>
        </w:tc>
        <w:tc>
          <w:tcPr>
            <w:tcW w:w="1464"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0.38%</w:t>
            </w:r>
          </w:p>
        </w:tc>
        <w:tc>
          <w:tcPr>
            <w:tcW w:w="1477"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0.584%</w:t>
            </w:r>
          </w:p>
        </w:tc>
        <w:tc>
          <w:tcPr>
            <w:tcW w:w="1262" w:type="dxa"/>
            <w:tcBorders>
              <w:top w:val="nil"/>
              <w:left w:val="nil"/>
              <w:bottom w:val="nil"/>
              <w:right w:val="single" w:sz="8" w:space="0" w:color="auto"/>
            </w:tcBorders>
            <w:shd w:val="clear" w:color="000000" w:fill="FFFF00"/>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-35%</w:t>
            </w:r>
          </w:p>
        </w:tc>
      </w:tr>
      <w:tr w:rsidR="0094250B" w:rsidRPr="0094250B" w:rsidTr="0094250B">
        <w:trPr>
          <w:trHeight w:val="300"/>
        </w:trPr>
        <w:tc>
          <w:tcPr>
            <w:tcW w:w="1057" w:type="dxa"/>
            <w:tcBorders>
              <w:top w:val="nil"/>
              <w:left w:val="single" w:sz="8" w:space="0" w:color="auto"/>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80.01-85</w:t>
            </w:r>
          </w:p>
        </w:tc>
        <w:tc>
          <w:tcPr>
            <w:tcW w:w="1400"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4.99%</w:t>
            </w:r>
          </w:p>
        </w:tc>
        <w:tc>
          <w:tcPr>
            <w:tcW w:w="988"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2.66%</w:t>
            </w:r>
          </w:p>
        </w:tc>
        <w:tc>
          <w:tcPr>
            <w:tcW w:w="743"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4.21%</w:t>
            </w:r>
          </w:p>
        </w:tc>
        <w:tc>
          <w:tcPr>
            <w:tcW w:w="988"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1.88%</w:t>
            </w:r>
          </w:p>
        </w:tc>
        <w:tc>
          <w:tcPr>
            <w:tcW w:w="1221"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44.7%</w:t>
            </w:r>
          </w:p>
        </w:tc>
        <w:tc>
          <w:tcPr>
            <w:tcW w:w="1464"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0.36%</w:t>
            </w:r>
          </w:p>
        </w:tc>
        <w:tc>
          <w:tcPr>
            <w:tcW w:w="1477"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0.567%</w:t>
            </w:r>
          </w:p>
        </w:tc>
        <w:tc>
          <w:tcPr>
            <w:tcW w:w="1262" w:type="dxa"/>
            <w:tcBorders>
              <w:top w:val="nil"/>
              <w:left w:val="nil"/>
              <w:bottom w:val="nil"/>
              <w:right w:val="single" w:sz="8" w:space="0" w:color="auto"/>
            </w:tcBorders>
            <w:shd w:val="clear" w:color="000000" w:fill="FFFF00"/>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-37%</w:t>
            </w:r>
          </w:p>
        </w:tc>
      </w:tr>
      <w:tr w:rsidR="0094250B" w:rsidRPr="0094250B" w:rsidTr="0094250B">
        <w:trPr>
          <w:trHeight w:val="300"/>
        </w:trPr>
        <w:tc>
          <w:tcPr>
            <w:tcW w:w="1057" w:type="dxa"/>
            <w:tcBorders>
              <w:top w:val="nil"/>
              <w:left w:val="single" w:sz="8" w:space="0" w:color="auto"/>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85.01-90</w:t>
            </w:r>
          </w:p>
        </w:tc>
        <w:tc>
          <w:tcPr>
            <w:tcW w:w="1400"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8.68%</w:t>
            </w:r>
          </w:p>
        </w:tc>
        <w:tc>
          <w:tcPr>
            <w:tcW w:w="988"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4.63%</w:t>
            </w:r>
          </w:p>
        </w:tc>
        <w:tc>
          <w:tcPr>
            <w:tcW w:w="743"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7.39%</w:t>
            </w:r>
          </w:p>
        </w:tc>
        <w:tc>
          <w:tcPr>
            <w:tcW w:w="988"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3.33%</w:t>
            </w:r>
          </w:p>
        </w:tc>
        <w:tc>
          <w:tcPr>
            <w:tcW w:w="1221"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45.1%</w:t>
            </w:r>
          </w:p>
        </w:tc>
        <w:tc>
          <w:tcPr>
            <w:tcW w:w="1464"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0.57%</w:t>
            </w:r>
          </w:p>
        </w:tc>
        <w:tc>
          <w:tcPr>
            <w:tcW w:w="1477"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0.938%</w:t>
            </w:r>
          </w:p>
        </w:tc>
        <w:tc>
          <w:tcPr>
            <w:tcW w:w="1262" w:type="dxa"/>
            <w:tcBorders>
              <w:top w:val="nil"/>
              <w:left w:val="nil"/>
              <w:bottom w:val="nil"/>
              <w:right w:val="single" w:sz="8" w:space="0" w:color="auto"/>
            </w:tcBorders>
            <w:shd w:val="clear" w:color="000000" w:fill="FFFF00"/>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-39%</w:t>
            </w:r>
          </w:p>
        </w:tc>
      </w:tr>
      <w:tr w:rsidR="0094250B" w:rsidRPr="0094250B" w:rsidTr="0094250B">
        <w:trPr>
          <w:trHeight w:val="300"/>
        </w:trPr>
        <w:tc>
          <w:tcPr>
            <w:tcW w:w="1057" w:type="dxa"/>
            <w:tcBorders>
              <w:top w:val="nil"/>
              <w:left w:val="single" w:sz="8" w:space="0" w:color="auto"/>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90.01-95</w:t>
            </w:r>
          </w:p>
        </w:tc>
        <w:tc>
          <w:tcPr>
            <w:tcW w:w="1400"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8.73%</w:t>
            </w:r>
          </w:p>
        </w:tc>
        <w:tc>
          <w:tcPr>
            <w:tcW w:w="988"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4.65%</w:t>
            </w:r>
          </w:p>
        </w:tc>
        <w:tc>
          <w:tcPr>
            <w:tcW w:w="743"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7.11%</w:t>
            </w:r>
          </w:p>
        </w:tc>
        <w:tc>
          <w:tcPr>
            <w:tcW w:w="988"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3.03%</w:t>
            </w:r>
          </w:p>
        </w:tc>
        <w:tc>
          <w:tcPr>
            <w:tcW w:w="1221"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42.7%</w:t>
            </w:r>
          </w:p>
        </w:tc>
        <w:tc>
          <w:tcPr>
            <w:tcW w:w="1464"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0.57%</w:t>
            </w:r>
          </w:p>
        </w:tc>
        <w:tc>
          <w:tcPr>
            <w:tcW w:w="1477"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0.940%</w:t>
            </w:r>
          </w:p>
        </w:tc>
        <w:tc>
          <w:tcPr>
            <w:tcW w:w="1262" w:type="dxa"/>
            <w:tcBorders>
              <w:top w:val="nil"/>
              <w:left w:val="nil"/>
              <w:bottom w:val="nil"/>
              <w:right w:val="single" w:sz="8" w:space="0" w:color="auto"/>
            </w:tcBorders>
            <w:shd w:val="clear" w:color="000000" w:fill="FFFF00"/>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-39%</w:t>
            </w:r>
          </w:p>
        </w:tc>
      </w:tr>
      <w:tr w:rsidR="0094250B" w:rsidRPr="0094250B" w:rsidTr="0094250B">
        <w:trPr>
          <w:trHeight w:val="300"/>
        </w:trPr>
        <w:tc>
          <w:tcPr>
            <w:tcW w:w="1057" w:type="dxa"/>
            <w:tcBorders>
              <w:top w:val="nil"/>
              <w:left w:val="single" w:sz="8" w:space="0" w:color="auto"/>
              <w:bottom w:val="nil"/>
              <w:right w:val="nil"/>
            </w:tcBorders>
            <w:shd w:val="clear" w:color="auto" w:fill="auto"/>
            <w:noWrap/>
            <w:vAlign w:val="bottom"/>
            <w:hideMark/>
          </w:tcPr>
          <w:p w:rsidR="0094250B" w:rsidRPr="0094250B" w:rsidRDefault="0094250B" w:rsidP="0094250B">
            <w:pPr>
              <w:spacing w:after="0"/>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 </w:t>
            </w:r>
          </w:p>
        </w:tc>
        <w:tc>
          <w:tcPr>
            <w:tcW w:w="1400" w:type="dxa"/>
            <w:tcBorders>
              <w:top w:val="nil"/>
              <w:left w:val="nil"/>
              <w:bottom w:val="nil"/>
              <w:right w:val="nil"/>
            </w:tcBorders>
            <w:shd w:val="clear" w:color="auto" w:fill="auto"/>
            <w:noWrap/>
            <w:vAlign w:val="bottom"/>
            <w:hideMark/>
          </w:tcPr>
          <w:p w:rsidR="0094250B" w:rsidRPr="0094250B" w:rsidRDefault="0094250B" w:rsidP="0094250B">
            <w:pPr>
              <w:spacing w:after="0"/>
              <w:rPr>
                <w:rFonts w:ascii="Calibri" w:eastAsia="Times New Roman" w:hAnsi="Calibri" w:cs="Times New Roman"/>
                <w:color w:val="000000"/>
                <w:sz w:val="20"/>
                <w:szCs w:val="20"/>
                <w:lang w:eastAsia="en-US"/>
              </w:rPr>
            </w:pPr>
          </w:p>
        </w:tc>
        <w:tc>
          <w:tcPr>
            <w:tcW w:w="988" w:type="dxa"/>
            <w:tcBorders>
              <w:top w:val="nil"/>
              <w:left w:val="nil"/>
              <w:bottom w:val="nil"/>
              <w:right w:val="nil"/>
            </w:tcBorders>
            <w:shd w:val="clear" w:color="auto" w:fill="auto"/>
            <w:noWrap/>
            <w:vAlign w:val="bottom"/>
            <w:hideMark/>
          </w:tcPr>
          <w:p w:rsidR="0094250B" w:rsidRPr="0094250B" w:rsidRDefault="0094250B" w:rsidP="0094250B">
            <w:pPr>
              <w:spacing w:after="0"/>
              <w:rPr>
                <w:rFonts w:ascii="Calibri" w:eastAsia="Times New Roman" w:hAnsi="Calibri" w:cs="Times New Roman"/>
                <w:color w:val="000000"/>
                <w:sz w:val="20"/>
                <w:szCs w:val="20"/>
                <w:lang w:eastAsia="en-US"/>
              </w:rPr>
            </w:pPr>
          </w:p>
        </w:tc>
        <w:tc>
          <w:tcPr>
            <w:tcW w:w="743" w:type="dxa"/>
            <w:tcBorders>
              <w:top w:val="nil"/>
              <w:left w:val="nil"/>
              <w:bottom w:val="nil"/>
              <w:right w:val="nil"/>
            </w:tcBorders>
            <w:shd w:val="clear" w:color="auto" w:fill="auto"/>
            <w:noWrap/>
            <w:vAlign w:val="bottom"/>
            <w:hideMark/>
          </w:tcPr>
          <w:p w:rsidR="0094250B" w:rsidRPr="0094250B" w:rsidRDefault="0094250B" w:rsidP="0094250B">
            <w:pPr>
              <w:spacing w:after="0"/>
              <w:rPr>
                <w:rFonts w:ascii="Calibri" w:eastAsia="Times New Roman" w:hAnsi="Calibri" w:cs="Times New Roman"/>
                <w:color w:val="000000"/>
                <w:sz w:val="20"/>
                <w:szCs w:val="20"/>
                <w:lang w:eastAsia="en-US"/>
              </w:rPr>
            </w:pPr>
          </w:p>
        </w:tc>
        <w:tc>
          <w:tcPr>
            <w:tcW w:w="988" w:type="dxa"/>
            <w:tcBorders>
              <w:top w:val="nil"/>
              <w:left w:val="nil"/>
              <w:bottom w:val="nil"/>
              <w:right w:val="nil"/>
            </w:tcBorders>
            <w:shd w:val="clear" w:color="auto" w:fill="auto"/>
            <w:noWrap/>
            <w:vAlign w:val="bottom"/>
            <w:hideMark/>
          </w:tcPr>
          <w:p w:rsidR="0094250B" w:rsidRPr="0094250B" w:rsidRDefault="0094250B" w:rsidP="0094250B">
            <w:pPr>
              <w:spacing w:after="0"/>
              <w:rPr>
                <w:rFonts w:ascii="Calibri" w:eastAsia="Times New Roman" w:hAnsi="Calibri" w:cs="Times New Roman"/>
                <w:color w:val="000000"/>
                <w:sz w:val="20"/>
                <w:szCs w:val="20"/>
                <w:lang w:eastAsia="en-US"/>
              </w:rPr>
            </w:pPr>
          </w:p>
        </w:tc>
        <w:tc>
          <w:tcPr>
            <w:tcW w:w="1221" w:type="dxa"/>
            <w:tcBorders>
              <w:top w:val="nil"/>
              <w:left w:val="nil"/>
              <w:bottom w:val="nil"/>
              <w:right w:val="nil"/>
            </w:tcBorders>
            <w:shd w:val="clear" w:color="auto" w:fill="auto"/>
            <w:noWrap/>
            <w:vAlign w:val="bottom"/>
            <w:hideMark/>
          </w:tcPr>
          <w:p w:rsidR="0094250B" w:rsidRPr="0094250B" w:rsidRDefault="0094250B" w:rsidP="0094250B">
            <w:pPr>
              <w:spacing w:after="0"/>
              <w:rPr>
                <w:rFonts w:ascii="Calibri" w:eastAsia="Times New Roman" w:hAnsi="Calibri" w:cs="Times New Roman"/>
                <w:color w:val="000000"/>
                <w:sz w:val="20"/>
                <w:szCs w:val="20"/>
                <w:lang w:eastAsia="en-US"/>
              </w:rPr>
            </w:pPr>
          </w:p>
        </w:tc>
        <w:tc>
          <w:tcPr>
            <w:tcW w:w="1464" w:type="dxa"/>
            <w:tcBorders>
              <w:top w:val="nil"/>
              <w:left w:val="nil"/>
              <w:bottom w:val="nil"/>
              <w:right w:val="nil"/>
            </w:tcBorders>
            <w:shd w:val="clear" w:color="auto" w:fill="auto"/>
            <w:noWrap/>
            <w:vAlign w:val="bottom"/>
            <w:hideMark/>
          </w:tcPr>
          <w:p w:rsidR="0094250B" w:rsidRPr="0094250B" w:rsidRDefault="0094250B" w:rsidP="0094250B">
            <w:pPr>
              <w:spacing w:after="0"/>
              <w:rPr>
                <w:rFonts w:ascii="Calibri" w:eastAsia="Times New Roman" w:hAnsi="Calibri" w:cs="Times New Roman"/>
                <w:color w:val="000000"/>
                <w:sz w:val="20"/>
                <w:szCs w:val="20"/>
                <w:lang w:eastAsia="en-US"/>
              </w:rPr>
            </w:pPr>
          </w:p>
        </w:tc>
        <w:tc>
          <w:tcPr>
            <w:tcW w:w="1477" w:type="dxa"/>
            <w:tcBorders>
              <w:top w:val="nil"/>
              <w:left w:val="nil"/>
              <w:bottom w:val="nil"/>
              <w:right w:val="nil"/>
            </w:tcBorders>
            <w:shd w:val="clear" w:color="auto" w:fill="auto"/>
            <w:noWrap/>
            <w:vAlign w:val="bottom"/>
            <w:hideMark/>
          </w:tcPr>
          <w:p w:rsidR="0094250B" w:rsidRPr="0094250B" w:rsidRDefault="0094250B" w:rsidP="0094250B">
            <w:pPr>
              <w:spacing w:after="0"/>
              <w:rPr>
                <w:rFonts w:ascii="Calibri" w:eastAsia="Times New Roman" w:hAnsi="Calibri" w:cs="Times New Roman"/>
                <w:color w:val="000000"/>
                <w:sz w:val="20"/>
                <w:szCs w:val="20"/>
                <w:lang w:eastAsia="en-US"/>
              </w:rPr>
            </w:pPr>
          </w:p>
        </w:tc>
        <w:tc>
          <w:tcPr>
            <w:tcW w:w="1262" w:type="dxa"/>
            <w:tcBorders>
              <w:top w:val="nil"/>
              <w:left w:val="nil"/>
              <w:bottom w:val="nil"/>
              <w:right w:val="single" w:sz="8" w:space="0" w:color="auto"/>
            </w:tcBorders>
            <w:shd w:val="clear" w:color="auto" w:fill="auto"/>
            <w:noWrap/>
            <w:vAlign w:val="bottom"/>
            <w:hideMark/>
          </w:tcPr>
          <w:p w:rsidR="0094250B" w:rsidRPr="0094250B" w:rsidRDefault="0094250B" w:rsidP="0094250B">
            <w:pPr>
              <w:spacing w:after="0"/>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 </w:t>
            </w:r>
          </w:p>
        </w:tc>
      </w:tr>
      <w:tr w:rsidR="0094250B" w:rsidRPr="0094250B" w:rsidTr="0094250B">
        <w:trPr>
          <w:trHeight w:val="300"/>
        </w:trPr>
        <w:tc>
          <w:tcPr>
            <w:tcW w:w="1057" w:type="dxa"/>
            <w:tcBorders>
              <w:top w:val="nil"/>
              <w:left w:val="single" w:sz="8" w:space="0" w:color="auto"/>
              <w:bottom w:val="nil"/>
              <w:right w:val="nil"/>
            </w:tcBorders>
            <w:shd w:val="clear" w:color="auto" w:fill="auto"/>
            <w:noWrap/>
            <w:vAlign w:val="bottom"/>
            <w:hideMark/>
          </w:tcPr>
          <w:p w:rsidR="0094250B" w:rsidRPr="0094250B" w:rsidRDefault="0094250B" w:rsidP="0094250B">
            <w:pPr>
              <w:spacing w:after="0"/>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 </w:t>
            </w:r>
          </w:p>
        </w:tc>
        <w:tc>
          <w:tcPr>
            <w:tcW w:w="1400" w:type="dxa"/>
            <w:tcBorders>
              <w:top w:val="nil"/>
              <w:left w:val="nil"/>
              <w:bottom w:val="nil"/>
              <w:right w:val="nil"/>
            </w:tcBorders>
            <w:shd w:val="clear" w:color="auto" w:fill="auto"/>
            <w:noWrap/>
            <w:vAlign w:val="bottom"/>
            <w:hideMark/>
          </w:tcPr>
          <w:p w:rsidR="0094250B" w:rsidRPr="0094250B" w:rsidRDefault="0094250B" w:rsidP="0094250B">
            <w:pPr>
              <w:spacing w:after="0"/>
              <w:rPr>
                <w:rFonts w:ascii="Calibri" w:eastAsia="Times New Roman" w:hAnsi="Calibri" w:cs="Times New Roman"/>
                <w:color w:val="000000"/>
                <w:sz w:val="20"/>
                <w:szCs w:val="20"/>
                <w:lang w:eastAsia="en-US"/>
              </w:rPr>
            </w:pPr>
          </w:p>
        </w:tc>
        <w:tc>
          <w:tcPr>
            <w:tcW w:w="988" w:type="dxa"/>
            <w:tcBorders>
              <w:top w:val="nil"/>
              <w:left w:val="nil"/>
              <w:bottom w:val="nil"/>
              <w:right w:val="nil"/>
            </w:tcBorders>
            <w:shd w:val="clear" w:color="auto" w:fill="auto"/>
            <w:noWrap/>
            <w:vAlign w:val="bottom"/>
            <w:hideMark/>
          </w:tcPr>
          <w:p w:rsidR="0094250B" w:rsidRPr="0094250B" w:rsidRDefault="0094250B" w:rsidP="0094250B">
            <w:pPr>
              <w:spacing w:after="0"/>
              <w:rPr>
                <w:rFonts w:ascii="Calibri" w:eastAsia="Times New Roman" w:hAnsi="Calibri" w:cs="Times New Roman"/>
                <w:color w:val="000000"/>
                <w:sz w:val="20"/>
                <w:szCs w:val="20"/>
                <w:lang w:eastAsia="en-US"/>
              </w:rPr>
            </w:pPr>
          </w:p>
        </w:tc>
        <w:tc>
          <w:tcPr>
            <w:tcW w:w="743" w:type="dxa"/>
            <w:tcBorders>
              <w:top w:val="nil"/>
              <w:left w:val="nil"/>
              <w:bottom w:val="nil"/>
              <w:right w:val="nil"/>
            </w:tcBorders>
            <w:shd w:val="clear" w:color="auto" w:fill="auto"/>
            <w:noWrap/>
            <w:vAlign w:val="bottom"/>
            <w:hideMark/>
          </w:tcPr>
          <w:p w:rsidR="0094250B" w:rsidRPr="0094250B" w:rsidRDefault="0094250B" w:rsidP="0094250B">
            <w:pPr>
              <w:spacing w:after="0"/>
              <w:rPr>
                <w:rFonts w:ascii="Calibri" w:eastAsia="Times New Roman" w:hAnsi="Calibri" w:cs="Times New Roman"/>
                <w:color w:val="000000"/>
                <w:sz w:val="20"/>
                <w:szCs w:val="20"/>
                <w:lang w:eastAsia="en-US"/>
              </w:rPr>
            </w:pPr>
          </w:p>
        </w:tc>
        <w:tc>
          <w:tcPr>
            <w:tcW w:w="988" w:type="dxa"/>
            <w:tcBorders>
              <w:top w:val="nil"/>
              <w:left w:val="nil"/>
              <w:bottom w:val="nil"/>
              <w:right w:val="nil"/>
            </w:tcBorders>
            <w:shd w:val="clear" w:color="auto" w:fill="auto"/>
            <w:noWrap/>
            <w:vAlign w:val="bottom"/>
            <w:hideMark/>
          </w:tcPr>
          <w:p w:rsidR="0094250B" w:rsidRPr="0094250B" w:rsidRDefault="0094250B" w:rsidP="0094250B">
            <w:pPr>
              <w:spacing w:after="0"/>
              <w:rPr>
                <w:rFonts w:ascii="Calibri" w:eastAsia="Times New Roman" w:hAnsi="Calibri" w:cs="Times New Roman"/>
                <w:color w:val="000000"/>
                <w:sz w:val="20"/>
                <w:szCs w:val="20"/>
                <w:lang w:eastAsia="en-US"/>
              </w:rPr>
            </w:pPr>
          </w:p>
        </w:tc>
        <w:tc>
          <w:tcPr>
            <w:tcW w:w="1221" w:type="dxa"/>
            <w:tcBorders>
              <w:top w:val="nil"/>
              <w:left w:val="nil"/>
              <w:bottom w:val="nil"/>
              <w:right w:val="nil"/>
            </w:tcBorders>
            <w:shd w:val="clear" w:color="auto" w:fill="auto"/>
            <w:noWrap/>
            <w:vAlign w:val="bottom"/>
            <w:hideMark/>
          </w:tcPr>
          <w:p w:rsidR="0094250B" w:rsidRPr="0094250B" w:rsidRDefault="0094250B" w:rsidP="0094250B">
            <w:pPr>
              <w:spacing w:after="0"/>
              <w:rPr>
                <w:rFonts w:ascii="Calibri" w:eastAsia="Times New Roman" w:hAnsi="Calibri" w:cs="Times New Roman"/>
                <w:color w:val="000000"/>
                <w:sz w:val="20"/>
                <w:szCs w:val="20"/>
                <w:lang w:eastAsia="en-US"/>
              </w:rPr>
            </w:pPr>
          </w:p>
        </w:tc>
        <w:tc>
          <w:tcPr>
            <w:tcW w:w="1464" w:type="dxa"/>
            <w:tcBorders>
              <w:top w:val="nil"/>
              <w:left w:val="nil"/>
              <w:bottom w:val="nil"/>
              <w:right w:val="nil"/>
            </w:tcBorders>
            <w:shd w:val="clear" w:color="auto" w:fill="auto"/>
            <w:noWrap/>
            <w:vAlign w:val="bottom"/>
            <w:hideMark/>
          </w:tcPr>
          <w:p w:rsidR="0094250B" w:rsidRPr="0094250B" w:rsidRDefault="0094250B" w:rsidP="0094250B">
            <w:pPr>
              <w:spacing w:after="0"/>
              <w:rPr>
                <w:rFonts w:ascii="Calibri" w:eastAsia="Times New Roman" w:hAnsi="Calibri" w:cs="Times New Roman"/>
                <w:color w:val="000000"/>
                <w:sz w:val="20"/>
                <w:szCs w:val="20"/>
                <w:lang w:eastAsia="en-US"/>
              </w:rPr>
            </w:pPr>
          </w:p>
        </w:tc>
        <w:tc>
          <w:tcPr>
            <w:tcW w:w="1477" w:type="dxa"/>
            <w:tcBorders>
              <w:top w:val="nil"/>
              <w:left w:val="nil"/>
              <w:bottom w:val="nil"/>
              <w:right w:val="nil"/>
            </w:tcBorders>
            <w:shd w:val="clear" w:color="auto" w:fill="auto"/>
            <w:noWrap/>
            <w:vAlign w:val="bottom"/>
            <w:hideMark/>
          </w:tcPr>
          <w:p w:rsidR="0094250B" w:rsidRPr="0094250B" w:rsidRDefault="0094250B" w:rsidP="0094250B">
            <w:pPr>
              <w:spacing w:after="0"/>
              <w:rPr>
                <w:rFonts w:ascii="Calibri" w:eastAsia="Times New Roman" w:hAnsi="Calibri" w:cs="Times New Roman"/>
                <w:color w:val="000000"/>
                <w:sz w:val="20"/>
                <w:szCs w:val="20"/>
                <w:lang w:eastAsia="en-US"/>
              </w:rPr>
            </w:pPr>
          </w:p>
        </w:tc>
        <w:tc>
          <w:tcPr>
            <w:tcW w:w="1262" w:type="dxa"/>
            <w:tcBorders>
              <w:top w:val="nil"/>
              <w:left w:val="nil"/>
              <w:bottom w:val="nil"/>
              <w:right w:val="single" w:sz="8" w:space="0" w:color="auto"/>
            </w:tcBorders>
            <w:shd w:val="clear" w:color="auto" w:fill="auto"/>
            <w:noWrap/>
            <w:vAlign w:val="bottom"/>
            <w:hideMark/>
          </w:tcPr>
          <w:p w:rsidR="0094250B" w:rsidRPr="0094250B" w:rsidRDefault="0094250B" w:rsidP="0094250B">
            <w:pPr>
              <w:spacing w:after="0"/>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 </w:t>
            </w:r>
          </w:p>
        </w:tc>
      </w:tr>
      <w:tr w:rsidR="0094250B" w:rsidRPr="0094250B" w:rsidTr="0094250B">
        <w:trPr>
          <w:trHeight w:val="300"/>
        </w:trPr>
        <w:tc>
          <w:tcPr>
            <w:tcW w:w="1057" w:type="dxa"/>
            <w:tcBorders>
              <w:top w:val="nil"/>
              <w:left w:val="single" w:sz="8" w:space="0" w:color="auto"/>
              <w:bottom w:val="nil"/>
              <w:right w:val="nil"/>
            </w:tcBorders>
            <w:shd w:val="clear" w:color="auto" w:fill="auto"/>
            <w:noWrap/>
            <w:vAlign w:val="bottom"/>
            <w:hideMark/>
          </w:tcPr>
          <w:p w:rsidR="0094250B" w:rsidRPr="0094250B" w:rsidRDefault="0094250B" w:rsidP="0094250B">
            <w:pPr>
              <w:spacing w:after="0"/>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 </w:t>
            </w:r>
          </w:p>
        </w:tc>
        <w:tc>
          <w:tcPr>
            <w:tcW w:w="2388" w:type="dxa"/>
            <w:gridSpan w:val="2"/>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b/>
                <w:bCs/>
                <w:color w:val="000000"/>
                <w:sz w:val="20"/>
                <w:szCs w:val="20"/>
                <w:lang w:eastAsia="en-US"/>
              </w:rPr>
            </w:pPr>
            <w:r w:rsidRPr="0094250B">
              <w:rPr>
                <w:rFonts w:ascii="Calibri" w:eastAsia="Times New Roman" w:hAnsi="Calibri" w:cs="Times New Roman"/>
                <w:b/>
                <w:bCs/>
                <w:color w:val="000000"/>
                <w:sz w:val="20"/>
                <w:szCs w:val="20"/>
                <w:lang w:eastAsia="en-US"/>
              </w:rPr>
              <w:t>2007 Losses to GSE</w:t>
            </w:r>
          </w:p>
        </w:tc>
        <w:tc>
          <w:tcPr>
            <w:tcW w:w="743" w:type="dxa"/>
            <w:tcBorders>
              <w:top w:val="nil"/>
              <w:left w:val="nil"/>
              <w:bottom w:val="nil"/>
              <w:right w:val="nil"/>
            </w:tcBorders>
            <w:shd w:val="clear" w:color="auto" w:fill="auto"/>
            <w:noWrap/>
            <w:vAlign w:val="bottom"/>
            <w:hideMark/>
          </w:tcPr>
          <w:p w:rsidR="0094250B" w:rsidRPr="0094250B" w:rsidRDefault="0094250B" w:rsidP="0094250B">
            <w:pPr>
              <w:spacing w:after="0"/>
              <w:rPr>
                <w:rFonts w:ascii="Calibri" w:eastAsia="Times New Roman" w:hAnsi="Calibri" w:cs="Times New Roman"/>
                <w:b/>
                <w:bCs/>
                <w:color w:val="000000"/>
                <w:sz w:val="20"/>
                <w:szCs w:val="20"/>
                <w:lang w:eastAsia="en-US"/>
              </w:rPr>
            </w:pPr>
          </w:p>
        </w:tc>
        <w:tc>
          <w:tcPr>
            <w:tcW w:w="988" w:type="dxa"/>
            <w:tcBorders>
              <w:top w:val="nil"/>
              <w:left w:val="nil"/>
              <w:bottom w:val="nil"/>
              <w:right w:val="nil"/>
            </w:tcBorders>
            <w:shd w:val="clear" w:color="auto" w:fill="auto"/>
            <w:noWrap/>
            <w:vAlign w:val="bottom"/>
            <w:hideMark/>
          </w:tcPr>
          <w:p w:rsidR="0094250B" w:rsidRPr="0094250B" w:rsidRDefault="0094250B" w:rsidP="0094250B">
            <w:pPr>
              <w:spacing w:after="0"/>
              <w:rPr>
                <w:rFonts w:ascii="Calibri" w:eastAsia="Times New Roman" w:hAnsi="Calibri" w:cs="Times New Roman"/>
                <w:b/>
                <w:bCs/>
                <w:color w:val="000000"/>
                <w:sz w:val="20"/>
                <w:szCs w:val="20"/>
                <w:lang w:eastAsia="en-US"/>
              </w:rPr>
            </w:pPr>
          </w:p>
        </w:tc>
        <w:tc>
          <w:tcPr>
            <w:tcW w:w="1221"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b/>
                <w:bCs/>
                <w:color w:val="000000"/>
                <w:sz w:val="20"/>
                <w:szCs w:val="20"/>
                <w:lang w:eastAsia="en-US"/>
              </w:rPr>
            </w:pPr>
            <w:r w:rsidRPr="0094250B">
              <w:rPr>
                <w:rFonts w:ascii="Calibri" w:eastAsia="Times New Roman" w:hAnsi="Calibri" w:cs="Times New Roman"/>
                <w:b/>
                <w:bCs/>
                <w:color w:val="000000"/>
                <w:sz w:val="20"/>
                <w:szCs w:val="20"/>
                <w:lang w:eastAsia="en-US"/>
              </w:rPr>
              <w:t>Ratios</w:t>
            </w:r>
          </w:p>
        </w:tc>
        <w:tc>
          <w:tcPr>
            <w:tcW w:w="1464" w:type="dxa"/>
            <w:tcBorders>
              <w:top w:val="nil"/>
              <w:left w:val="nil"/>
              <w:bottom w:val="nil"/>
              <w:right w:val="nil"/>
            </w:tcBorders>
            <w:shd w:val="clear" w:color="000000" w:fill="FFFF00"/>
            <w:noWrap/>
            <w:vAlign w:val="bottom"/>
            <w:hideMark/>
          </w:tcPr>
          <w:p w:rsidR="0094250B" w:rsidRPr="0094250B" w:rsidRDefault="0094250B" w:rsidP="0094250B">
            <w:pPr>
              <w:spacing w:after="0"/>
              <w:jc w:val="center"/>
              <w:rPr>
                <w:rFonts w:ascii="Calibri" w:eastAsia="Times New Roman" w:hAnsi="Calibri" w:cs="Times New Roman"/>
                <w:b/>
                <w:bCs/>
                <w:color w:val="000000"/>
                <w:sz w:val="20"/>
                <w:szCs w:val="20"/>
                <w:lang w:eastAsia="en-US"/>
              </w:rPr>
            </w:pPr>
            <w:proofErr w:type="spellStart"/>
            <w:r w:rsidRPr="0094250B">
              <w:rPr>
                <w:rFonts w:ascii="Calibri" w:eastAsia="Times New Roman" w:hAnsi="Calibri" w:cs="Times New Roman"/>
                <w:b/>
                <w:bCs/>
                <w:color w:val="000000"/>
                <w:sz w:val="20"/>
                <w:szCs w:val="20"/>
                <w:lang w:eastAsia="en-US"/>
              </w:rPr>
              <w:t>Purch</w:t>
            </w:r>
            <w:proofErr w:type="spellEnd"/>
            <w:r w:rsidRPr="0094250B">
              <w:rPr>
                <w:rFonts w:ascii="Calibri" w:eastAsia="Times New Roman" w:hAnsi="Calibri" w:cs="Times New Roman"/>
                <w:b/>
                <w:bCs/>
                <w:color w:val="000000"/>
                <w:sz w:val="20"/>
                <w:szCs w:val="20"/>
                <w:lang w:eastAsia="en-US"/>
              </w:rPr>
              <w:t xml:space="preserve"> Only</w:t>
            </w:r>
          </w:p>
        </w:tc>
        <w:tc>
          <w:tcPr>
            <w:tcW w:w="1477"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b/>
                <w:bCs/>
                <w:color w:val="000000"/>
                <w:sz w:val="20"/>
                <w:szCs w:val="20"/>
                <w:lang w:eastAsia="en-US"/>
              </w:rPr>
            </w:pPr>
            <w:r w:rsidRPr="0094250B">
              <w:rPr>
                <w:rFonts w:ascii="Calibri" w:eastAsia="Times New Roman" w:hAnsi="Calibri" w:cs="Times New Roman"/>
                <w:b/>
                <w:bCs/>
                <w:color w:val="000000"/>
                <w:sz w:val="20"/>
                <w:szCs w:val="20"/>
                <w:lang w:eastAsia="en-US"/>
              </w:rPr>
              <w:t>Proposed</w:t>
            </w:r>
          </w:p>
        </w:tc>
        <w:tc>
          <w:tcPr>
            <w:tcW w:w="1262" w:type="dxa"/>
            <w:tcBorders>
              <w:top w:val="nil"/>
              <w:left w:val="nil"/>
              <w:bottom w:val="nil"/>
              <w:right w:val="single" w:sz="8" w:space="0" w:color="auto"/>
            </w:tcBorders>
            <w:shd w:val="clear" w:color="auto" w:fill="auto"/>
            <w:noWrap/>
            <w:vAlign w:val="bottom"/>
            <w:hideMark/>
          </w:tcPr>
          <w:p w:rsidR="0094250B" w:rsidRPr="0094250B" w:rsidRDefault="0094250B" w:rsidP="0094250B">
            <w:pPr>
              <w:spacing w:after="0"/>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 </w:t>
            </w:r>
          </w:p>
        </w:tc>
      </w:tr>
      <w:tr w:rsidR="0094250B" w:rsidRPr="0094250B" w:rsidTr="0094250B">
        <w:trPr>
          <w:trHeight w:val="300"/>
        </w:trPr>
        <w:tc>
          <w:tcPr>
            <w:tcW w:w="1057" w:type="dxa"/>
            <w:tcBorders>
              <w:top w:val="nil"/>
              <w:left w:val="single" w:sz="8" w:space="0" w:color="auto"/>
              <w:bottom w:val="nil"/>
              <w:right w:val="nil"/>
            </w:tcBorders>
            <w:shd w:val="clear" w:color="auto" w:fill="auto"/>
            <w:noWrap/>
            <w:vAlign w:val="bottom"/>
            <w:hideMark/>
          </w:tcPr>
          <w:p w:rsidR="0094250B" w:rsidRPr="0094250B" w:rsidRDefault="0094250B" w:rsidP="0094250B">
            <w:pPr>
              <w:spacing w:after="0"/>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 </w:t>
            </w:r>
          </w:p>
        </w:tc>
        <w:tc>
          <w:tcPr>
            <w:tcW w:w="2388" w:type="dxa"/>
            <w:gridSpan w:val="2"/>
            <w:tcBorders>
              <w:top w:val="nil"/>
              <w:left w:val="nil"/>
              <w:bottom w:val="nil"/>
              <w:right w:val="nil"/>
            </w:tcBorders>
            <w:shd w:val="clear" w:color="000000" w:fill="FFFF00"/>
            <w:noWrap/>
            <w:vAlign w:val="bottom"/>
            <w:hideMark/>
          </w:tcPr>
          <w:p w:rsidR="0094250B" w:rsidRPr="00637449" w:rsidRDefault="0094250B" w:rsidP="0094250B">
            <w:pPr>
              <w:spacing w:after="0"/>
              <w:jc w:val="center"/>
              <w:rPr>
                <w:rFonts w:ascii="Calibri" w:eastAsia="Times New Roman" w:hAnsi="Calibri" w:cs="Times New Roman"/>
                <w:b/>
                <w:bCs/>
                <w:color w:val="000000"/>
                <w:sz w:val="20"/>
                <w:szCs w:val="20"/>
                <w:u w:val="single"/>
                <w:lang w:eastAsia="en-US"/>
              </w:rPr>
            </w:pPr>
            <w:r w:rsidRPr="00637449">
              <w:rPr>
                <w:rFonts w:ascii="Calibri" w:eastAsia="Times New Roman" w:hAnsi="Calibri" w:cs="Times New Roman"/>
                <w:b/>
                <w:bCs/>
                <w:color w:val="000000"/>
                <w:sz w:val="20"/>
                <w:szCs w:val="20"/>
                <w:u w:val="single"/>
                <w:lang w:eastAsia="en-US"/>
              </w:rPr>
              <w:t>ONLY Owner/Purchase</w:t>
            </w:r>
          </w:p>
        </w:tc>
        <w:tc>
          <w:tcPr>
            <w:tcW w:w="1731" w:type="dxa"/>
            <w:gridSpan w:val="2"/>
            <w:tcBorders>
              <w:top w:val="nil"/>
              <w:left w:val="nil"/>
              <w:bottom w:val="nil"/>
              <w:right w:val="nil"/>
            </w:tcBorders>
            <w:shd w:val="clear" w:color="auto" w:fill="auto"/>
            <w:noWrap/>
            <w:vAlign w:val="bottom"/>
            <w:hideMark/>
          </w:tcPr>
          <w:p w:rsidR="0094250B" w:rsidRPr="00637449" w:rsidRDefault="0094250B" w:rsidP="0094250B">
            <w:pPr>
              <w:spacing w:after="0"/>
              <w:jc w:val="center"/>
              <w:rPr>
                <w:rFonts w:ascii="Calibri" w:eastAsia="Times New Roman" w:hAnsi="Calibri" w:cs="Times New Roman"/>
                <w:b/>
                <w:bCs/>
                <w:color w:val="000000"/>
                <w:sz w:val="20"/>
                <w:szCs w:val="20"/>
                <w:u w:val="single"/>
                <w:lang w:eastAsia="en-US"/>
              </w:rPr>
            </w:pPr>
            <w:r w:rsidRPr="00637449">
              <w:rPr>
                <w:rFonts w:ascii="Calibri" w:eastAsia="Times New Roman" w:hAnsi="Calibri" w:cs="Times New Roman"/>
                <w:b/>
                <w:bCs/>
                <w:color w:val="000000"/>
                <w:sz w:val="20"/>
                <w:szCs w:val="20"/>
                <w:u w:val="single"/>
                <w:lang w:eastAsia="en-US"/>
              </w:rPr>
              <w:t>Estimated Capital</w:t>
            </w:r>
          </w:p>
        </w:tc>
        <w:tc>
          <w:tcPr>
            <w:tcW w:w="1221"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b/>
                <w:bCs/>
                <w:color w:val="000000"/>
                <w:sz w:val="20"/>
                <w:szCs w:val="20"/>
                <w:lang w:eastAsia="en-US"/>
              </w:rPr>
            </w:pPr>
            <w:r w:rsidRPr="0094250B">
              <w:rPr>
                <w:rFonts w:ascii="Calibri" w:eastAsia="Times New Roman" w:hAnsi="Calibri" w:cs="Times New Roman"/>
                <w:b/>
                <w:bCs/>
                <w:color w:val="000000"/>
                <w:sz w:val="20"/>
                <w:szCs w:val="20"/>
                <w:lang w:eastAsia="en-US"/>
              </w:rPr>
              <w:t>10 Books/</w:t>
            </w:r>
          </w:p>
        </w:tc>
        <w:tc>
          <w:tcPr>
            <w:tcW w:w="1464"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b/>
                <w:bCs/>
                <w:color w:val="000000"/>
                <w:sz w:val="20"/>
                <w:szCs w:val="20"/>
                <w:lang w:eastAsia="en-US"/>
              </w:rPr>
            </w:pPr>
            <w:r w:rsidRPr="0094250B">
              <w:rPr>
                <w:rFonts w:ascii="Calibri" w:eastAsia="Times New Roman" w:hAnsi="Calibri" w:cs="Times New Roman"/>
                <w:b/>
                <w:bCs/>
                <w:color w:val="000000"/>
                <w:sz w:val="20"/>
                <w:szCs w:val="20"/>
                <w:lang w:eastAsia="en-US"/>
              </w:rPr>
              <w:t>Multi Book</w:t>
            </w:r>
          </w:p>
        </w:tc>
        <w:tc>
          <w:tcPr>
            <w:tcW w:w="1477"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b/>
                <w:bCs/>
                <w:color w:val="000000"/>
                <w:sz w:val="20"/>
                <w:szCs w:val="20"/>
                <w:lang w:eastAsia="en-US"/>
              </w:rPr>
            </w:pPr>
            <w:proofErr w:type="spellStart"/>
            <w:r w:rsidRPr="0094250B">
              <w:rPr>
                <w:rFonts w:ascii="Calibri" w:eastAsia="Times New Roman" w:hAnsi="Calibri" w:cs="Times New Roman"/>
                <w:b/>
                <w:bCs/>
                <w:color w:val="000000"/>
                <w:sz w:val="20"/>
                <w:szCs w:val="20"/>
                <w:lang w:eastAsia="en-US"/>
              </w:rPr>
              <w:t>Ann.G</w:t>
            </w:r>
            <w:proofErr w:type="spellEnd"/>
            <w:r w:rsidRPr="0094250B">
              <w:rPr>
                <w:rFonts w:ascii="Calibri" w:eastAsia="Times New Roman" w:hAnsi="Calibri" w:cs="Times New Roman"/>
                <w:b/>
                <w:bCs/>
                <w:color w:val="000000"/>
                <w:sz w:val="20"/>
                <w:szCs w:val="20"/>
                <w:lang w:eastAsia="en-US"/>
              </w:rPr>
              <w:t>-Fees</w:t>
            </w:r>
          </w:p>
        </w:tc>
        <w:tc>
          <w:tcPr>
            <w:tcW w:w="1262" w:type="dxa"/>
            <w:tcBorders>
              <w:top w:val="nil"/>
              <w:left w:val="nil"/>
              <w:bottom w:val="nil"/>
              <w:right w:val="single" w:sz="8" w:space="0" w:color="auto"/>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b/>
                <w:bCs/>
                <w:color w:val="000000"/>
                <w:sz w:val="20"/>
                <w:szCs w:val="20"/>
                <w:lang w:eastAsia="en-US"/>
              </w:rPr>
            </w:pPr>
            <w:r w:rsidRPr="0094250B">
              <w:rPr>
                <w:rFonts w:ascii="Calibri" w:eastAsia="Times New Roman" w:hAnsi="Calibri" w:cs="Times New Roman"/>
                <w:b/>
                <w:bCs/>
                <w:color w:val="000000"/>
                <w:sz w:val="20"/>
                <w:szCs w:val="20"/>
                <w:lang w:eastAsia="en-US"/>
              </w:rPr>
              <w:t>Percent</w:t>
            </w:r>
          </w:p>
        </w:tc>
      </w:tr>
      <w:tr w:rsidR="0094250B" w:rsidRPr="0094250B" w:rsidTr="0094250B">
        <w:trPr>
          <w:trHeight w:val="300"/>
        </w:trPr>
        <w:tc>
          <w:tcPr>
            <w:tcW w:w="1057" w:type="dxa"/>
            <w:tcBorders>
              <w:top w:val="nil"/>
              <w:left w:val="single" w:sz="8" w:space="0" w:color="auto"/>
              <w:bottom w:val="nil"/>
              <w:right w:val="nil"/>
            </w:tcBorders>
            <w:shd w:val="clear" w:color="auto" w:fill="auto"/>
            <w:noWrap/>
            <w:vAlign w:val="bottom"/>
            <w:hideMark/>
          </w:tcPr>
          <w:p w:rsidR="0094250B" w:rsidRPr="0094250B" w:rsidRDefault="0094250B" w:rsidP="0094250B">
            <w:pPr>
              <w:spacing w:after="0"/>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 </w:t>
            </w:r>
          </w:p>
        </w:tc>
        <w:tc>
          <w:tcPr>
            <w:tcW w:w="1400"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b/>
                <w:bCs/>
                <w:color w:val="000000"/>
                <w:sz w:val="20"/>
                <w:szCs w:val="20"/>
                <w:u w:val="single"/>
                <w:lang w:eastAsia="en-US"/>
              </w:rPr>
            </w:pPr>
            <w:r w:rsidRPr="0094250B">
              <w:rPr>
                <w:rFonts w:ascii="Calibri" w:eastAsia="Times New Roman" w:hAnsi="Calibri" w:cs="Times New Roman"/>
                <w:b/>
                <w:bCs/>
                <w:color w:val="000000"/>
                <w:sz w:val="20"/>
                <w:szCs w:val="20"/>
                <w:u w:val="single"/>
                <w:lang w:eastAsia="en-US"/>
              </w:rPr>
              <w:t>Single Book</w:t>
            </w:r>
          </w:p>
        </w:tc>
        <w:tc>
          <w:tcPr>
            <w:tcW w:w="988"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b/>
                <w:bCs/>
                <w:color w:val="000000"/>
                <w:sz w:val="20"/>
                <w:szCs w:val="20"/>
                <w:u w:val="single"/>
                <w:lang w:eastAsia="en-US"/>
              </w:rPr>
            </w:pPr>
            <w:r w:rsidRPr="0094250B">
              <w:rPr>
                <w:rFonts w:ascii="Calibri" w:eastAsia="Times New Roman" w:hAnsi="Calibri" w:cs="Times New Roman"/>
                <w:b/>
                <w:bCs/>
                <w:color w:val="000000"/>
                <w:sz w:val="20"/>
                <w:szCs w:val="20"/>
                <w:u w:val="single"/>
                <w:lang w:eastAsia="en-US"/>
              </w:rPr>
              <w:t>10 Book</w:t>
            </w:r>
          </w:p>
        </w:tc>
        <w:tc>
          <w:tcPr>
            <w:tcW w:w="743"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b/>
                <w:bCs/>
                <w:color w:val="000000"/>
                <w:sz w:val="20"/>
                <w:szCs w:val="20"/>
                <w:u w:val="single"/>
                <w:lang w:eastAsia="en-US"/>
              </w:rPr>
            </w:pPr>
            <w:r w:rsidRPr="0094250B">
              <w:rPr>
                <w:rFonts w:ascii="Calibri" w:eastAsia="Times New Roman" w:hAnsi="Calibri" w:cs="Times New Roman"/>
                <w:b/>
                <w:bCs/>
                <w:color w:val="000000"/>
                <w:sz w:val="20"/>
                <w:szCs w:val="20"/>
                <w:u w:val="single"/>
                <w:lang w:eastAsia="en-US"/>
              </w:rPr>
              <w:t>Single</w:t>
            </w:r>
          </w:p>
        </w:tc>
        <w:tc>
          <w:tcPr>
            <w:tcW w:w="988"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b/>
                <w:bCs/>
                <w:color w:val="000000"/>
                <w:sz w:val="20"/>
                <w:szCs w:val="20"/>
                <w:u w:val="single"/>
                <w:lang w:eastAsia="en-US"/>
              </w:rPr>
            </w:pPr>
            <w:r w:rsidRPr="0094250B">
              <w:rPr>
                <w:rFonts w:ascii="Calibri" w:eastAsia="Times New Roman" w:hAnsi="Calibri" w:cs="Times New Roman"/>
                <w:b/>
                <w:bCs/>
                <w:color w:val="000000"/>
                <w:sz w:val="20"/>
                <w:szCs w:val="20"/>
                <w:u w:val="single"/>
                <w:lang w:eastAsia="en-US"/>
              </w:rPr>
              <w:t>10 Book</w:t>
            </w:r>
          </w:p>
        </w:tc>
        <w:tc>
          <w:tcPr>
            <w:tcW w:w="1221"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b/>
                <w:bCs/>
                <w:color w:val="000000"/>
                <w:sz w:val="20"/>
                <w:szCs w:val="20"/>
                <w:u w:val="single"/>
                <w:lang w:eastAsia="en-US"/>
              </w:rPr>
            </w:pPr>
            <w:r w:rsidRPr="0094250B">
              <w:rPr>
                <w:rFonts w:ascii="Calibri" w:eastAsia="Times New Roman" w:hAnsi="Calibri" w:cs="Times New Roman"/>
                <w:b/>
                <w:bCs/>
                <w:color w:val="000000"/>
                <w:sz w:val="20"/>
                <w:szCs w:val="20"/>
                <w:u w:val="single"/>
                <w:lang w:eastAsia="en-US"/>
              </w:rPr>
              <w:t>Single</w:t>
            </w:r>
          </w:p>
        </w:tc>
        <w:tc>
          <w:tcPr>
            <w:tcW w:w="1464"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b/>
                <w:bCs/>
                <w:color w:val="000000"/>
                <w:sz w:val="20"/>
                <w:szCs w:val="20"/>
                <w:u w:val="single"/>
                <w:lang w:eastAsia="en-US"/>
              </w:rPr>
            </w:pPr>
            <w:r w:rsidRPr="0094250B">
              <w:rPr>
                <w:rFonts w:ascii="Calibri" w:eastAsia="Times New Roman" w:hAnsi="Calibri" w:cs="Times New Roman"/>
                <w:b/>
                <w:bCs/>
                <w:color w:val="000000"/>
                <w:sz w:val="20"/>
                <w:szCs w:val="20"/>
                <w:u w:val="single"/>
                <w:lang w:eastAsia="en-US"/>
              </w:rPr>
              <w:t>Annual Fees</w:t>
            </w:r>
          </w:p>
        </w:tc>
        <w:tc>
          <w:tcPr>
            <w:tcW w:w="1477"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b/>
                <w:bCs/>
                <w:color w:val="000000"/>
                <w:sz w:val="20"/>
                <w:szCs w:val="20"/>
                <w:u w:val="single"/>
                <w:lang w:eastAsia="en-US"/>
              </w:rPr>
            </w:pPr>
            <w:proofErr w:type="spellStart"/>
            <w:r w:rsidRPr="0094250B">
              <w:rPr>
                <w:rFonts w:ascii="Calibri" w:eastAsia="Times New Roman" w:hAnsi="Calibri" w:cs="Times New Roman"/>
                <w:b/>
                <w:bCs/>
                <w:color w:val="000000"/>
                <w:sz w:val="20"/>
                <w:szCs w:val="20"/>
                <w:u w:val="single"/>
                <w:lang w:eastAsia="en-US"/>
              </w:rPr>
              <w:t>Purch</w:t>
            </w:r>
            <w:proofErr w:type="spellEnd"/>
            <w:r w:rsidRPr="0094250B">
              <w:rPr>
                <w:rFonts w:ascii="Calibri" w:eastAsia="Times New Roman" w:hAnsi="Calibri" w:cs="Times New Roman"/>
                <w:b/>
                <w:bCs/>
                <w:color w:val="000000"/>
                <w:sz w:val="20"/>
                <w:szCs w:val="20"/>
                <w:u w:val="single"/>
                <w:lang w:eastAsia="en-US"/>
              </w:rPr>
              <w:t xml:space="preserve"> + R&amp;T</w:t>
            </w:r>
          </w:p>
        </w:tc>
        <w:tc>
          <w:tcPr>
            <w:tcW w:w="1262" w:type="dxa"/>
            <w:tcBorders>
              <w:top w:val="nil"/>
              <w:left w:val="nil"/>
              <w:bottom w:val="nil"/>
              <w:right w:val="single" w:sz="8" w:space="0" w:color="auto"/>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b/>
                <w:bCs/>
                <w:color w:val="000000"/>
                <w:sz w:val="20"/>
                <w:szCs w:val="20"/>
                <w:u w:val="single"/>
                <w:lang w:eastAsia="en-US"/>
              </w:rPr>
            </w:pPr>
            <w:r w:rsidRPr="0094250B">
              <w:rPr>
                <w:rFonts w:ascii="Calibri" w:eastAsia="Times New Roman" w:hAnsi="Calibri" w:cs="Times New Roman"/>
                <w:b/>
                <w:bCs/>
                <w:color w:val="000000"/>
                <w:sz w:val="20"/>
                <w:szCs w:val="20"/>
                <w:u w:val="single"/>
                <w:lang w:eastAsia="en-US"/>
              </w:rPr>
              <w:t>Difference</w:t>
            </w:r>
          </w:p>
        </w:tc>
      </w:tr>
      <w:tr w:rsidR="0094250B" w:rsidRPr="0094250B" w:rsidTr="0094250B">
        <w:trPr>
          <w:trHeight w:val="300"/>
        </w:trPr>
        <w:tc>
          <w:tcPr>
            <w:tcW w:w="1057" w:type="dxa"/>
            <w:tcBorders>
              <w:top w:val="nil"/>
              <w:left w:val="single" w:sz="8" w:space="0" w:color="auto"/>
              <w:bottom w:val="nil"/>
              <w:right w:val="nil"/>
            </w:tcBorders>
            <w:shd w:val="clear" w:color="auto" w:fill="auto"/>
            <w:noWrap/>
            <w:vAlign w:val="bottom"/>
            <w:hideMark/>
          </w:tcPr>
          <w:p w:rsidR="0094250B" w:rsidRPr="0094250B" w:rsidRDefault="0094250B" w:rsidP="0094250B">
            <w:pPr>
              <w:spacing w:after="0"/>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 </w:t>
            </w:r>
          </w:p>
        </w:tc>
        <w:tc>
          <w:tcPr>
            <w:tcW w:w="1400" w:type="dxa"/>
            <w:tcBorders>
              <w:top w:val="nil"/>
              <w:left w:val="nil"/>
              <w:bottom w:val="nil"/>
              <w:right w:val="nil"/>
            </w:tcBorders>
            <w:shd w:val="clear" w:color="auto" w:fill="auto"/>
            <w:noWrap/>
            <w:vAlign w:val="bottom"/>
            <w:hideMark/>
          </w:tcPr>
          <w:p w:rsidR="0094250B" w:rsidRPr="0094250B" w:rsidRDefault="0094250B" w:rsidP="0094250B">
            <w:pPr>
              <w:spacing w:after="0"/>
              <w:rPr>
                <w:rFonts w:ascii="Calibri" w:eastAsia="Times New Roman" w:hAnsi="Calibri" w:cs="Times New Roman"/>
                <w:color w:val="000000"/>
                <w:sz w:val="20"/>
                <w:szCs w:val="20"/>
                <w:lang w:eastAsia="en-US"/>
              </w:rPr>
            </w:pPr>
          </w:p>
        </w:tc>
        <w:tc>
          <w:tcPr>
            <w:tcW w:w="988" w:type="dxa"/>
            <w:tcBorders>
              <w:top w:val="nil"/>
              <w:left w:val="nil"/>
              <w:bottom w:val="nil"/>
              <w:right w:val="nil"/>
            </w:tcBorders>
            <w:shd w:val="clear" w:color="auto" w:fill="auto"/>
            <w:noWrap/>
            <w:vAlign w:val="bottom"/>
            <w:hideMark/>
          </w:tcPr>
          <w:p w:rsidR="0094250B" w:rsidRPr="0094250B" w:rsidRDefault="0094250B" w:rsidP="0094250B">
            <w:pPr>
              <w:spacing w:after="0"/>
              <w:rPr>
                <w:rFonts w:ascii="Calibri" w:eastAsia="Times New Roman" w:hAnsi="Calibri" w:cs="Times New Roman"/>
                <w:color w:val="000000"/>
                <w:sz w:val="20"/>
                <w:szCs w:val="20"/>
                <w:lang w:eastAsia="en-US"/>
              </w:rPr>
            </w:pPr>
          </w:p>
        </w:tc>
        <w:tc>
          <w:tcPr>
            <w:tcW w:w="743" w:type="dxa"/>
            <w:tcBorders>
              <w:top w:val="nil"/>
              <w:left w:val="nil"/>
              <w:bottom w:val="nil"/>
              <w:right w:val="nil"/>
            </w:tcBorders>
            <w:shd w:val="clear" w:color="auto" w:fill="auto"/>
            <w:noWrap/>
            <w:vAlign w:val="bottom"/>
            <w:hideMark/>
          </w:tcPr>
          <w:p w:rsidR="0094250B" w:rsidRPr="0094250B" w:rsidRDefault="0094250B" w:rsidP="0094250B">
            <w:pPr>
              <w:spacing w:after="0"/>
              <w:rPr>
                <w:rFonts w:ascii="Calibri" w:eastAsia="Times New Roman" w:hAnsi="Calibri" w:cs="Times New Roman"/>
                <w:color w:val="000000"/>
                <w:sz w:val="20"/>
                <w:szCs w:val="20"/>
                <w:lang w:eastAsia="en-US"/>
              </w:rPr>
            </w:pPr>
          </w:p>
        </w:tc>
        <w:tc>
          <w:tcPr>
            <w:tcW w:w="988" w:type="dxa"/>
            <w:tcBorders>
              <w:top w:val="nil"/>
              <w:left w:val="nil"/>
              <w:bottom w:val="nil"/>
              <w:right w:val="nil"/>
            </w:tcBorders>
            <w:shd w:val="clear" w:color="auto" w:fill="auto"/>
            <w:noWrap/>
            <w:vAlign w:val="bottom"/>
            <w:hideMark/>
          </w:tcPr>
          <w:p w:rsidR="0094250B" w:rsidRPr="0094250B" w:rsidRDefault="0094250B" w:rsidP="0094250B">
            <w:pPr>
              <w:spacing w:after="0"/>
              <w:rPr>
                <w:rFonts w:ascii="Calibri" w:eastAsia="Times New Roman" w:hAnsi="Calibri" w:cs="Times New Roman"/>
                <w:color w:val="000000"/>
                <w:sz w:val="20"/>
                <w:szCs w:val="20"/>
                <w:lang w:eastAsia="en-US"/>
              </w:rPr>
            </w:pPr>
          </w:p>
        </w:tc>
        <w:tc>
          <w:tcPr>
            <w:tcW w:w="1221" w:type="dxa"/>
            <w:tcBorders>
              <w:top w:val="nil"/>
              <w:left w:val="nil"/>
              <w:bottom w:val="nil"/>
              <w:right w:val="nil"/>
            </w:tcBorders>
            <w:shd w:val="clear" w:color="auto" w:fill="auto"/>
            <w:noWrap/>
            <w:vAlign w:val="bottom"/>
            <w:hideMark/>
          </w:tcPr>
          <w:p w:rsidR="0094250B" w:rsidRPr="0094250B" w:rsidRDefault="0094250B" w:rsidP="0094250B">
            <w:pPr>
              <w:spacing w:after="0"/>
              <w:rPr>
                <w:rFonts w:ascii="Calibri" w:eastAsia="Times New Roman" w:hAnsi="Calibri" w:cs="Times New Roman"/>
                <w:color w:val="000000"/>
                <w:sz w:val="20"/>
                <w:szCs w:val="20"/>
                <w:lang w:eastAsia="en-US"/>
              </w:rPr>
            </w:pPr>
          </w:p>
        </w:tc>
        <w:tc>
          <w:tcPr>
            <w:tcW w:w="1464" w:type="dxa"/>
            <w:tcBorders>
              <w:top w:val="nil"/>
              <w:left w:val="nil"/>
              <w:bottom w:val="nil"/>
              <w:right w:val="nil"/>
            </w:tcBorders>
            <w:shd w:val="clear" w:color="auto" w:fill="auto"/>
            <w:noWrap/>
            <w:vAlign w:val="bottom"/>
            <w:hideMark/>
          </w:tcPr>
          <w:p w:rsidR="0094250B" w:rsidRPr="0094250B" w:rsidRDefault="0094250B" w:rsidP="0094250B">
            <w:pPr>
              <w:spacing w:after="0"/>
              <w:rPr>
                <w:rFonts w:ascii="Calibri" w:eastAsia="Times New Roman" w:hAnsi="Calibri" w:cs="Times New Roman"/>
                <w:color w:val="000000"/>
                <w:sz w:val="20"/>
                <w:szCs w:val="20"/>
                <w:lang w:eastAsia="en-US"/>
              </w:rPr>
            </w:pPr>
          </w:p>
        </w:tc>
        <w:tc>
          <w:tcPr>
            <w:tcW w:w="1477" w:type="dxa"/>
            <w:tcBorders>
              <w:top w:val="nil"/>
              <w:left w:val="nil"/>
              <w:bottom w:val="nil"/>
              <w:right w:val="nil"/>
            </w:tcBorders>
            <w:shd w:val="clear" w:color="auto" w:fill="auto"/>
            <w:noWrap/>
            <w:vAlign w:val="bottom"/>
            <w:hideMark/>
          </w:tcPr>
          <w:p w:rsidR="0094250B" w:rsidRPr="0094250B" w:rsidRDefault="0094250B" w:rsidP="0094250B">
            <w:pPr>
              <w:spacing w:after="0"/>
              <w:rPr>
                <w:rFonts w:ascii="Calibri" w:eastAsia="Times New Roman" w:hAnsi="Calibri" w:cs="Times New Roman"/>
                <w:color w:val="000000"/>
                <w:sz w:val="20"/>
                <w:szCs w:val="20"/>
                <w:lang w:eastAsia="en-US"/>
              </w:rPr>
            </w:pPr>
          </w:p>
        </w:tc>
        <w:tc>
          <w:tcPr>
            <w:tcW w:w="1262" w:type="dxa"/>
            <w:tcBorders>
              <w:top w:val="nil"/>
              <w:left w:val="nil"/>
              <w:bottom w:val="nil"/>
              <w:right w:val="single" w:sz="8" w:space="0" w:color="auto"/>
            </w:tcBorders>
            <w:shd w:val="clear" w:color="auto" w:fill="auto"/>
            <w:noWrap/>
            <w:vAlign w:val="bottom"/>
            <w:hideMark/>
          </w:tcPr>
          <w:p w:rsidR="0094250B" w:rsidRPr="0094250B" w:rsidRDefault="0094250B" w:rsidP="0094250B">
            <w:pPr>
              <w:spacing w:after="0"/>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 </w:t>
            </w:r>
          </w:p>
        </w:tc>
      </w:tr>
      <w:tr w:rsidR="0094250B" w:rsidRPr="0094250B" w:rsidTr="0094250B">
        <w:trPr>
          <w:trHeight w:val="300"/>
        </w:trPr>
        <w:tc>
          <w:tcPr>
            <w:tcW w:w="1057" w:type="dxa"/>
            <w:tcBorders>
              <w:top w:val="nil"/>
              <w:left w:val="single" w:sz="8" w:space="0" w:color="auto"/>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0-60</w:t>
            </w:r>
          </w:p>
        </w:tc>
        <w:tc>
          <w:tcPr>
            <w:tcW w:w="1400"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0.87%</w:t>
            </w:r>
          </w:p>
        </w:tc>
        <w:tc>
          <w:tcPr>
            <w:tcW w:w="988"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0.46%</w:t>
            </w:r>
          </w:p>
        </w:tc>
        <w:tc>
          <w:tcPr>
            <w:tcW w:w="743" w:type="dxa"/>
            <w:tcBorders>
              <w:top w:val="nil"/>
              <w:left w:val="nil"/>
              <w:bottom w:val="nil"/>
              <w:right w:val="nil"/>
            </w:tcBorders>
            <w:shd w:val="clear" w:color="auto" w:fill="auto"/>
            <w:noWrap/>
            <w:vAlign w:val="bottom"/>
            <w:hideMark/>
          </w:tcPr>
          <w:p w:rsidR="0094250B" w:rsidRPr="0094250B" w:rsidRDefault="0094250B" w:rsidP="0094250B">
            <w:pPr>
              <w:spacing w:after="0"/>
              <w:jc w:val="right"/>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0.67%</w:t>
            </w:r>
          </w:p>
        </w:tc>
        <w:tc>
          <w:tcPr>
            <w:tcW w:w="988" w:type="dxa"/>
            <w:tcBorders>
              <w:top w:val="nil"/>
              <w:left w:val="nil"/>
              <w:bottom w:val="nil"/>
              <w:right w:val="nil"/>
            </w:tcBorders>
            <w:shd w:val="clear" w:color="auto" w:fill="auto"/>
            <w:noWrap/>
            <w:vAlign w:val="bottom"/>
            <w:hideMark/>
          </w:tcPr>
          <w:p w:rsidR="0094250B" w:rsidRPr="0094250B" w:rsidRDefault="0094250B" w:rsidP="0094250B">
            <w:pPr>
              <w:spacing w:after="0"/>
              <w:jc w:val="right"/>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0.26%</w:t>
            </w:r>
          </w:p>
        </w:tc>
        <w:tc>
          <w:tcPr>
            <w:tcW w:w="1221"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39.3%</w:t>
            </w:r>
          </w:p>
        </w:tc>
        <w:tc>
          <w:tcPr>
            <w:tcW w:w="1464" w:type="dxa"/>
            <w:tcBorders>
              <w:top w:val="nil"/>
              <w:left w:val="nil"/>
              <w:bottom w:val="nil"/>
              <w:right w:val="nil"/>
            </w:tcBorders>
            <w:shd w:val="clear" w:color="000000" w:fill="99FFCC"/>
            <w:noWrap/>
            <w:vAlign w:val="bottom"/>
            <w:hideMark/>
          </w:tcPr>
          <w:p w:rsidR="0094250B" w:rsidRPr="0094250B" w:rsidRDefault="0094250B" w:rsidP="0094250B">
            <w:pPr>
              <w:spacing w:after="0"/>
              <w:jc w:val="center"/>
              <w:rPr>
                <w:rFonts w:ascii="Calibri" w:eastAsia="Times New Roman" w:hAnsi="Calibri" w:cs="Times New Roman"/>
                <w:b/>
                <w:bCs/>
                <w:color w:val="000000"/>
                <w:sz w:val="20"/>
                <w:szCs w:val="20"/>
                <w:lang w:eastAsia="en-US"/>
              </w:rPr>
            </w:pPr>
            <w:r w:rsidRPr="0094250B">
              <w:rPr>
                <w:rFonts w:ascii="Calibri" w:eastAsia="Times New Roman" w:hAnsi="Calibri" w:cs="Times New Roman"/>
                <w:b/>
                <w:bCs/>
                <w:color w:val="000000"/>
                <w:sz w:val="20"/>
                <w:szCs w:val="20"/>
                <w:lang w:eastAsia="en-US"/>
              </w:rPr>
              <w:t>0.125%</w:t>
            </w:r>
          </w:p>
        </w:tc>
        <w:tc>
          <w:tcPr>
            <w:tcW w:w="1477" w:type="dxa"/>
            <w:tcBorders>
              <w:top w:val="nil"/>
              <w:left w:val="nil"/>
              <w:bottom w:val="nil"/>
              <w:right w:val="nil"/>
            </w:tcBorders>
            <w:shd w:val="clear" w:color="000000" w:fill="FDE9D9"/>
            <w:noWrap/>
            <w:vAlign w:val="bottom"/>
            <w:hideMark/>
          </w:tcPr>
          <w:p w:rsidR="0094250B" w:rsidRPr="0094250B" w:rsidRDefault="0094250B" w:rsidP="0094250B">
            <w:pPr>
              <w:spacing w:after="0"/>
              <w:jc w:val="center"/>
              <w:rPr>
                <w:rFonts w:ascii="Calibri" w:eastAsia="Times New Roman" w:hAnsi="Calibri" w:cs="Times New Roman"/>
                <w:b/>
                <w:bCs/>
                <w:color w:val="000000"/>
                <w:sz w:val="20"/>
                <w:szCs w:val="20"/>
                <w:lang w:eastAsia="en-US"/>
              </w:rPr>
            </w:pPr>
            <w:r w:rsidRPr="0094250B">
              <w:rPr>
                <w:rFonts w:ascii="Calibri" w:eastAsia="Times New Roman" w:hAnsi="Calibri" w:cs="Times New Roman"/>
                <w:b/>
                <w:bCs/>
                <w:color w:val="000000"/>
                <w:sz w:val="20"/>
                <w:szCs w:val="20"/>
                <w:lang w:eastAsia="en-US"/>
              </w:rPr>
              <w:t>0.195%</w:t>
            </w:r>
          </w:p>
        </w:tc>
        <w:tc>
          <w:tcPr>
            <w:tcW w:w="1262" w:type="dxa"/>
            <w:tcBorders>
              <w:top w:val="nil"/>
              <w:left w:val="nil"/>
              <w:bottom w:val="nil"/>
              <w:right w:val="single" w:sz="8" w:space="0" w:color="auto"/>
            </w:tcBorders>
            <w:shd w:val="clear" w:color="000000" w:fill="FFFF00"/>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-36%</w:t>
            </w:r>
          </w:p>
        </w:tc>
      </w:tr>
      <w:tr w:rsidR="0094250B" w:rsidRPr="0094250B" w:rsidTr="0094250B">
        <w:trPr>
          <w:trHeight w:val="300"/>
        </w:trPr>
        <w:tc>
          <w:tcPr>
            <w:tcW w:w="1057" w:type="dxa"/>
            <w:tcBorders>
              <w:top w:val="nil"/>
              <w:left w:val="single" w:sz="8" w:space="0" w:color="auto"/>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60.01-70</w:t>
            </w:r>
          </w:p>
        </w:tc>
        <w:tc>
          <w:tcPr>
            <w:tcW w:w="1400"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1.40%</w:t>
            </w:r>
          </w:p>
        </w:tc>
        <w:tc>
          <w:tcPr>
            <w:tcW w:w="988"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0.74%</w:t>
            </w:r>
          </w:p>
        </w:tc>
        <w:tc>
          <w:tcPr>
            <w:tcW w:w="743" w:type="dxa"/>
            <w:tcBorders>
              <w:top w:val="nil"/>
              <w:left w:val="nil"/>
              <w:bottom w:val="nil"/>
              <w:right w:val="nil"/>
            </w:tcBorders>
            <w:shd w:val="clear" w:color="auto" w:fill="auto"/>
            <w:noWrap/>
            <w:vAlign w:val="bottom"/>
            <w:hideMark/>
          </w:tcPr>
          <w:p w:rsidR="0094250B" w:rsidRPr="0094250B" w:rsidRDefault="0094250B" w:rsidP="0094250B">
            <w:pPr>
              <w:spacing w:after="0"/>
              <w:jc w:val="right"/>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1.07%</w:t>
            </w:r>
          </w:p>
        </w:tc>
        <w:tc>
          <w:tcPr>
            <w:tcW w:w="988" w:type="dxa"/>
            <w:tcBorders>
              <w:top w:val="nil"/>
              <w:left w:val="nil"/>
              <w:bottom w:val="nil"/>
              <w:right w:val="nil"/>
            </w:tcBorders>
            <w:shd w:val="clear" w:color="auto" w:fill="auto"/>
            <w:noWrap/>
            <w:vAlign w:val="bottom"/>
            <w:hideMark/>
          </w:tcPr>
          <w:p w:rsidR="0094250B" w:rsidRPr="0094250B" w:rsidRDefault="0094250B" w:rsidP="0094250B">
            <w:pPr>
              <w:spacing w:after="0"/>
              <w:jc w:val="right"/>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0.42%</w:t>
            </w:r>
          </w:p>
        </w:tc>
        <w:tc>
          <w:tcPr>
            <w:tcW w:w="1221"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39.3%</w:t>
            </w:r>
          </w:p>
        </w:tc>
        <w:tc>
          <w:tcPr>
            <w:tcW w:w="1464" w:type="dxa"/>
            <w:tcBorders>
              <w:top w:val="nil"/>
              <w:left w:val="nil"/>
              <w:bottom w:val="nil"/>
              <w:right w:val="nil"/>
            </w:tcBorders>
            <w:shd w:val="clear" w:color="000000" w:fill="99FFCC"/>
            <w:noWrap/>
            <w:vAlign w:val="bottom"/>
            <w:hideMark/>
          </w:tcPr>
          <w:p w:rsidR="0094250B" w:rsidRPr="0094250B" w:rsidRDefault="0094250B" w:rsidP="0094250B">
            <w:pPr>
              <w:spacing w:after="0"/>
              <w:jc w:val="center"/>
              <w:rPr>
                <w:rFonts w:ascii="Calibri" w:eastAsia="Times New Roman" w:hAnsi="Calibri" w:cs="Times New Roman"/>
                <w:b/>
                <w:bCs/>
                <w:color w:val="000000"/>
                <w:sz w:val="20"/>
                <w:szCs w:val="20"/>
                <w:lang w:eastAsia="en-US"/>
              </w:rPr>
            </w:pPr>
            <w:r w:rsidRPr="0094250B">
              <w:rPr>
                <w:rFonts w:ascii="Calibri" w:eastAsia="Times New Roman" w:hAnsi="Calibri" w:cs="Times New Roman"/>
                <w:b/>
                <w:bCs/>
                <w:color w:val="000000"/>
                <w:sz w:val="20"/>
                <w:szCs w:val="20"/>
                <w:lang w:eastAsia="en-US"/>
              </w:rPr>
              <w:t>0.158%</w:t>
            </w:r>
          </w:p>
        </w:tc>
        <w:tc>
          <w:tcPr>
            <w:tcW w:w="1477" w:type="dxa"/>
            <w:tcBorders>
              <w:top w:val="nil"/>
              <w:left w:val="nil"/>
              <w:bottom w:val="nil"/>
              <w:right w:val="nil"/>
            </w:tcBorders>
            <w:shd w:val="clear" w:color="000000" w:fill="FDE9D9"/>
            <w:noWrap/>
            <w:vAlign w:val="bottom"/>
            <w:hideMark/>
          </w:tcPr>
          <w:p w:rsidR="0094250B" w:rsidRPr="0094250B" w:rsidRDefault="0094250B" w:rsidP="0094250B">
            <w:pPr>
              <w:spacing w:after="0"/>
              <w:jc w:val="center"/>
              <w:rPr>
                <w:rFonts w:ascii="Calibri" w:eastAsia="Times New Roman" w:hAnsi="Calibri" w:cs="Times New Roman"/>
                <w:b/>
                <w:bCs/>
                <w:color w:val="000000"/>
                <w:sz w:val="20"/>
                <w:szCs w:val="20"/>
                <w:lang w:eastAsia="en-US"/>
              </w:rPr>
            </w:pPr>
            <w:r w:rsidRPr="0094250B">
              <w:rPr>
                <w:rFonts w:ascii="Calibri" w:eastAsia="Times New Roman" w:hAnsi="Calibri" w:cs="Times New Roman"/>
                <w:b/>
                <w:bCs/>
                <w:color w:val="000000"/>
                <w:sz w:val="20"/>
                <w:szCs w:val="20"/>
                <w:lang w:eastAsia="en-US"/>
              </w:rPr>
              <w:t>0.289%</w:t>
            </w:r>
          </w:p>
        </w:tc>
        <w:tc>
          <w:tcPr>
            <w:tcW w:w="1262" w:type="dxa"/>
            <w:tcBorders>
              <w:top w:val="nil"/>
              <w:left w:val="nil"/>
              <w:bottom w:val="nil"/>
              <w:right w:val="single" w:sz="8" w:space="0" w:color="auto"/>
            </w:tcBorders>
            <w:shd w:val="clear" w:color="000000" w:fill="FFFF00"/>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-45%</w:t>
            </w:r>
          </w:p>
        </w:tc>
      </w:tr>
      <w:tr w:rsidR="0094250B" w:rsidRPr="0094250B" w:rsidTr="0094250B">
        <w:trPr>
          <w:trHeight w:val="300"/>
        </w:trPr>
        <w:tc>
          <w:tcPr>
            <w:tcW w:w="1057" w:type="dxa"/>
            <w:tcBorders>
              <w:top w:val="nil"/>
              <w:left w:val="single" w:sz="8" w:space="0" w:color="auto"/>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70.01-75</w:t>
            </w:r>
          </w:p>
        </w:tc>
        <w:tc>
          <w:tcPr>
            <w:tcW w:w="1400"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2.00%</w:t>
            </w:r>
          </w:p>
        </w:tc>
        <w:tc>
          <w:tcPr>
            <w:tcW w:w="988"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1.07%</w:t>
            </w:r>
          </w:p>
        </w:tc>
        <w:tc>
          <w:tcPr>
            <w:tcW w:w="743" w:type="dxa"/>
            <w:tcBorders>
              <w:top w:val="nil"/>
              <w:left w:val="nil"/>
              <w:bottom w:val="nil"/>
              <w:right w:val="nil"/>
            </w:tcBorders>
            <w:shd w:val="clear" w:color="auto" w:fill="auto"/>
            <w:noWrap/>
            <w:vAlign w:val="bottom"/>
            <w:hideMark/>
          </w:tcPr>
          <w:p w:rsidR="0094250B" w:rsidRPr="0094250B" w:rsidRDefault="0094250B" w:rsidP="0094250B">
            <w:pPr>
              <w:spacing w:after="0"/>
              <w:jc w:val="right"/>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1.33%</w:t>
            </w:r>
          </w:p>
        </w:tc>
        <w:tc>
          <w:tcPr>
            <w:tcW w:w="988" w:type="dxa"/>
            <w:tcBorders>
              <w:top w:val="nil"/>
              <w:left w:val="nil"/>
              <w:bottom w:val="nil"/>
              <w:right w:val="nil"/>
            </w:tcBorders>
            <w:shd w:val="clear" w:color="auto" w:fill="auto"/>
            <w:noWrap/>
            <w:vAlign w:val="bottom"/>
            <w:hideMark/>
          </w:tcPr>
          <w:p w:rsidR="0094250B" w:rsidRPr="0094250B" w:rsidRDefault="0094250B" w:rsidP="0094250B">
            <w:pPr>
              <w:spacing w:after="0"/>
              <w:jc w:val="right"/>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0.40%</w:t>
            </w:r>
          </w:p>
        </w:tc>
        <w:tc>
          <w:tcPr>
            <w:tcW w:w="1221"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29.9%</w:t>
            </w:r>
          </w:p>
        </w:tc>
        <w:tc>
          <w:tcPr>
            <w:tcW w:w="1464" w:type="dxa"/>
            <w:tcBorders>
              <w:top w:val="nil"/>
              <w:left w:val="nil"/>
              <w:bottom w:val="nil"/>
              <w:right w:val="nil"/>
            </w:tcBorders>
            <w:shd w:val="clear" w:color="000000" w:fill="99FFCC"/>
            <w:noWrap/>
            <w:vAlign w:val="bottom"/>
            <w:hideMark/>
          </w:tcPr>
          <w:p w:rsidR="0094250B" w:rsidRPr="0094250B" w:rsidRDefault="0094250B" w:rsidP="0094250B">
            <w:pPr>
              <w:spacing w:after="0"/>
              <w:jc w:val="center"/>
              <w:rPr>
                <w:rFonts w:ascii="Calibri" w:eastAsia="Times New Roman" w:hAnsi="Calibri" w:cs="Times New Roman"/>
                <w:b/>
                <w:bCs/>
                <w:color w:val="000000"/>
                <w:sz w:val="20"/>
                <w:szCs w:val="20"/>
                <w:lang w:eastAsia="en-US"/>
              </w:rPr>
            </w:pPr>
            <w:r w:rsidRPr="0094250B">
              <w:rPr>
                <w:rFonts w:ascii="Calibri" w:eastAsia="Times New Roman" w:hAnsi="Calibri" w:cs="Times New Roman"/>
                <w:b/>
                <w:bCs/>
                <w:color w:val="000000"/>
                <w:sz w:val="20"/>
                <w:szCs w:val="20"/>
                <w:lang w:eastAsia="en-US"/>
              </w:rPr>
              <w:t>0.209%</w:t>
            </w:r>
          </w:p>
        </w:tc>
        <w:tc>
          <w:tcPr>
            <w:tcW w:w="1477" w:type="dxa"/>
            <w:tcBorders>
              <w:top w:val="nil"/>
              <w:left w:val="nil"/>
              <w:bottom w:val="nil"/>
              <w:right w:val="nil"/>
            </w:tcBorders>
            <w:shd w:val="clear" w:color="000000" w:fill="FDE9D9"/>
            <w:noWrap/>
            <w:vAlign w:val="bottom"/>
            <w:hideMark/>
          </w:tcPr>
          <w:p w:rsidR="0094250B" w:rsidRPr="0094250B" w:rsidRDefault="0094250B" w:rsidP="0094250B">
            <w:pPr>
              <w:spacing w:after="0"/>
              <w:jc w:val="center"/>
              <w:rPr>
                <w:rFonts w:ascii="Calibri" w:eastAsia="Times New Roman" w:hAnsi="Calibri" w:cs="Times New Roman"/>
                <w:b/>
                <w:bCs/>
                <w:color w:val="000000"/>
                <w:sz w:val="20"/>
                <w:szCs w:val="20"/>
                <w:lang w:eastAsia="en-US"/>
              </w:rPr>
            </w:pPr>
            <w:r w:rsidRPr="0094250B">
              <w:rPr>
                <w:rFonts w:ascii="Calibri" w:eastAsia="Times New Roman" w:hAnsi="Calibri" w:cs="Times New Roman"/>
                <w:b/>
                <w:bCs/>
                <w:color w:val="000000"/>
                <w:sz w:val="20"/>
                <w:szCs w:val="20"/>
                <w:lang w:eastAsia="en-US"/>
              </w:rPr>
              <w:t>0.400%</w:t>
            </w:r>
          </w:p>
        </w:tc>
        <w:tc>
          <w:tcPr>
            <w:tcW w:w="1262" w:type="dxa"/>
            <w:tcBorders>
              <w:top w:val="nil"/>
              <w:left w:val="nil"/>
              <w:bottom w:val="nil"/>
              <w:right w:val="single" w:sz="8" w:space="0" w:color="auto"/>
            </w:tcBorders>
            <w:shd w:val="clear" w:color="000000" w:fill="FFFF00"/>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-48%</w:t>
            </w:r>
          </w:p>
        </w:tc>
      </w:tr>
      <w:tr w:rsidR="0094250B" w:rsidRPr="0094250B" w:rsidTr="0094250B">
        <w:trPr>
          <w:trHeight w:val="300"/>
        </w:trPr>
        <w:tc>
          <w:tcPr>
            <w:tcW w:w="1057" w:type="dxa"/>
            <w:tcBorders>
              <w:top w:val="nil"/>
              <w:left w:val="single" w:sz="8" w:space="0" w:color="auto"/>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75.01-80</w:t>
            </w:r>
          </w:p>
        </w:tc>
        <w:tc>
          <w:tcPr>
            <w:tcW w:w="1400"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3.43%</w:t>
            </w:r>
          </w:p>
        </w:tc>
        <w:tc>
          <w:tcPr>
            <w:tcW w:w="988"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1.83%</w:t>
            </w:r>
          </w:p>
        </w:tc>
        <w:tc>
          <w:tcPr>
            <w:tcW w:w="743" w:type="dxa"/>
            <w:tcBorders>
              <w:top w:val="nil"/>
              <w:left w:val="nil"/>
              <w:bottom w:val="nil"/>
              <w:right w:val="nil"/>
            </w:tcBorders>
            <w:shd w:val="clear" w:color="auto" w:fill="auto"/>
            <w:noWrap/>
            <w:vAlign w:val="bottom"/>
            <w:hideMark/>
          </w:tcPr>
          <w:p w:rsidR="0094250B" w:rsidRPr="0094250B" w:rsidRDefault="0094250B" w:rsidP="0094250B">
            <w:pPr>
              <w:spacing w:after="0"/>
              <w:jc w:val="right"/>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2.63%</w:t>
            </w:r>
          </w:p>
        </w:tc>
        <w:tc>
          <w:tcPr>
            <w:tcW w:w="988" w:type="dxa"/>
            <w:tcBorders>
              <w:top w:val="nil"/>
              <w:left w:val="nil"/>
              <w:bottom w:val="nil"/>
              <w:right w:val="nil"/>
            </w:tcBorders>
            <w:shd w:val="clear" w:color="auto" w:fill="auto"/>
            <w:noWrap/>
            <w:vAlign w:val="bottom"/>
            <w:hideMark/>
          </w:tcPr>
          <w:p w:rsidR="0094250B" w:rsidRPr="0094250B" w:rsidRDefault="0094250B" w:rsidP="0094250B">
            <w:pPr>
              <w:spacing w:after="0"/>
              <w:jc w:val="right"/>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1.03%</w:t>
            </w:r>
          </w:p>
        </w:tc>
        <w:tc>
          <w:tcPr>
            <w:tcW w:w="1221"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39.1%</w:t>
            </w:r>
          </w:p>
        </w:tc>
        <w:tc>
          <w:tcPr>
            <w:tcW w:w="1464" w:type="dxa"/>
            <w:tcBorders>
              <w:top w:val="nil"/>
              <w:left w:val="nil"/>
              <w:bottom w:val="nil"/>
              <w:right w:val="nil"/>
            </w:tcBorders>
            <w:shd w:val="clear" w:color="000000" w:fill="99FFCC"/>
            <w:noWrap/>
            <w:vAlign w:val="bottom"/>
            <w:hideMark/>
          </w:tcPr>
          <w:p w:rsidR="0094250B" w:rsidRPr="0094250B" w:rsidRDefault="0094250B" w:rsidP="0094250B">
            <w:pPr>
              <w:spacing w:after="0"/>
              <w:jc w:val="center"/>
              <w:rPr>
                <w:rFonts w:ascii="Calibri" w:eastAsia="Times New Roman" w:hAnsi="Calibri" w:cs="Times New Roman"/>
                <w:b/>
                <w:bCs/>
                <w:color w:val="000000"/>
                <w:sz w:val="20"/>
                <w:szCs w:val="20"/>
                <w:lang w:eastAsia="en-US"/>
              </w:rPr>
            </w:pPr>
            <w:r w:rsidRPr="0094250B">
              <w:rPr>
                <w:rFonts w:ascii="Calibri" w:eastAsia="Times New Roman" w:hAnsi="Calibri" w:cs="Times New Roman"/>
                <w:b/>
                <w:bCs/>
                <w:color w:val="000000"/>
                <w:sz w:val="20"/>
                <w:szCs w:val="20"/>
                <w:lang w:eastAsia="en-US"/>
              </w:rPr>
              <w:t>0.284%</w:t>
            </w:r>
          </w:p>
        </w:tc>
        <w:tc>
          <w:tcPr>
            <w:tcW w:w="1477" w:type="dxa"/>
            <w:tcBorders>
              <w:top w:val="nil"/>
              <w:left w:val="nil"/>
              <w:bottom w:val="nil"/>
              <w:right w:val="nil"/>
            </w:tcBorders>
            <w:shd w:val="clear" w:color="000000" w:fill="FDE9D9"/>
            <w:noWrap/>
            <w:vAlign w:val="bottom"/>
            <w:hideMark/>
          </w:tcPr>
          <w:p w:rsidR="0094250B" w:rsidRPr="0094250B" w:rsidRDefault="0094250B" w:rsidP="0094250B">
            <w:pPr>
              <w:spacing w:after="0"/>
              <w:jc w:val="center"/>
              <w:rPr>
                <w:rFonts w:ascii="Calibri" w:eastAsia="Times New Roman" w:hAnsi="Calibri" w:cs="Times New Roman"/>
                <w:b/>
                <w:bCs/>
                <w:color w:val="000000"/>
                <w:sz w:val="20"/>
                <w:szCs w:val="20"/>
                <w:lang w:eastAsia="en-US"/>
              </w:rPr>
            </w:pPr>
            <w:r w:rsidRPr="0094250B">
              <w:rPr>
                <w:rFonts w:ascii="Calibri" w:eastAsia="Times New Roman" w:hAnsi="Calibri" w:cs="Times New Roman"/>
                <w:b/>
                <w:bCs/>
                <w:color w:val="000000"/>
                <w:sz w:val="20"/>
                <w:szCs w:val="20"/>
                <w:lang w:eastAsia="en-US"/>
              </w:rPr>
              <w:t>0.584%</w:t>
            </w:r>
          </w:p>
        </w:tc>
        <w:tc>
          <w:tcPr>
            <w:tcW w:w="1262" w:type="dxa"/>
            <w:tcBorders>
              <w:top w:val="nil"/>
              <w:left w:val="nil"/>
              <w:bottom w:val="nil"/>
              <w:right w:val="single" w:sz="8" w:space="0" w:color="auto"/>
            </w:tcBorders>
            <w:shd w:val="clear" w:color="000000" w:fill="FFFF00"/>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-51%</w:t>
            </w:r>
          </w:p>
        </w:tc>
      </w:tr>
      <w:tr w:rsidR="0094250B" w:rsidRPr="0094250B" w:rsidTr="0094250B">
        <w:trPr>
          <w:trHeight w:val="300"/>
        </w:trPr>
        <w:tc>
          <w:tcPr>
            <w:tcW w:w="1057" w:type="dxa"/>
            <w:tcBorders>
              <w:top w:val="nil"/>
              <w:left w:val="single" w:sz="8" w:space="0" w:color="auto"/>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80.01-85</w:t>
            </w:r>
          </w:p>
        </w:tc>
        <w:tc>
          <w:tcPr>
            <w:tcW w:w="1400"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3.86%</w:t>
            </w:r>
          </w:p>
        </w:tc>
        <w:tc>
          <w:tcPr>
            <w:tcW w:w="988"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2.06%</w:t>
            </w:r>
          </w:p>
        </w:tc>
        <w:tc>
          <w:tcPr>
            <w:tcW w:w="743" w:type="dxa"/>
            <w:tcBorders>
              <w:top w:val="nil"/>
              <w:left w:val="nil"/>
              <w:bottom w:val="nil"/>
              <w:right w:val="nil"/>
            </w:tcBorders>
            <w:shd w:val="clear" w:color="auto" w:fill="auto"/>
            <w:noWrap/>
            <w:vAlign w:val="bottom"/>
            <w:hideMark/>
          </w:tcPr>
          <w:p w:rsidR="0094250B" w:rsidRPr="0094250B" w:rsidRDefault="0094250B" w:rsidP="0094250B">
            <w:pPr>
              <w:spacing w:after="0"/>
              <w:jc w:val="right"/>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3.26%</w:t>
            </w:r>
          </w:p>
        </w:tc>
        <w:tc>
          <w:tcPr>
            <w:tcW w:w="988" w:type="dxa"/>
            <w:tcBorders>
              <w:top w:val="nil"/>
              <w:left w:val="nil"/>
              <w:bottom w:val="nil"/>
              <w:right w:val="nil"/>
            </w:tcBorders>
            <w:shd w:val="clear" w:color="auto" w:fill="auto"/>
            <w:noWrap/>
            <w:vAlign w:val="bottom"/>
            <w:hideMark/>
          </w:tcPr>
          <w:p w:rsidR="0094250B" w:rsidRPr="0094250B" w:rsidRDefault="0094250B" w:rsidP="0094250B">
            <w:pPr>
              <w:spacing w:after="0"/>
              <w:jc w:val="right"/>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1.46%</w:t>
            </w:r>
          </w:p>
        </w:tc>
        <w:tc>
          <w:tcPr>
            <w:tcW w:w="1221"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44.7%</w:t>
            </w:r>
          </w:p>
        </w:tc>
        <w:tc>
          <w:tcPr>
            <w:tcW w:w="1464" w:type="dxa"/>
            <w:tcBorders>
              <w:top w:val="nil"/>
              <w:left w:val="nil"/>
              <w:bottom w:val="nil"/>
              <w:right w:val="nil"/>
            </w:tcBorders>
            <w:shd w:val="clear" w:color="000000" w:fill="99FFCC"/>
            <w:noWrap/>
            <w:vAlign w:val="bottom"/>
            <w:hideMark/>
          </w:tcPr>
          <w:p w:rsidR="0094250B" w:rsidRPr="0094250B" w:rsidRDefault="0094250B" w:rsidP="0094250B">
            <w:pPr>
              <w:spacing w:after="0"/>
              <w:jc w:val="center"/>
              <w:rPr>
                <w:rFonts w:ascii="Calibri" w:eastAsia="Times New Roman" w:hAnsi="Calibri" w:cs="Times New Roman"/>
                <w:b/>
                <w:bCs/>
                <w:color w:val="000000"/>
                <w:sz w:val="20"/>
                <w:szCs w:val="20"/>
                <w:lang w:eastAsia="en-US"/>
              </w:rPr>
            </w:pPr>
            <w:r w:rsidRPr="0094250B">
              <w:rPr>
                <w:rFonts w:ascii="Calibri" w:eastAsia="Times New Roman" w:hAnsi="Calibri" w:cs="Times New Roman"/>
                <w:b/>
                <w:bCs/>
                <w:color w:val="000000"/>
                <w:sz w:val="20"/>
                <w:szCs w:val="20"/>
                <w:lang w:eastAsia="en-US"/>
              </w:rPr>
              <w:t>0.292%</w:t>
            </w:r>
          </w:p>
        </w:tc>
        <w:tc>
          <w:tcPr>
            <w:tcW w:w="1477" w:type="dxa"/>
            <w:tcBorders>
              <w:top w:val="nil"/>
              <w:left w:val="nil"/>
              <w:bottom w:val="nil"/>
              <w:right w:val="nil"/>
            </w:tcBorders>
            <w:shd w:val="clear" w:color="000000" w:fill="FDE9D9"/>
            <w:noWrap/>
            <w:vAlign w:val="bottom"/>
            <w:hideMark/>
          </w:tcPr>
          <w:p w:rsidR="0094250B" w:rsidRPr="0094250B" w:rsidRDefault="0094250B" w:rsidP="0094250B">
            <w:pPr>
              <w:spacing w:after="0"/>
              <w:jc w:val="center"/>
              <w:rPr>
                <w:rFonts w:ascii="Calibri" w:eastAsia="Times New Roman" w:hAnsi="Calibri" w:cs="Times New Roman"/>
                <w:b/>
                <w:bCs/>
                <w:color w:val="000000"/>
                <w:sz w:val="20"/>
                <w:szCs w:val="20"/>
                <w:lang w:eastAsia="en-US"/>
              </w:rPr>
            </w:pPr>
            <w:r w:rsidRPr="0094250B">
              <w:rPr>
                <w:rFonts w:ascii="Calibri" w:eastAsia="Times New Roman" w:hAnsi="Calibri" w:cs="Times New Roman"/>
                <w:b/>
                <w:bCs/>
                <w:color w:val="000000"/>
                <w:sz w:val="20"/>
                <w:szCs w:val="20"/>
                <w:lang w:eastAsia="en-US"/>
              </w:rPr>
              <w:t>0.567%</w:t>
            </w:r>
          </w:p>
        </w:tc>
        <w:tc>
          <w:tcPr>
            <w:tcW w:w="1262" w:type="dxa"/>
            <w:tcBorders>
              <w:top w:val="nil"/>
              <w:left w:val="nil"/>
              <w:bottom w:val="nil"/>
              <w:right w:val="single" w:sz="8" w:space="0" w:color="auto"/>
            </w:tcBorders>
            <w:shd w:val="clear" w:color="000000" w:fill="FFFF00"/>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-48%</w:t>
            </w:r>
          </w:p>
        </w:tc>
      </w:tr>
      <w:tr w:rsidR="0094250B" w:rsidRPr="0094250B" w:rsidTr="0094250B">
        <w:trPr>
          <w:trHeight w:val="300"/>
        </w:trPr>
        <w:tc>
          <w:tcPr>
            <w:tcW w:w="1057" w:type="dxa"/>
            <w:tcBorders>
              <w:top w:val="nil"/>
              <w:left w:val="single" w:sz="8" w:space="0" w:color="auto"/>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85.01-90</w:t>
            </w:r>
          </w:p>
        </w:tc>
        <w:tc>
          <w:tcPr>
            <w:tcW w:w="1400"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4.69%</w:t>
            </w:r>
          </w:p>
        </w:tc>
        <w:tc>
          <w:tcPr>
            <w:tcW w:w="988"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2.50%</w:t>
            </w:r>
          </w:p>
        </w:tc>
        <w:tc>
          <w:tcPr>
            <w:tcW w:w="743" w:type="dxa"/>
            <w:tcBorders>
              <w:top w:val="nil"/>
              <w:left w:val="nil"/>
              <w:bottom w:val="nil"/>
              <w:right w:val="nil"/>
            </w:tcBorders>
            <w:shd w:val="clear" w:color="auto" w:fill="auto"/>
            <w:noWrap/>
            <w:vAlign w:val="bottom"/>
            <w:hideMark/>
          </w:tcPr>
          <w:p w:rsidR="0094250B" w:rsidRPr="0094250B" w:rsidRDefault="0094250B" w:rsidP="0094250B">
            <w:pPr>
              <w:spacing w:after="0"/>
              <w:jc w:val="right"/>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3.99%</w:t>
            </w:r>
          </w:p>
        </w:tc>
        <w:tc>
          <w:tcPr>
            <w:tcW w:w="988" w:type="dxa"/>
            <w:tcBorders>
              <w:top w:val="nil"/>
              <w:left w:val="nil"/>
              <w:bottom w:val="nil"/>
              <w:right w:val="nil"/>
            </w:tcBorders>
            <w:shd w:val="clear" w:color="auto" w:fill="auto"/>
            <w:noWrap/>
            <w:vAlign w:val="bottom"/>
            <w:hideMark/>
          </w:tcPr>
          <w:p w:rsidR="0094250B" w:rsidRPr="0094250B" w:rsidRDefault="0094250B" w:rsidP="0094250B">
            <w:pPr>
              <w:spacing w:after="0"/>
              <w:jc w:val="right"/>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1.80%</w:t>
            </w:r>
          </w:p>
        </w:tc>
        <w:tc>
          <w:tcPr>
            <w:tcW w:w="1221"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45.1%</w:t>
            </w:r>
          </w:p>
        </w:tc>
        <w:tc>
          <w:tcPr>
            <w:tcW w:w="1464" w:type="dxa"/>
            <w:tcBorders>
              <w:top w:val="nil"/>
              <w:left w:val="nil"/>
              <w:bottom w:val="nil"/>
              <w:right w:val="nil"/>
            </w:tcBorders>
            <w:shd w:val="clear" w:color="000000" w:fill="99FFCC"/>
            <w:noWrap/>
            <w:vAlign w:val="bottom"/>
            <w:hideMark/>
          </w:tcPr>
          <w:p w:rsidR="0094250B" w:rsidRPr="0094250B" w:rsidRDefault="0094250B" w:rsidP="0094250B">
            <w:pPr>
              <w:spacing w:after="0"/>
              <w:jc w:val="center"/>
              <w:rPr>
                <w:rFonts w:ascii="Calibri" w:eastAsia="Times New Roman" w:hAnsi="Calibri" w:cs="Times New Roman"/>
                <w:b/>
                <w:bCs/>
                <w:color w:val="000000"/>
                <w:sz w:val="20"/>
                <w:szCs w:val="20"/>
                <w:lang w:eastAsia="en-US"/>
              </w:rPr>
            </w:pPr>
            <w:r w:rsidRPr="0094250B">
              <w:rPr>
                <w:rFonts w:ascii="Calibri" w:eastAsia="Times New Roman" w:hAnsi="Calibri" w:cs="Times New Roman"/>
                <w:b/>
                <w:bCs/>
                <w:color w:val="000000"/>
                <w:sz w:val="20"/>
                <w:szCs w:val="20"/>
                <w:lang w:eastAsia="en-US"/>
              </w:rPr>
              <w:t>0.341%</w:t>
            </w:r>
          </w:p>
        </w:tc>
        <w:tc>
          <w:tcPr>
            <w:tcW w:w="1477" w:type="dxa"/>
            <w:tcBorders>
              <w:top w:val="nil"/>
              <w:left w:val="nil"/>
              <w:bottom w:val="nil"/>
              <w:right w:val="nil"/>
            </w:tcBorders>
            <w:shd w:val="clear" w:color="000000" w:fill="FDE9D9"/>
            <w:noWrap/>
            <w:vAlign w:val="bottom"/>
            <w:hideMark/>
          </w:tcPr>
          <w:p w:rsidR="0094250B" w:rsidRPr="0094250B" w:rsidRDefault="0094250B" w:rsidP="0094250B">
            <w:pPr>
              <w:spacing w:after="0"/>
              <w:jc w:val="center"/>
              <w:rPr>
                <w:rFonts w:ascii="Calibri" w:eastAsia="Times New Roman" w:hAnsi="Calibri" w:cs="Times New Roman"/>
                <w:b/>
                <w:bCs/>
                <w:color w:val="000000"/>
                <w:sz w:val="20"/>
                <w:szCs w:val="20"/>
                <w:lang w:eastAsia="en-US"/>
              </w:rPr>
            </w:pPr>
            <w:r w:rsidRPr="0094250B">
              <w:rPr>
                <w:rFonts w:ascii="Calibri" w:eastAsia="Times New Roman" w:hAnsi="Calibri" w:cs="Times New Roman"/>
                <w:b/>
                <w:bCs/>
                <w:color w:val="000000"/>
                <w:sz w:val="20"/>
                <w:szCs w:val="20"/>
                <w:lang w:eastAsia="en-US"/>
              </w:rPr>
              <w:t>0.938%</w:t>
            </w:r>
          </w:p>
        </w:tc>
        <w:tc>
          <w:tcPr>
            <w:tcW w:w="1262" w:type="dxa"/>
            <w:tcBorders>
              <w:top w:val="nil"/>
              <w:left w:val="nil"/>
              <w:bottom w:val="nil"/>
              <w:right w:val="single" w:sz="8" w:space="0" w:color="auto"/>
            </w:tcBorders>
            <w:shd w:val="clear" w:color="000000" w:fill="FFFF00"/>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-64%</w:t>
            </w:r>
          </w:p>
        </w:tc>
      </w:tr>
      <w:tr w:rsidR="0094250B" w:rsidRPr="0094250B" w:rsidTr="0094250B">
        <w:trPr>
          <w:trHeight w:val="300"/>
        </w:trPr>
        <w:tc>
          <w:tcPr>
            <w:tcW w:w="1057" w:type="dxa"/>
            <w:tcBorders>
              <w:top w:val="nil"/>
              <w:left w:val="single" w:sz="8" w:space="0" w:color="auto"/>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90.01-95</w:t>
            </w:r>
          </w:p>
        </w:tc>
        <w:tc>
          <w:tcPr>
            <w:tcW w:w="1400"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6.21%</w:t>
            </w:r>
          </w:p>
        </w:tc>
        <w:tc>
          <w:tcPr>
            <w:tcW w:w="988"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3.31%</w:t>
            </w:r>
          </w:p>
        </w:tc>
        <w:tc>
          <w:tcPr>
            <w:tcW w:w="743" w:type="dxa"/>
            <w:tcBorders>
              <w:top w:val="nil"/>
              <w:left w:val="nil"/>
              <w:bottom w:val="nil"/>
              <w:right w:val="nil"/>
            </w:tcBorders>
            <w:shd w:val="clear" w:color="auto" w:fill="auto"/>
            <w:noWrap/>
            <w:vAlign w:val="bottom"/>
            <w:hideMark/>
          </w:tcPr>
          <w:p w:rsidR="0094250B" w:rsidRPr="0094250B" w:rsidRDefault="0094250B" w:rsidP="0094250B">
            <w:pPr>
              <w:spacing w:after="0"/>
              <w:jc w:val="right"/>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5.06%</w:t>
            </w:r>
          </w:p>
        </w:tc>
        <w:tc>
          <w:tcPr>
            <w:tcW w:w="988" w:type="dxa"/>
            <w:tcBorders>
              <w:top w:val="nil"/>
              <w:left w:val="nil"/>
              <w:bottom w:val="nil"/>
              <w:right w:val="nil"/>
            </w:tcBorders>
            <w:shd w:val="clear" w:color="auto" w:fill="auto"/>
            <w:noWrap/>
            <w:vAlign w:val="bottom"/>
            <w:hideMark/>
          </w:tcPr>
          <w:p w:rsidR="0094250B" w:rsidRPr="0094250B" w:rsidRDefault="0094250B" w:rsidP="0094250B">
            <w:pPr>
              <w:spacing w:after="0"/>
              <w:jc w:val="right"/>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2.16%</w:t>
            </w:r>
          </w:p>
        </w:tc>
        <w:tc>
          <w:tcPr>
            <w:tcW w:w="1221"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42.7%</w:t>
            </w:r>
          </w:p>
        </w:tc>
        <w:tc>
          <w:tcPr>
            <w:tcW w:w="1464" w:type="dxa"/>
            <w:tcBorders>
              <w:top w:val="nil"/>
              <w:left w:val="nil"/>
              <w:bottom w:val="nil"/>
              <w:right w:val="nil"/>
            </w:tcBorders>
            <w:shd w:val="clear" w:color="000000" w:fill="99FFCC"/>
            <w:noWrap/>
            <w:vAlign w:val="bottom"/>
            <w:hideMark/>
          </w:tcPr>
          <w:p w:rsidR="0094250B" w:rsidRPr="0094250B" w:rsidRDefault="0094250B" w:rsidP="0094250B">
            <w:pPr>
              <w:spacing w:after="0"/>
              <w:jc w:val="center"/>
              <w:rPr>
                <w:rFonts w:ascii="Calibri" w:eastAsia="Times New Roman" w:hAnsi="Calibri" w:cs="Times New Roman"/>
                <w:b/>
                <w:bCs/>
                <w:color w:val="000000"/>
                <w:sz w:val="20"/>
                <w:szCs w:val="20"/>
                <w:lang w:eastAsia="en-US"/>
              </w:rPr>
            </w:pPr>
            <w:r w:rsidRPr="0094250B">
              <w:rPr>
                <w:rFonts w:ascii="Calibri" w:eastAsia="Times New Roman" w:hAnsi="Calibri" w:cs="Times New Roman"/>
                <w:b/>
                <w:bCs/>
                <w:color w:val="000000"/>
                <w:sz w:val="20"/>
                <w:szCs w:val="20"/>
                <w:lang w:eastAsia="en-US"/>
              </w:rPr>
              <w:t>0.428%</w:t>
            </w:r>
          </w:p>
        </w:tc>
        <w:tc>
          <w:tcPr>
            <w:tcW w:w="1477" w:type="dxa"/>
            <w:tcBorders>
              <w:top w:val="nil"/>
              <w:left w:val="nil"/>
              <w:bottom w:val="nil"/>
              <w:right w:val="nil"/>
            </w:tcBorders>
            <w:shd w:val="clear" w:color="000000" w:fill="FDE9D9"/>
            <w:noWrap/>
            <w:vAlign w:val="bottom"/>
            <w:hideMark/>
          </w:tcPr>
          <w:p w:rsidR="0094250B" w:rsidRPr="0094250B" w:rsidRDefault="0094250B" w:rsidP="0094250B">
            <w:pPr>
              <w:spacing w:after="0"/>
              <w:jc w:val="center"/>
              <w:rPr>
                <w:rFonts w:ascii="Calibri" w:eastAsia="Times New Roman" w:hAnsi="Calibri" w:cs="Times New Roman"/>
                <w:b/>
                <w:bCs/>
                <w:color w:val="000000"/>
                <w:sz w:val="20"/>
                <w:szCs w:val="20"/>
                <w:lang w:eastAsia="en-US"/>
              </w:rPr>
            </w:pPr>
            <w:r w:rsidRPr="0094250B">
              <w:rPr>
                <w:rFonts w:ascii="Calibri" w:eastAsia="Times New Roman" w:hAnsi="Calibri" w:cs="Times New Roman"/>
                <w:b/>
                <w:bCs/>
                <w:color w:val="000000"/>
                <w:sz w:val="20"/>
                <w:szCs w:val="20"/>
                <w:lang w:eastAsia="en-US"/>
              </w:rPr>
              <w:t>0.940%</w:t>
            </w:r>
          </w:p>
        </w:tc>
        <w:tc>
          <w:tcPr>
            <w:tcW w:w="1262" w:type="dxa"/>
            <w:tcBorders>
              <w:top w:val="nil"/>
              <w:left w:val="nil"/>
              <w:bottom w:val="nil"/>
              <w:right w:val="single" w:sz="8" w:space="0" w:color="auto"/>
            </w:tcBorders>
            <w:shd w:val="clear" w:color="000000" w:fill="FFFF00"/>
            <w:noWrap/>
            <w:vAlign w:val="bottom"/>
            <w:hideMark/>
          </w:tcPr>
          <w:p w:rsidR="0094250B" w:rsidRPr="0094250B" w:rsidRDefault="0094250B" w:rsidP="0094250B">
            <w:pPr>
              <w:spacing w:after="0"/>
              <w:jc w:val="center"/>
              <w:rPr>
                <w:rFonts w:ascii="Calibri" w:eastAsia="Times New Roman" w:hAnsi="Calibri" w:cs="Times New Roman"/>
                <w:color w:val="000000"/>
                <w:sz w:val="20"/>
                <w:szCs w:val="20"/>
                <w:lang w:eastAsia="en-US"/>
              </w:rPr>
            </w:pPr>
            <w:r w:rsidRPr="0094250B">
              <w:rPr>
                <w:rFonts w:ascii="Calibri" w:eastAsia="Times New Roman" w:hAnsi="Calibri" w:cs="Times New Roman"/>
                <w:color w:val="000000"/>
                <w:sz w:val="20"/>
                <w:szCs w:val="20"/>
                <w:lang w:eastAsia="en-US"/>
              </w:rPr>
              <w:t>-54%</w:t>
            </w:r>
          </w:p>
        </w:tc>
      </w:tr>
      <w:tr w:rsidR="0094250B" w:rsidRPr="0094250B" w:rsidTr="0094250B">
        <w:trPr>
          <w:trHeight w:val="300"/>
        </w:trPr>
        <w:tc>
          <w:tcPr>
            <w:tcW w:w="1057" w:type="dxa"/>
            <w:tcBorders>
              <w:top w:val="nil"/>
              <w:left w:val="single" w:sz="8" w:space="0" w:color="auto"/>
              <w:bottom w:val="nil"/>
              <w:right w:val="nil"/>
            </w:tcBorders>
            <w:shd w:val="clear" w:color="auto" w:fill="auto"/>
            <w:noWrap/>
            <w:vAlign w:val="bottom"/>
            <w:hideMark/>
          </w:tcPr>
          <w:p w:rsidR="0094250B" w:rsidRPr="0094250B" w:rsidRDefault="0094250B" w:rsidP="0094250B">
            <w:pPr>
              <w:spacing w:after="0"/>
              <w:rPr>
                <w:rFonts w:ascii="Calibri" w:eastAsia="Times New Roman" w:hAnsi="Calibri" w:cs="Times New Roman"/>
                <w:color w:val="000000"/>
                <w:sz w:val="22"/>
                <w:szCs w:val="22"/>
                <w:lang w:eastAsia="en-US"/>
              </w:rPr>
            </w:pPr>
            <w:r w:rsidRPr="0094250B">
              <w:rPr>
                <w:rFonts w:ascii="Calibri" w:eastAsia="Times New Roman" w:hAnsi="Calibri" w:cs="Times New Roman"/>
                <w:color w:val="000000"/>
                <w:sz w:val="22"/>
                <w:szCs w:val="22"/>
                <w:lang w:eastAsia="en-US"/>
              </w:rPr>
              <w:t> </w:t>
            </w:r>
          </w:p>
        </w:tc>
        <w:tc>
          <w:tcPr>
            <w:tcW w:w="1400" w:type="dxa"/>
            <w:tcBorders>
              <w:top w:val="nil"/>
              <w:left w:val="nil"/>
              <w:bottom w:val="nil"/>
              <w:right w:val="nil"/>
            </w:tcBorders>
            <w:shd w:val="clear" w:color="auto" w:fill="auto"/>
            <w:noWrap/>
            <w:vAlign w:val="bottom"/>
            <w:hideMark/>
          </w:tcPr>
          <w:p w:rsidR="0094250B" w:rsidRPr="0094250B" w:rsidRDefault="0094250B" w:rsidP="0094250B">
            <w:pPr>
              <w:spacing w:after="0"/>
              <w:rPr>
                <w:rFonts w:ascii="Calibri" w:eastAsia="Times New Roman" w:hAnsi="Calibri" w:cs="Times New Roman"/>
                <w:color w:val="000000"/>
                <w:sz w:val="22"/>
                <w:szCs w:val="22"/>
                <w:lang w:eastAsia="en-US"/>
              </w:rPr>
            </w:pPr>
          </w:p>
        </w:tc>
        <w:tc>
          <w:tcPr>
            <w:tcW w:w="988" w:type="dxa"/>
            <w:tcBorders>
              <w:top w:val="nil"/>
              <w:left w:val="nil"/>
              <w:bottom w:val="nil"/>
              <w:right w:val="nil"/>
            </w:tcBorders>
            <w:shd w:val="clear" w:color="auto" w:fill="auto"/>
            <w:noWrap/>
            <w:vAlign w:val="bottom"/>
            <w:hideMark/>
          </w:tcPr>
          <w:p w:rsidR="0094250B" w:rsidRPr="0094250B" w:rsidRDefault="0094250B" w:rsidP="0094250B">
            <w:pPr>
              <w:spacing w:after="0"/>
              <w:rPr>
                <w:rFonts w:ascii="Calibri" w:eastAsia="Times New Roman" w:hAnsi="Calibri" w:cs="Times New Roman"/>
                <w:color w:val="000000"/>
                <w:sz w:val="22"/>
                <w:szCs w:val="22"/>
                <w:lang w:eastAsia="en-US"/>
              </w:rPr>
            </w:pPr>
          </w:p>
        </w:tc>
        <w:tc>
          <w:tcPr>
            <w:tcW w:w="743" w:type="dxa"/>
            <w:tcBorders>
              <w:top w:val="nil"/>
              <w:left w:val="nil"/>
              <w:bottom w:val="nil"/>
              <w:right w:val="nil"/>
            </w:tcBorders>
            <w:shd w:val="clear" w:color="auto" w:fill="auto"/>
            <w:noWrap/>
            <w:vAlign w:val="bottom"/>
            <w:hideMark/>
          </w:tcPr>
          <w:p w:rsidR="0094250B" w:rsidRPr="0094250B" w:rsidRDefault="0094250B" w:rsidP="0094250B">
            <w:pPr>
              <w:spacing w:after="0"/>
              <w:rPr>
                <w:rFonts w:ascii="Calibri" w:eastAsia="Times New Roman" w:hAnsi="Calibri" w:cs="Times New Roman"/>
                <w:color w:val="000000"/>
                <w:sz w:val="22"/>
                <w:szCs w:val="22"/>
                <w:lang w:eastAsia="en-US"/>
              </w:rPr>
            </w:pPr>
          </w:p>
        </w:tc>
        <w:tc>
          <w:tcPr>
            <w:tcW w:w="988" w:type="dxa"/>
            <w:tcBorders>
              <w:top w:val="nil"/>
              <w:left w:val="nil"/>
              <w:bottom w:val="nil"/>
              <w:right w:val="nil"/>
            </w:tcBorders>
            <w:shd w:val="clear" w:color="auto" w:fill="auto"/>
            <w:noWrap/>
            <w:vAlign w:val="bottom"/>
            <w:hideMark/>
          </w:tcPr>
          <w:p w:rsidR="0094250B" w:rsidRPr="0094250B" w:rsidRDefault="0094250B" w:rsidP="0094250B">
            <w:pPr>
              <w:spacing w:after="0"/>
              <w:rPr>
                <w:rFonts w:ascii="Calibri" w:eastAsia="Times New Roman" w:hAnsi="Calibri" w:cs="Times New Roman"/>
                <w:color w:val="000000"/>
                <w:sz w:val="22"/>
                <w:szCs w:val="22"/>
                <w:lang w:eastAsia="en-US"/>
              </w:rPr>
            </w:pPr>
          </w:p>
        </w:tc>
        <w:tc>
          <w:tcPr>
            <w:tcW w:w="1221" w:type="dxa"/>
            <w:tcBorders>
              <w:top w:val="nil"/>
              <w:left w:val="nil"/>
              <w:bottom w:val="nil"/>
              <w:right w:val="nil"/>
            </w:tcBorders>
            <w:shd w:val="clear" w:color="auto" w:fill="auto"/>
            <w:noWrap/>
            <w:vAlign w:val="bottom"/>
            <w:hideMark/>
          </w:tcPr>
          <w:p w:rsidR="0094250B" w:rsidRPr="0094250B" w:rsidRDefault="0094250B" w:rsidP="0094250B">
            <w:pPr>
              <w:spacing w:after="0"/>
              <w:rPr>
                <w:rFonts w:ascii="Calibri" w:eastAsia="Times New Roman" w:hAnsi="Calibri" w:cs="Times New Roman"/>
                <w:color w:val="000000"/>
                <w:sz w:val="22"/>
                <w:szCs w:val="22"/>
                <w:lang w:eastAsia="en-US"/>
              </w:rPr>
            </w:pPr>
          </w:p>
        </w:tc>
        <w:tc>
          <w:tcPr>
            <w:tcW w:w="1464" w:type="dxa"/>
            <w:tcBorders>
              <w:top w:val="nil"/>
              <w:left w:val="nil"/>
              <w:bottom w:val="nil"/>
              <w:right w:val="nil"/>
            </w:tcBorders>
            <w:shd w:val="clear" w:color="auto" w:fill="auto"/>
            <w:noWrap/>
            <w:vAlign w:val="bottom"/>
            <w:hideMark/>
          </w:tcPr>
          <w:p w:rsidR="0094250B" w:rsidRPr="0094250B" w:rsidRDefault="0094250B" w:rsidP="0094250B">
            <w:pPr>
              <w:spacing w:after="0"/>
              <w:rPr>
                <w:rFonts w:ascii="Calibri" w:eastAsia="Times New Roman" w:hAnsi="Calibri" w:cs="Times New Roman"/>
                <w:color w:val="000000"/>
                <w:sz w:val="22"/>
                <w:szCs w:val="22"/>
                <w:lang w:eastAsia="en-US"/>
              </w:rPr>
            </w:pPr>
          </w:p>
        </w:tc>
        <w:tc>
          <w:tcPr>
            <w:tcW w:w="1477" w:type="dxa"/>
            <w:tcBorders>
              <w:top w:val="nil"/>
              <w:left w:val="nil"/>
              <w:bottom w:val="nil"/>
              <w:right w:val="nil"/>
            </w:tcBorders>
            <w:shd w:val="clear" w:color="auto" w:fill="auto"/>
            <w:noWrap/>
            <w:vAlign w:val="bottom"/>
            <w:hideMark/>
          </w:tcPr>
          <w:p w:rsidR="0094250B" w:rsidRPr="0094250B" w:rsidRDefault="0094250B" w:rsidP="0094250B">
            <w:pPr>
              <w:spacing w:after="0"/>
              <w:rPr>
                <w:rFonts w:ascii="Calibri" w:eastAsia="Times New Roman" w:hAnsi="Calibri" w:cs="Times New Roman"/>
                <w:color w:val="000000"/>
                <w:sz w:val="22"/>
                <w:szCs w:val="22"/>
                <w:lang w:eastAsia="en-US"/>
              </w:rPr>
            </w:pPr>
          </w:p>
        </w:tc>
        <w:tc>
          <w:tcPr>
            <w:tcW w:w="1262" w:type="dxa"/>
            <w:tcBorders>
              <w:top w:val="nil"/>
              <w:left w:val="nil"/>
              <w:bottom w:val="nil"/>
              <w:right w:val="single" w:sz="8" w:space="0" w:color="auto"/>
            </w:tcBorders>
            <w:shd w:val="clear" w:color="auto" w:fill="auto"/>
            <w:noWrap/>
            <w:vAlign w:val="bottom"/>
            <w:hideMark/>
          </w:tcPr>
          <w:p w:rsidR="0094250B" w:rsidRPr="0094250B" w:rsidRDefault="0094250B" w:rsidP="0094250B">
            <w:pPr>
              <w:spacing w:after="0"/>
              <w:rPr>
                <w:rFonts w:ascii="Calibri" w:eastAsia="Times New Roman" w:hAnsi="Calibri" w:cs="Times New Roman"/>
                <w:color w:val="000000"/>
                <w:sz w:val="22"/>
                <w:szCs w:val="22"/>
                <w:lang w:eastAsia="en-US"/>
              </w:rPr>
            </w:pPr>
            <w:r w:rsidRPr="0094250B">
              <w:rPr>
                <w:rFonts w:ascii="Calibri" w:eastAsia="Times New Roman" w:hAnsi="Calibri" w:cs="Times New Roman"/>
                <w:color w:val="000000"/>
                <w:sz w:val="22"/>
                <w:szCs w:val="22"/>
                <w:lang w:eastAsia="en-US"/>
              </w:rPr>
              <w:t> </w:t>
            </w:r>
          </w:p>
        </w:tc>
      </w:tr>
      <w:tr w:rsidR="0094250B" w:rsidRPr="0094250B" w:rsidTr="0094250B">
        <w:trPr>
          <w:trHeight w:val="315"/>
        </w:trPr>
        <w:tc>
          <w:tcPr>
            <w:tcW w:w="10600" w:type="dxa"/>
            <w:gridSpan w:val="9"/>
            <w:tcBorders>
              <w:top w:val="nil"/>
              <w:left w:val="single" w:sz="8" w:space="0" w:color="auto"/>
              <w:bottom w:val="nil"/>
              <w:right w:val="single" w:sz="8" w:space="0" w:color="000000"/>
            </w:tcBorders>
            <w:shd w:val="clear" w:color="000000" w:fill="99FFCC"/>
            <w:noWrap/>
            <w:vAlign w:val="bottom"/>
            <w:hideMark/>
          </w:tcPr>
          <w:p w:rsidR="0094250B" w:rsidRPr="0094250B" w:rsidRDefault="0094250B" w:rsidP="0094250B">
            <w:pPr>
              <w:spacing w:after="0"/>
              <w:jc w:val="center"/>
              <w:rPr>
                <w:rFonts w:ascii="Calibri" w:eastAsia="Times New Roman" w:hAnsi="Calibri" w:cs="Times New Roman"/>
                <w:b/>
                <w:bCs/>
                <w:color w:val="000000"/>
                <w:lang w:eastAsia="en-US"/>
              </w:rPr>
            </w:pPr>
            <w:r w:rsidRPr="0094250B">
              <w:rPr>
                <w:rFonts w:ascii="Calibri" w:eastAsia="Times New Roman" w:hAnsi="Calibri" w:cs="Times New Roman"/>
                <w:b/>
                <w:bCs/>
                <w:color w:val="000000"/>
                <w:lang w:eastAsia="en-US"/>
              </w:rPr>
              <w:t>Focusing On Purchase Loans  And Applying Multiple Book View Of Capital For Pricing</w:t>
            </w:r>
          </w:p>
        </w:tc>
      </w:tr>
      <w:tr w:rsidR="0094250B" w:rsidRPr="0094250B" w:rsidTr="0094250B">
        <w:trPr>
          <w:trHeight w:val="315"/>
        </w:trPr>
        <w:tc>
          <w:tcPr>
            <w:tcW w:w="10600" w:type="dxa"/>
            <w:gridSpan w:val="9"/>
            <w:tcBorders>
              <w:top w:val="nil"/>
              <w:left w:val="single" w:sz="8" w:space="0" w:color="auto"/>
              <w:bottom w:val="nil"/>
              <w:right w:val="single" w:sz="8" w:space="0" w:color="000000"/>
            </w:tcBorders>
            <w:shd w:val="clear" w:color="000000" w:fill="99FFCC"/>
            <w:noWrap/>
            <w:vAlign w:val="bottom"/>
            <w:hideMark/>
          </w:tcPr>
          <w:p w:rsidR="0094250B" w:rsidRPr="0094250B" w:rsidRDefault="0094250B" w:rsidP="0094250B">
            <w:pPr>
              <w:spacing w:after="0"/>
              <w:jc w:val="center"/>
              <w:rPr>
                <w:rFonts w:ascii="Calibri" w:eastAsia="Times New Roman" w:hAnsi="Calibri" w:cs="Times New Roman"/>
                <w:b/>
                <w:bCs/>
                <w:color w:val="000000"/>
                <w:lang w:eastAsia="en-US"/>
              </w:rPr>
            </w:pPr>
            <w:r w:rsidRPr="0094250B">
              <w:rPr>
                <w:rFonts w:ascii="Calibri" w:eastAsia="Times New Roman" w:hAnsi="Calibri" w:cs="Times New Roman"/>
                <w:b/>
                <w:bCs/>
                <w:color w:val="000000"/>
                <w:lang w:eastAsia="en-US"/>
              </w:rPr>
              <w:t>Reduces GSE Fees For Guaranteeing Purchase Loans Without Sacrificing Safety and Soundness</w:t>
            </w:r>
          </w:p>
        </w:tc>
      </w:tr>
      <w:tr w:rsidR="0094250B" w:rsidRPr="0094250B" w:rsidTr="0094250B">
        <w:trPr>
          <w:trHeight w:val="315"/>
        </w:trPr>
        <w:tc>
          <w:tcPr>
            <w:tcW w:w="1057" w:type="dxa"/>
            <w:tcBorders>
              <w:top w:val="nil"/>
              <w:left w:val="single" w:sz="8" w:space="0" w:color="auto"/>
              <w:bottom w:val="single" w:sz="8" w:space="0" w:color="auto"/>
              <w:right w:val="nil"/>
            </w:tcBorders>
            <w:shd w:val="clear" w:color="auto" w:fill="auto"/>
            <w:noWrap/>
            <w:vAlign w:val="bottom"/>
            <w:hideMark/>
          </w:tcPr>
          <w:p w:rsidR="0094250B" w:rsidRPr="0094250B" w:rsidRDefault="0094250B" w:rsidP="0094250B">
            <w:pPr>
              <w:spacing w:after="0"/>
              <w:rPr>
                <w:rFonts w:ascii="Calibri" w:eastAsia="Times New Roman" w:hAnsi="Calibri" w:cs="Times New Roman"/>
                <w:color w:val="000000"/>
                <w:sz w:val="22"/>
                <w:szCs w:val="22"/>
                <w:lang w:eastAsia="en-US"/>
              </w:rPr>
            </w:pPr>
            <w:r w:rsidRPr="0094250B">
              <w:rPr>
                <w:rFonts w:ascii="Calibri" w:eastAsia="Times New Roman" w:hAnsi="Calibri" w:cs="Times New Roman"/>
                <w:color w:val="000000"/>
                <w:sz w:val="22"/>
                <w:szCs w:val="22"/>
                <w:lang w:eastAsia="en-US"/>
              </w:rPr>
              <w:t> </w:t>
            </w:r>
          </w:p>
        </w:tc>
        <w:tc>
          <w:tcPr>
            <w:tcW w:w="1400" w:type="dxa"/>
            <w:tcBorders>
              <w:top w:val="nil"/>
              <w:left w:val="nil"/>
              <w:bottom w:val="single" w:sz="8" w:space="0" w:color="auto"/>
              <w:right w:val="nil"/>
            </w:tcBorders>
            <w:shd w:val="clear" w:color="auto" w:fill="auto"/>
            <w:noWrap/>
            <w:vAlign w:val="bottom"/>
            <w:hideMark/>
          </w:tcPr>
          <w:p w:rsidR="0094250B" w:rsidRPr="0094250B" w:rsidRDefault="0094250B" w:rsidP="0094250B">
            <w:pPr>
              <w:spacing w:after="0"/>
              <w:rPr>
                <w:rFonts w:ascii="Calibri" w:eastAsia="Times New Roman" w:hAnsi="Calibri" w:cs="Times New Roman"/>
                <w:color w:val="000000"/>
                <w:sz w:val="22"/>
                <w:szCs w:val="22"/>
                <w:lang w:eastAsia="en-US"/>
              </w:rPr>
            </w:pPr>
            <w:r w:rsidRPr="0094250B">
              <w:rPr>
                <w:rFonts w:ascii="Calibri" w:eastAsia="Times New Roman" w:hAnsi="Calibri" w:cs="Times New Roman"/>
                <w:color w:val="000000"/>
                <w:sz w:val="22"/>
                <w:szCs w:val="22"/>
                <w:lang w:eastAsia="en-US"/>
              </w:rPr>
              <w:t> </w:t>
            </w:r>
          </w:p>
        </w:tc>
        <w:tc>
          <w:tcPr>
            <w:tcW w:w="988" w:type="dxa"/>
            <w:tcBorders>
              <w:top w:val="nil"/>
              <w:left w:val="nil"/>
              <w:bottom w:val="single" w:sz="8" w:space="0" w:color="auto"/>
              <w:right w:val="nil"/>
            </w:tcBorders>
            <w:shd w:val="clear" w:color="auto" w:fill="auto"/>
            <w:noWrap/>
            <w:vAlign w:val="bottom"/>
            <w:hideMark/>
          </w:tcPr>
          <w:p w:rsidR="0094250B" w:rsidRPr="0094250B" w:rsidRDefault="0094250B" w:rsidP="0094250B">
            <w:pPr>
              <w:spacing w:after="0"/>
              <w:rPr>
                <w:rFonts w:ascii="Calibri" w:eastAsia="Times New Roman" w:hAnsi="Calibri" w:cs="Times New Roman"/>
                <w:color w:val="000000"/>
                <w:sz w:val="22"/>
                <w:szCs w:val="22"/>
                <w:lang w:eastAsia="en-US"/>
              </w:rPr>
            </w:pPr>
            <w:r w:rsidRPr="0094250B">
              <w:rPr>
                <w:rFonts w:ascii="Calibri" w:eastAsia="Times New Roman" w:hAnsi="Calibri" w:cs="Times New Roman"/>
                <w:color w:val="000000"/>
                <w:sz w:val="22"/>
                <w:szCs w:val="22"/>
                <w:lang w:eastAsia="en-US"/>
              </w:rPr>
              <w:t> </w:t>
            </w:r>
          </w:p>
        </w:tc>
        <w:tc>
          <w:tcPr>
            <w:tcW w:w="743" w:type="dxa"/>
            <w:tcBorders>
              <w:top w:val="nil"/>
              <w:left w:val="nil"/>
              <w:bottom w:val="single" w:sz="8" w:space="0" w:color="auto"/>
              <w:right w:val="nil"/>
            </w:tcBorders>
            <w:shd w:val="clear" w:color="auto" w:fill="auto"/>
            <w:noWrap/>
            <w:vAlign w:val="bottom"/>
            <w:hideMark/>
          </w:tcPr>
          <w:p w:rsidR="0094250B" w:rsidRPr="0094250B" w:rsidRDefault="0094250B" w:rsidP="0094250B">
            <w:pPr>
              <w:spacing w:after="0"/>
              <w:rPr>
                <w:rFonts w:ascii="Calibri" w:eastAsia="Times New Roman" w:hAnsi="Calibri" w:cs="Times New Roman"/>
                <w:color w:val="000000"/>
                <w:sz w:val="22"/>
                <w:szCs w:val="22"/>
                <w:lang w:eastAsia="en-US"/>
              </w:rPr>
            </w:pPr>
            <w:r w:rsidRPr="0094250B">
              <w:rPr>
                <w:rFonts w:ascii="Calibri" w:eastAsia="Times New Roman" w:hAnsi="Calibri" w:cs="Times New Roman"/>
                <w:color w:val="000000"/>
                <w:sz w:val="22"/>
                <w:szCs w:val="22"/>
                <w:lang w:eastAsia="en-US"/>
              </w:rPr>
              <w:t> </w:t>
            </w:r>
          </w:p>
        </w:tc>
        <w:tc>
          <w:tcPr>
            <w:tcW w:w="988" w:type="dxa"/>
            <w:tcBorders>
              <w:top w:val="nil"/>
              <w:left w:val="nil"/>
              <w:bottom w:val="single" w:sz="8" w:space="0" w:color="auto"/>
              <w:right w:val="nil"/>
            </w:tcBorders>
            <w:shd w:val="clear" w:color="auto" w:fill="auto"/>
            <w:noWrap/>
            <w:vAlign w:val="bottom"/>
            <w:hideMark/>
          </w:tcPr>
          <w:p w:rsidR="0094250B" w:rsidRPr="0094250B" w:rsidRDefault="0094250B" w:rsidP="0094250B">
            <w:pPr>
              <w:spacing w:after="0"/>
              <w:rPr>
                <w:rFonts w:ascii="Calibri" w:eastAsia="Times New Roman" w:hAnsi="Calibri" w:cs="Times New Roman"/>
                <w:color w:val="000000"/>
                <w:sz w:val="22"/>
                <w:szCs w:val="22"/>
                <w:lang w:eastAsia="en-US"/>
              </w:rPr>
            </w:pPr>
            <w:r w:rsidRPr="0094250B">
              <w:rPr>
                <w:rFonts w:ascii="Calibri" w:eastAsia="Times New Roman" w:hAnsi="Calibri" w:cs="Times New Roman"/>
                <w:color w:val="000000"/>
                <w:sz w:val="22"/>
                <w:szCs w:val="22"/>
                <w:lang w:eastAsia="en-US"/>
              </w:rPr>
              <w:t> </w:t>
            </w:r>
          </w:p>
        </w:tc>
        <w:tc>
          <w:tcPr>
            <w:tcW w:w="1221" w:type="dxa"/>
            <w:tcBorders>
              <w:top w:val="nil"/>
              <w:left w:val="nil"/>
              <w:bottom w:val="single" w:sz="8" w:space="0" w:color="auto"/>
              <w:right w:val="nil"/>
            </w:tcBorders>
            <w:shd w:val="clear" w:color="auto" w:fill="auto"/>
            <w:noWrap/>
            <w:vAlign w:val="bottom"/>
            <w:hideMark/>
          </w:tcPr>
          <w:p w:rsidR="0094250B" w:rsidRPr="0094250B" w:rsidRDefault="0094250B" w:rsidP="0094250B">
            <w:pPr>
              <w:spacing w:after="0"/>
              <w:rPr>
                <w:rFonts w:ascii="Calibri" w:eastAsia="Times New Roman" w:hAnsi="Calibri" w:cs="Times New Roman"/>
                <w:color w:val="000000"/>
                <w:sz w:val="22"/>
                <w:szCs w:val="22"/>
                <w:lang w:eastAsia="en-US"/>
              </w:rPr>
            </w:pPr>
            <w:r w:rsidRPr="0094250B">
              <w:rPr>
                <w:rFonts w:ascii="Calibri" w:eastAsia="Times New Roman" w:hAnsi="Calibri" w:cs="Times New Roman"/>
                <w:color w:val="000000"/>
                <w:sz w:val="22"/>
                <w:szCs w:val="22"/>
                <w:lang w:eastAsia="en-US"/>
              </w:rPr>
              <w:t> </w:t>
            </w:r>
          </w:p>
        </w:tc>
        <w:tc>
          <w:tcPr>
            <w:tcW w:w="1464" w:type="dxa"/>
            <w:tcBorders>
              <w:top w:val="nil"/>
              <w:left w:val="nil"/>
              <w:bottom w:val="single" w:sz="8" w:space="0" w:color="auto"/>
              <w:right w:val="nil"/>
            </w:tcBorders>
            <w:shd w:val="clear" w:color="auto" w:fill="auto"/>
            <w:noWrap/>
            <w:vAlign w:val="bottom"/>
            <w:hideMark/>
          </w:tcPr>
          <w:p w:rsidR="0094250B" w:rsidRPr="0094250B" w:rsidRDefault="0094250B" w:rsidP="0094250B">
            <w:pPr>
              <w:spacing w:after="0"/>
              <w:rPr>
                <w:rFonts w:ascii="Calibri" w:eastAsia="Times New Roman" w:hAnsi="Calibri" w:cs="Times New Roman"/>
                <w:color w:val="000000"/>
                <w:sz w:val="22"/>
                <w:szCs w:val="22"/>
                <w:lang w:eastAsia="en-US"/>
              </w:rPr>
            </w:pPr>
            <w:r w:rsidRPr="0094250B">
              <w:rPr>
                <w:rFonts w:ascii="Calibri" w:eastAsia="Times New Roman" w:hAnsi="Calibri" w:cs="Times New Roman"/>
                <w:color w:val="000000"/>
                <w:sz w:val="22"/>
                <w:szCs w:val="22"/>
                <w:lang w:eastAsia="en-US"/>
              </w:rPr>
              <w:t> </w:t>
            </w:r>
          </w:p>
        </w:tc>
        <w:tc>
          <w:tcPr>
            <w:tcW w:w="1477" w:type="dxa"/>
            <w:tcBorders>
              <w:top w:val="nil"/>
              <w:left w:val="nil"/>
              <w:bottom w:val="single" w:sz="8" w:space="0" w:color="auto"/>
              <w:right w:val="nil"/>
            </w:tcBorders>
            <w:shd w:val="clear" w:color="auto" w:fill="auto"/>
            <w:noWrap/>
            <w:vAlign w:val="bottom"/>
            <w:hideMark/>
          </w:tcPr>
          <w:p w:rsidR="0094250B" w:rsidRPr="0094250B" w:rsidRDefault="0094250B" w:rsidP="0094250B">
            <w:pPr>
              <w:spacing w:after="0"/>
              <w:rPr>
                <w:rFonts w:ascii="Calibri" w:eastAsia="Times New Roman" w:hAnsi="Calibri" w:cs="Times New Roman"/>
                <w:color w:val="000000"/>
                <w:sz w:val="22"/>
                <w:szCs w:val="22"/>
                <w:lang w:eastAsia="en-US"/>
              </w:rPr>
            </w:pPr>
            <w:r w:rsidRPr="0094250B">
              <w:rPr>
                <w:rFonts w:ascii="Calibri" w:eastAsia="Times New Roman" w:hAnsi="Calibri" w:cs="Times New Roman"/>
                <w:color w:val="000000"/>
                <w:sz w:val="22"/>
                <w:szCs w:val="22"/>
                <w:lang w:eastAsia="en-US"/>
              </w:rPr>
              <w:t> </w:t>
            </w:r>
          </w:p>
        </w:tc>
        <w:tc>
          <w:tcPr>
            <w:tcW w:w="1262" w:type="dxa"/>
            <w:tcBorders>
              <w:top w:val="nil"/>
              <w:left w:val="nil"/>
              <w:bottom w:val="single" w:sz="8" w:space="0" w:color="auto"/>
              <w:right w:val="single" w:sz="8" w:space="0" w:color="auto"/>
            </w:tcBorders>
            <w:shd w:val="clear" w:color="auto" w:fill="auto"/>
            <w:noWrap/>
            <w:vAlign w:val="bottom"/>
            <w:hideMark/>
          </w:tcPr>
          <w:p w:rsidR="0094250B" w:rsidRPr="0094250B" w:rsidRDefault="0094250B" w:rsidP="0094250B">
            <w:pPr>
              <w:spacing w:after="0"/>
              <w:rPr>
                <w:rFonts w:ascii="Calibri" w:eastAsia="Times New Roman" w:hAnsi="Calibri" w:cs="Times New Roman"/>
                <w:color w:val="000000"/>
                <w:sz w:val="22"/>
                <w:szCs w:val="22"/>
                <w:lang w:eastAsia="en-US"/>
              </w:rPr>
            </w:pPr>
            <w:r w:rsidRPr="0094250B">
              <w:rPr>
                <w:rFonts w:ascii="Calibri" w:eastAsia="Times New Roman" w:hAnsi="Calibri" w:cs="Times New Roman"/>
                <w:color w:val="000000"/>
                <w:sz w:val="22"/>
                <w:szCs w:val="22"/>
                <w:lang w:eastAsia="en-US"/>
              </w:rPr>
              <w:t> </w:t>
            </w:r>
          </w:p>
        </w:tc>
      </w:tr>
    </w:tbl>
    <w:p w:rsidR="005B75F7" w:rsidRPr="005B75F7" w:rsidRDefault="005B75F7" w:rsidP="0094250B">
      <w:r w:rsidRPr="005B75F7">
        <w:t xml:space="preserve"> </w:t>
      </w:r>
    </w:p>
    <w:p w:rsidR="005B75F7" w:rsidRPr="005B75F7" w:rsidRDefault="005B75F7" w:rsidP="005B75F7">
      <w:r w:rsidRPr="005B75F7">
        <w:t>In the second section of Table 6, we show the results for fixed rate owner occupied purchase loans only. Because the proposed fee schedule combines the risk of both the purchase and rate and term loans, we leave those g-fees the same as in the top section, and then make our comparison to purchase only using multiple book capital. The difference</w:t>
      </w:r>
      <w:r w:rsidR="00637449">
        <w:t>s</w:t>
      </w:r>
      <w:r w:rsidRPr="005B75F7">
        <w:t xml:space="preserve"> in pricing</w:t>
      </w:r>
      <w:r w:rsidR="00637449">
        <w:t xml:space="preserve"> for owner-occupied purchase loans</w:t>
      </w:r>
      <w:r w:rsidR="007101C1">
        <w:t xml:space="preserve"> are</w:t>
      </w:r>
      <w:r w:rsidRPr="005B75F7">
        <w:t xml:space="preserve"> substantial with reductions in g-fees required going from 36% to 64%.</w:t>
      </w:r>
    </w:p>
    <w:p w:rsidR="0094250B" w:rsidRDefault="005B75F7" w:rsidP="0094250B">
      <w:r w:rsidRPr="005B75F7">
        <w:t xml:space="preserve">The currently proposed FHFA pricing parameters as applied to purchase loans are so over-priced as to cover a whole portfolio of purchase loans under portfolio stress </w:t>
      </w:r>
      <w:r w:rsidRPr="005B75F7">
        <w:lastRenderedPageBreak/>
        <w:t xml:space="preserve">conditions and </w:t>
      </w:r>
      <w:r w:rsidR="002E3BF8">
        <w:t>still have a substantial profit.</w:t>
      </w:r>
      <w:r w:rsidRPr="005B75F7">
        <w:t xml:space="preserve"> In Table 7 we apply the FHFA proposed pricing to the actual and estimated conditions of the 1998 through 2007 30 year fixed rate owner occupied purchase loans from 2007 to 2022.  The proposed pricing not only would cover all of the targeted stress losses, but could actually easily cover </w:t>
      </w:r>
      <w:r w:rsidR="002E3BF8">
        <w:t xml:space="preserve">stress </w:t>
      </w:r>
      <w:r w:rsidRPr="005B75F7">
        <w:t xml:space="preserve">losses </w:t>
      </w:r>
      <w:r w:rsidR="002E3BF8">
        <w:t xml:space="preserve">that were </w:t>
      </w:r>
      <w:r w:rsidRPr="005B75F7">
        <w:t>60% higher and still make a sizeable profit under</w:t>
      </w:r>
      <w:r w:rsidR="002E3BF8">
        <w:t xml:space="preserve"> what would certainly be </w:t>
      </w:r>
      <w:r w:rsidRPr="005B75F7">
        <w:t>horrific mortgage credit losses. Given the lower risk of purchase loans and the approach of using a single book approach to setting the capital charges, the FHFA proposed pricing for such</w:t>
      </w:r>
      <w:r w:rsidR="002E3BF8">
        <w:t xml:space="preserve"> purchase loans is extremely ex</w:t>
      </w:r>
      <w:r w:rsidRPr="005B75F7">
        <w:t xml:space="preserve">orbitant and damaging.  </w:t>
      </w:r>
    </w:p>
    <w:p w:rsidR="0094250B" w:rsidRPr="005B75F7" w:rsidRDefault="0094250B" w:rsidP="0094250B"/>
    <w:tbl>
      <w:tblPr>
        <w:tblW w:w="8180" w:type="dxa"/>
        <w:tblInd w:w="93" w:type="dxa"/>
        <w:tblLook w:val="04A0" w:firstRow="1" w:lastRow="0" w:firstColumn="1" w:lastColumn="0" w:noHBand="0" w:noVBand="1"/>
      </w:tblPr>
      <w:tblGrid>
        <w:gridCol w:w="1617"/>
        <w:gridCol w:w="1721"/>
        <w:gridCol w:w="2083"/>
        <w:gridCol w:w="1738"/>
        <w:gridCol w:w="1021"/>
      </w:tblGrid>
      <w:tr w:rsidR="0094250B" w:rsidRPr="0094250B" w:rsidTr="0094250B">
        <w:trPr>
          <w:trHeight w:val="315"/>
        </w:trPr>
        <w:tc>
          <w:tcPr>
            <w:tcW w:w="8180" w:type="dxa"/>
            <w:gridSpan w:val="5"/>
            <w:tcBorders>
              <w:top w:val="single" w:sz="8" w:space="0" w:color="auto"/>
              <w:left w:val="single" w:sz="8" w:space="0" w:color="auto"/>
              <w:bottom w:val="nil"/>
              <w:right w:val="single" w:sz="8" w:space="0" w:color="000000"/>
            </w:tcBorders>
            <w:shd w:val="clear" w:color="auto" w:fill="auto"/>
            <w:noWrap/>
            <w:vAlign w:val="bottom"/>
            <w:hideMark/>
          </w:tcPr>
          <w:p w:rsidR="0094250B" w:rsidRPr="0094250B" w:rsidRDefault="0094250B" w:rsidP="00950800">
            <w:pPr>
              <w:spacing w:after="0"/>
              <w:jc w:val="center"/>
              <w:rPr>
                <w:rFonts w:ascii="Cambria" w:eastAsia="Times New Roman" w:hAnsi="Cambria" w:cs="Times New Roman"/>
                <w:b/>
                <w:bCs/>
                <w:color w:val="000000"/>
                <w:lang w:eastAsia="en-US"/>
              </w:rPr>
            </w:pPr>
            <w:r w:rsidRPr="0094250B">
              <w:rPr>
                <w:rFonts w:ascii="Cambria" w:eastAsia="Times New Roman" w:hAnsi="Cambria" w:cs="Times New Roman"/>
                <w:b/>
                <w:bCs/>
                <w:color w:val="000000"/>
                <w:lang w:eastAsia="en-US"/>
              </w:rPr>
              <w:t xml:space="preserve">Table 7. Proposed FHFA G-Fees Relative To Fixed Rate </w:t>
            </w:r>
          </w:p>
        </w:tc>
      </w:tr>
      <w:tr w:rsidR="0094250B" w:rsidRPr="0094250B" w:rsidTr="0094250B">
        <w:trPr>
          <w:trHeight w:val="330"/>
        </w:trPr>
        <w:tc>
          <w:tcPr>
            <w:tcW w:w="8180" w:type="dxa"/>
            <w:gridSpan w:val="5"/>
            <w:tcBorders>
              <w:top w:val="nil"/>
              <w:left w:val="single" w:sz="8" w:space="0" w:color="auto"/>
              <w:bottom w:val="nil"/>
              <w:right w:val="single" w:sz="8" w:space="0" w:color="000000"/>
            </w:tcBorders>
            <w:shd w:val="clear" w:color="auto" w:fill="auto"/>
            <w:noWrap/>
            <w:vAlign w:val="bottom"/>
            <w:hideMark/>
          </w:tcPr>
          <w:p w:rsidR="0094250B" w:rsidRPr="0094250B" w:rsidRDefault="0094250B" w:rsidP="0094250B">
            <w:pPr>
              <w:spacing w:after="0"/>
              <w:jc w:val="center"/>
              <w:rPr>
                <w:rFonts w:ascii="Cambria" w:eastAsia="Times New Roman" w:hAnsi="Cambria" w:cs="Times New Roman"/>
                <w:b/>
                <w:bCs/>
                <w:color w:val="000000"/>
                <w:lang w:eastAsia="en-US"/>
              </w:rPr>
            </w:pPr>
            <w:r w:rsidRPr="0094250B">
              <w:rPr>
                <w:rFonts w:ascii="Cambria" w:eastAsia="Times New Roman" w:hAnsi="Cambria" w:cs="Times New Roman"/>
                <w:b/>
                <w:bCs/>
                <w:color w:val="000000"/>
                <w:lang w:eastAsia="en-US"/>
              </w:rPr>
              <w:t>Owner-Occupied Purchase 2007 Portfolio Stress Losses</w:t>
            </w:r>
          </w:p>
        </w:tc>
      </w:tr>
      <w:tr w:rsidR="0094250B" w:rsidRPr="0094250B" w:rsidTr="0094250B">
        <w:trPr>
          <w:trHeight w:val="375"/>
        </w:trPr>
        <w:tc>
          <w:tcPr>
            <w:tcW w:w="1617" w:type="dxa"/>
            <w:tcBorders>
              <w:top w:val="nil"/>
              <w:left w:val="single" w:sz="8" w:space="0" w:color="auto"/>
              <w:bottom w:val="nil"/>
              <w:right w:val="nil"/>
            </w:tcBorders>
            <w:shd w:val="clear" w:color="auto" w:fill="auto"/>
            <w:noWrap/>
            <w:vAlign w:val="bottom"/>
            <w:hideMark/>
          </w:tcPr>
          <w:p w:rsidR="0094250B" w:rsidRPr="0094250B" w:rsidRDefault="0094250B" w:rsidP="0094250B">
            <w:pPr>
              <w:spacing w:after="0"/>
              <w:rPr>
                <w:rFonts w:ascii="Cambria" w:eastAsia="Times New Roman" w:hAnsi="Cambria" w:cs="Times New Roman"/>
                <w:color w:val="000000"/>
                <w:lang w:eastAsia="en-US"/>
              </w:rPr>
            </w:pPr>
            <w:r w:rsidRPr="0094250B">
              <w:rPr>
                <w:rFonts w:ascii="Cambria" w:eastAsia="Times New Roman" w:hAnsi="Cambria" w:cs="Times New Roman"/>
                <w:color w:val="000000"/>
                <w:lang w:eastAsia="en-US"/>
              </w:rPr>
              <w:t> </w:t>
            </w:r>
          </w:p>
        </w:tc>
        <w:tc>
          <w:tcPr>
            <w:tcW w:w="1721" w:type="dxa"/>
            <w:tcBorders>
              <w:top w:val="nil"/>
              <w:left w:val="nil"/>
              <w:bottom w:val="nil"/>
              <w:right w:val="nil"/>
            </w:tcBorders>
            <w:shd w:val="clear" w:color="auto" w:fill="auto"/>
            <w:noWrap/>
            <w:vAlign w:val="bottom"/>
            <w:hideMark/>
          </w:tcPr>
          <w:p w:rsidR="0094250B" w:rsidRPr="0094250B" w:rsidRDefault="0094250B" w:rsidP="0094250B">
            <w:pPr>
              <w:spacing w:after="0"/>
              <w:rPr>
                <w:rFonts w:ascii="Cambria" w:eastAsia="Times New Roman" w:hAnsi="Cambria" w:cs="Times New Roman"/>
                <w:color w:val="000000"/>
                <w:sz w:val="22"/>
                <w:szCs w:val="22"/>
                <w:lang w:eastAsia="en-US"/>
              </w:rPr>
            </w:pPr>
          </w:p>
        </w:tc>
        <w:tc>
          <w:tcPr>
            <w:tcW w:w="2083" w:type="dxa"/>
            <w:tcBorders>
              <w:top w:val="nil"/>
              <w:left w:val="nil"/>
              <w:bottom w:val="nil"/>
              <w:right w:val="nil"/>
            </w:tcBorders>
            <w:shd w:val="clear" w:color="auto" w:fill="auto"/>
            <w:noWrap/>
            <w:vAlign w:val="bottom"/>
            <w:hideMark/>
          </w:tcPr>
          <w:p w:rsidR="0094250B" w:rsidRPr="0094250B" w:rsidRDefault="0094250B" w:rsidP="0094250B">
            <w:pPr>
              <w:spacing w:after="0"/>
              <w:rPr>
                <w:rFonts w:ascii="Cambria" w:eastAsia="Times New Roman" w:hAnsi="Cambria" w:cs="Times New Roman"/>
                <w:color w:val="000000"/>
                <w:sz w:val="22"/>
                <w:szCs w:val="22"/>
                <w:lang w:eastAsia="en-US"/>
              </w:rPr>
            </w:pPr>
          </w:p>
        </w:tc>
        <w:tc>
          <w:tcPr>
            <w:tcW w:w="1738" w:type="dxa"/>
            <w:tcBorders>
              <w:top w:val="nil"/>
              <w:left w:val="nil"/>
              <w:bottom w:val="nil"/>
              <w:right w:val="nil"/>
            </w:tcBorders>
            <w:shd w:val="clear" w:color="auto" w:fill="auto"/>
            <w:noWrap/>
            <w:vAlign w:val="bottom"/>
            <w:hideMark/>
          </w:tcPr>
          <w:p w:rsidR="0094250B" w:rsidRPr="0094250B" w:rsidRDefault="0094250B" w:rsidP="0094250B">
            <w:pPr>
              <w:spacing w:after="0"/>
              <w:rPr>
                <w:rFonts w:ascii="Cambria" w:eastAsia="Times New Roman" w:hAnsi="Cambria" w:cs="Times New Roman"/>
                <w:color w:val="000000"/>
                <w:sz w:val="22"/>
                <w:szCs w:val="22"/>
                <w:lang w:eastAsia="en-US"/>
              </w:rPr>
            </w:pPr>
          </w:p>
        </w:tc>
        <w:tc>
          <w:tcPr>
            <w:tcW w:w="1021" w:type="dxa"/>
            <w:tcBorders>
              <w:top w:val="nil"/>
              <w:left w:val="nil"/>
              <w:bottom w:val="nil"/>
              <w:right w:val="single" w:sz="8" w:space="0" w:color="auto"/>
            </w:tcBorders>
            <w:shd w:val="clear" w:color="auto" w:fill="auto"/>
            <w:noWrap/>
            <w:vAlign w:val="bottom"/>
            <w:hideMark/>
          </w:tcPr>
          <w:p w:rsidR="0094250B" w:rsidRPr="0094250B" w:rsidRDefault="0094250B" w:rsidP="0094250B">
            <w:pPr>
              <w:spacing w:after="0"/>
              <w:rPr>
                <w:rFonts w:ascii="Cambria" w:eastAsia="Times New Roman" w:hAnsi="Cambria" w:cs="Times New Roman"/>
                <w:color w:val="000000"/>
                <w:lang w:eastAsia="en-US"/>
              </w:rPr>
            </w:pPr>
            <w:r w:rsidRPr="0094250B">
              <w:rPr>
                <w:rFonts w:ascii="Cambria" w:eastAsia="Times New Roman" w:hAnsi="Cambria" w:cs="Times New Roman"/>
                <w:color w:val="000000"/>
                <w:lang w:eastAsia="en-US"/>
              </w:rPr>
              <w:t> </w:t>
            </w:r>
          </w:p>
        </w:tc>
      </w:tr>
      <w:tr w:rsidR="0094250B" w:rsidRPr="0094250B" w:rsidTr="0094250B">
        <w:trPr>
          <w:trHeight w:val="300"/>
        </w:trPr>
        <w:tc>
          <w:tcPr>
            <w:tcW w:w="1617" w:type="dxa"/>
            <w:tcBorders>
              <w:top w:val="nil"/>
              <w:left w:val="single" w:sz="8" w:space="0" w:color="auto"/>
              <w:bottom w:val="nil"/>
              <w:right w:val="nil"/>
            </w:tcBorders>
            <w:shd w:val="clear" w:color="auto" w:fill="auto"/>
            <w:noWrap/>
            <w:vAlign w:val="bottom"/>
            <w:hideMark/>
          </w:tcPr>
          <w:p w:rsidR="0094250B" w:rsidRPr="0094250B" w:rsidRDefault="0094250B" w:rsidP="0094250B">
            <w:pPr>
              <w:spacing w:after="0"/>
              <w:rPr>
                <w:rFonts w:ascii="Cambria" w:eastAsia="Times New Roman" w:hAnsi="Cambria" w:cs="Times New Roman"/>
                <w:color w:val="000000"/>
                <w:sz w:val="20"/>
                <w:szCs w:val="20"/>
                <w:lang w:eastAsia="en-US"/>
              </w:rPr>
            </w:pPr>
            <w:r w:rsidRPr="0094250B">
              <w:rPr>
                <w:rFonts w:ascii="Cambria" w:eastAsia="Times New Roman" w:hAnsi="Cambria" w:cs="Times New Roman"/>
                <w:color w:val="000000"/>
                <w:sz w:val="20"/>
                <w:szCs w:val="20"/>
                <w:lang w:eastAsia="en-US"/>
              </w:rPr>
              <w:t> </w:t>
            </w:r>
          </w:p>
        </w:tc>
        <w:tc>
          <w:tcPr>
            <w:tcW w:w="1721"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mbria" w:eastAsia="Times New Roman" w:hAnsi="Cambria" w:cs="Times New Roman"/>
                <w:b/>
                <w:bCs/>
                <w:color w:val="000000"/>
                <w:sz w:val="20"/>
                <w:szCs w:val="20"/>
                <w:lang w:eastAsia="en-US"/>
              </w:rPr>
            </w:pPr>
            <w:r w:rsidRPr="0094250B">
              <w:rPr>
                <w:rFonts w:ascii="Cambria" w:eastAsia="Times New Roman" w:hAnsi="Cambria" w:cs="Times New Roman"/>
                <w:b/>
                <w:bCs/>
                <w:color w:val="000000"/>
                <w:sz w:val="20"/>
                <w:szCs w:val="20"/>
                <w:lang w:eastAsia="en-US"/>
              </w:rPr>
              <w:t xml:space="preserve">Estimated </w:t>
            </w:r>
            <w:proofErr w:type="spellStart"/>
            <w:r w:rsidRPr="0094250B">
              <w:rPr>
                <w:rFonts w:ascii="Cambria" w:eastAsia="Times New Roman" w:hAnsi="Cambria" w:cs="Times New Roman"/>
                <w:b/>
                <w:bCs/>
                <w:color w:val="000000"/>
                <w:sz w:val="20"/>
                <w:szCs w:val="20"/>
                <w:lang w:eastAsia="en-US"/>
              </w:rPr>
              <w:t>Sress</w:t>
            </w:r>
            <w:proofErr w:type="spellEnd"/>
          </w:p>
        </w:tc>
        <w:tc>
          <w:tcPr>
            <w:tcW w:w="2083"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mbria" w:eastAsia="Times New Roman" w:hAnsi="Cambria" w:cs="Times New Roman"/>
                <w:b/>
                <w:bCs/>
                <w:color w:val="000000"/>
                <w:sz w:val="20"/>
                <w:szCs w:val="20"/>
                <w:lang w:eastAsia="en-US"/>
              </w:rPr>
            </w:pPr>
            <w:r w:rsidRPr="0094250B">
              <w:rPr>
                <w:rFonts w:ascii="Cambria" w:eastAsia="Times New Roman" w:hAnsi="Cambria" w:cs="Times New Roman"/>
                <w:b/>
                <w:bCs/>
                <w:color w:val="000000"/>
                <w:sz w:val="20"/>
                <w:szCs w:val="20"/>
                <w:lang w:eastAsia="en-US"/>
              </w:rPr>
              <w:t>Estimated 2007</w:t>
            </w:r>
          </w:p>
        </w:tc>
        <w:tc>
          <w:tcPr>
            <w:tcW w:w="1738"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mbria" w:eastAsia="Times New Roman" w:hAnsi="Cambria" w:cs="Times New Roman"/>
                <w:b/>
                <w:bCs/>
                <w:color w:val="000000"/>
                <w:sz w:val="20"/>
                <w:szCs w:val="20"/>
                <w:lang w:eastAsia="en-US"/>
              </w:rPr>
            </w:pPr>
            <w:r w:rsidRPr="0094250B">
              <w:rPr>
                <w:rFonts w:ascii="Cambria" w:eastAsia="Times New Roman" w:hAnsi="Cambria" w:cs="Times New Roman"/>
                <w:b/>
                <w:bCs/>
                <w:color w:val="000000"/>
                <w:sz w:val="20"/>
                <w:szCs w:val="20"/>
                <w:lang w:eastAsia="en-US"/>
              </w:rPr>
              <w:t>G-Fees/</w:t>
            </w:r>
          </w:p>
        </w:tc>
        <w:tc>
          <w:tcPr>
            <w:tcW w:w="1021" w:type="dxa"/>
            <w:tcBorders>
              <w:top w:val="nil"/>
              <w:left w:val="nil"/>
              <w:bottom w:val="nil"/>
              <w:right w:val="single" w:sz="8" w:space="0" w:color="auto"/>
            </w:tcBorders>
            <w:shd w:val="clear" w:color="auto" w:fill="auto"/>
            <w:noWrap/>
            <w:vAlign w:val="bottom"/>
            <w:hideMark/>
          </w:tcPr>
          <w:p w:rsidR="0094250B" w:rsidRPr="0094250B" w:rsidRDefault="0094250B" w:rsidP="0094250B">
            <w:pPr>
              <w:spacing w:after="0"/>
              <w:jc w:val="center"/>
              <w:rPr>
                <w:rFonts w:ascii="Cambria" w:eastAsia="Times New Roman" w:hAnsi="Cambria" w:cs="Times New Roman"/>
                <w:b/>
                <w:bCs/>
                <w:color w:val="000000"/>
                <w:sz w:val="20"/>
                <w:szCs w:val="20"/>
                <w:lang w:eastAsia="en-US"/>
              </w:rPr>
            </w:pPr>
            <w:r w:rsidRPr="0094250B">
              <w:rPr>
                <w:rFonts w:ascii="Cambria" w:eastAsia="Times New Roman" w:hAnsi="Cambria" w:cs="Times New Roman"/>
                <w:b/>
                <w:bCs/>
                <w:color w:val="000000"/>
                <w:sz w:val="20"/>
                <w:szCs w:val="20"/>
                <w:lang w:eastAsia="en-US"/>
              </w:rPr>
              <w:t>% G-Fees</w:t>
            </w:r>
          </w:p>
        </w:tc>
      </w:tr>
      <w:tr w:rsidR="0094250B" w:rsidRPr="0094250B" w:rsidTr="0094250B">
        <w:trPr>
          <w:trHeight w:val="300"/>
        </w:trPr>
        <w:tc>
          <w:tcPr>
            <w:tcW w:w="1617" w:type="dxa"/>
            <w:tcBorders>
              <w:top w:val="nil"/>
              <w:left w:val="single" w:sz="8" w:space="0" w:color="auto"/>
              <w:bottom w:val="nil"/>
              <w:right w:val="nil"/>
            </w:tcBorders>
            <w:shd w:val="clear" w:color="auto" w:fill="auto"/>
            <w:noWrap/>
            <w:vAlign w:val="bottom"/>
            <w:hideMark/>
          </w:tcPr>
          <w:p w:rsidR="0094250B" w:rsidRPr="0094250B" w:rsidRDefault="0094250B" w:rsidP="0094250B">
            <w:pPr>
              <w:spacing w:after="0"/>
              <w:jc w:val="center"/>
              <w:rPr>
                <w:rFonts w:ascii="Cambria" w:eastAsia="Times New Roman" w:hAnsi="Cambria" w:cs="Times New Roman"/>
                <w:b/>
                <w:bCs/>
                <w:color w:val="000000"/>
                <w:sz w:val="20"/>
                <w:szCs w:val="20"/>
                <w:u w:val="single"/>
                <w:lang w:eastAsia="en-US"/>
              </w:rPr>
            </w:pPr>
            <w:r w:rsidRPr="0094250B">
              <w:rPr>
                <w:rFonts w:ascii="Cambria" w:eastAsia="Times New Roman" w:hAnsi="Cambria" w:cs="Times New Roman"/>
                <w:b/>
                <w:bCs/>
                <w:color w:val="000000"/>
                <w:sz w:val="20"/>
                <w:szCs w:val="20"/>
                <w:u w:val="single"/>
                <w:lang w:eastAsia="en-US"/>
              </w:rPr>
              <w:t>LTV</w:t>
            </w:r>
          </w:p>
        </w:tc>
        <w:tc>
          <w:tcPr>
            <w:tcW w:w="1721"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mbria" w:eastAsia="Times New Roman" w:hAnsi="Cambria" w:cs="Times New Roman"/>
                <w:b/>
                <w:bCs/>
                <w:color w:val="000000"/>
                <w:sz w:val="20"/>
                <w:szCs w:val="20"/>
                <w:u w:val="single"/>
                <w:lang w:eastAsia="en-US"/>
              </w:rPr>
            </w:pPr>
            <w:r w:rsidRPr="0094250B">
              <w:rPr>
                <w:rFonts w:ascii="Cambria" w:eastAsia="Times New Roman" w:hAnsi="Cambria" w:cs="Times New Roman"/>
                <w:b/>
                <w:bCs/>
                <w:color w:val="000000"/>
                <w:sz w:val="20"/>
                <w:szCs w:val="20"/>
                <w:u w:val="single"/>
                <w:lang w:eastAsia="en-US"/>
              </w:rPr>
              <w:t>Portfolio G-fees</w:t>
            </w:r>
          </w:p>
        </w:tc>
        <w:tc>
          <w:tcPr>
            <w:tcW w:w="2083"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mbria" w:eastAsia="Times New Roman" w:hAnsi="Cambria" w:cs="Times New Roman"/>
                <w:b/>
                <w:bCs/>
                <w:color w:val="000000"/>
                <w:sz w:val="20"/>
                <w:szCs w:val="20"/>
                <w:u w:val="single"/>
                <w:lang w:eastAsia="en-US"/>
              </w:rPr>
            </w:pPr>
            <w:r w:rsidRPr="0094250B">
              <w:rPr>
                <w:rFonts w:ascii="Cambria" w:eastAsia="Times New Roman" w:hAnsi="Cambria" w:cs="Times New Roman"/>
                <w:b/>
                <w:bCs/>
                <w:color w:val="000000"/>
                <w:sz w:val="20"/>
                <w:szCs w:val="20"/>
                <w:u w:val="single"/>
                <w:lang w:eastAsia="en-US"/>
              </w:rPr>
              <w:t>Multi - Book Losses</w:t>
            </w:r>
          </w:p>
        </w:tc>
        <w:tc>
          <w:tcPr>
            <w:tcW w:w="1738"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mbria" w:eastAsia="Times New Roman" w:hAnsi="Cambria" w:cs="Times New Roman"/>
                <w:b/>
                <w:bCs/>
                <w:color w:val="000000"/>
                <w:sz w:val="20"/>
                <w:szCs w:val="20"/>
                <w:u w:val="single"/>
                <w:lang w:eastAsia="en-US"/>
              </w:rPr>
            </w:pPr>
            <w:r w:rsidRPr="0094250B">
              <w:rPr>
                <w:rFonts w:ascii="Cambria" w:eastAsia="Times New Roman" w:hAnsi="Cambria" w:cs="Times New Roman"/>
                <w:b/>
                <w:bCs/>
                <w:color w:val="000000"/>
                <w:sz w:val="20"/>
                <w:szCs w:val="20"/>
                <w:u w:val="single"/>
                <w:lang w:eastAsia="en-US"/>
              </w:rPr>
              <w:t>Portfolio Losses</w:t>
            </w:r>
          </w:p>
        </w:tc>
        <w:tc>
          <w:tcPr>
            <w:tcW w:w="1021" w:type="dxa"/>
            <w:tcBorders>
              <w:top w:val="nil"/>
              <w:left w:val="nil"/>
              <w:bottom w:val="nil"/>
              <w:right w:val="single" w:sz="8" w:space="0" w:color="auto"/>
            </w:tcBorders>
            <w:shd w:val="clear" w:color="auto" w:fill="auto"/>
            <w:noWrap/>
            <w:vAlign w:val="bottom"/>
            <w:hideMark/>
          </w:tcPr>
          <w:p w:rsidR="0094250B" w:rsidRPr="0094250B" w:rsidRDefault="0094250B" w:rsidP="0094250B">
            <w:pPr>
              <w:spacing w:after="0"/>
              <w:jc w:val="center"/>
              <w:rPr>
                <w:rFonts w:ascii="Cambria" w:eastAsia="Times New Roman" w:hAnsi="Cambria" w:cs="Times New Roman"/>
                <w:b/>
                <w:bCs/>
                <w:color w:val="000000"/>
                <w:sz w:val="20"/>
                <w:szCs w:val="20"/>
                <w:u w:val="single"/>
                <w:lang w:eastAsia="en-US"/>
              </w:rPr>
            </w:pPr>
            <w:r w:rsidRPr="0094250B">
              <w:rPr>
                <w:rFonts w:ascii="Cambria" w:eastAsia="Times New Roman" w:hAnsi="Cambria" w:cs="Times New Roman"/>
                <w:b/>
                <w:bCs/>
                <w:color w:val="000000"/>
                <w:sz w:val="20"/>
                <w:szCs w:val="20"/>
                <w:u w:val="single"/>
                <w:lang w:eastAsia="en-US"/>
              </w:rPr>
              <w:t>Used</w:t>
            </w:r>
          </w:p>
        </w:tc>
      </w:tr>
      <w:tr w:rsidR="0094250B" w:rsidRPr="0094250B" w:rsidTr="0094250B">
        <w:trPr>
          <w:trHeight w:val="300"/>
        </w:trPr>
        <w:tc>
          <w:tcPr>
            <w:tcW w:w="1617" w:type="dxa"/>
            <w:tcBorders>
              <w:top w:val="nil"/>
              <w:left w:val="single" w:sz="8" w:space="0" w:color="auto"/>
              <w:bottom w:val="nil"/>
              <w:right w:val="nil"/>
            </w:tcBorders>
            <w:shd w:val="clear" w:color="auto" w:fill="auto"/>
            <w:noWrap/>
            <w:vAlign w:val="bottom"/>
            <w:hideMark/>
          </w:tcPr>
          <w:p w:rsidR="0094250B" w:rsidRPr="0094250B" w:rsidRDefault="0094250B" w:rsidP="0094250B">
            <w:pPr>
              <w:spacing w:after="0"/>
              <w:rPr>
                <w:rFonts w:ascii="Cambria" w:eastAsia="Times New Roman" w:hAnsi="Cambria" w:cs="Times New Roman"/>
                <w:color w:val="000000"/>
                <w:sz w:val="20"/>
                <w:szCs w:val="20"/>
                <w:lang w:eastAsia="en-US"/>
              </w:rPr>
            </w:pPr>
            <w:r w:rsidRPr="0094250B">
              <w:rPr>
                <w:rFonts w:ascii="Cambria" w:eastAsia="Times New Roman" w:hAnsi="Cambria" w:cs="Times New Roman"/>
                <w:color w:val="000000"/>
                <w:sz w:val="20"/>
                <w:szCs w:val="20"/>
                <w:lang w:eastAsia="en-US"/>
              </w:rPr>
              <w:t> </w:t>
            </w:r>
          </w:p>
        </w:tc>
        <w:tc>
          <w:tcPr>
            <w:tcW w:w="1721" w:type="dxa"/>
            <w:tcBorders>
              <w:top w:val="nil"/>
              <w:left w:val="nil"/>
              <w:bottom w:val="nil"/>
              <w:right w:val="nil"/>
            </w:tcBorders>
            <w:shd w:val="clear" w:color="auto" w:fill="auto"/>
            <w:noWrap/>
            <w:vAlign w:val="bottom"/>
            <w:hideMark/>
          </w:tcPr>
          <w:p w:rsidR="0094250B" w:rsidRPr="0094250B" w:rsidRDefault="0094250B" w:rsidP="0094250B">
            <w:pPr>
              <w:spacing w:after="0"/>
              <w:rPr>
                <w:rFonts w:ascii="Cambria" w:eastAsia="Times New Roman" w:hAnsi="Cambria" w:cs="Times New Roman"/>
                <w:color w:val="000000"/>
                <w:sz w:val="20"/>
                <w:szCs w:val="20"/>
                <w:lang w:eastAsia="en-US"/>
              </w:rPr>
            </w:pPr>
          </w:p>
        </w:tc>
        <w:tc>
          <w:tcPr>
            <w:tcW w:w="2083" w:type="dxa"/>
            <w:tcBorders>
              <w:top w:val="nil"/>
              <w:left w:val="nil"/>
              <w:bottom w:val="nil"/>
              <w:right w:val="nil"/>
            </w:tcBorders>
            <w:shd w:val="clear" w:color="auto" w:fill="auto"/>
            <w:noWrap/>
            <w:vAlign w:val="bottom"/>
            <w:hideMark/>
          </w:tcPr>
          <w:p w:rsidR="0094250B" w:rsidRPr="0094250B" w:rsidRDefault="0094250B" w:rsidP="0094250B">
            <w:pPr>
              <w:spacing w:after="0"/>
              <w:rPr>
                <w:rFonts w:ascii="Cambria" w:eastAsia="Times New Roman" w:hAnsi="Cambria" w:cs="Times New Roman"/>
                <w:color w:val="000000"/>
                <w:sz w:val="20"/>
                <w:szCs w:val="20"/>
                <w:lang w:eastAsia="en-US"/>
              </w:rPr>
            </w:pPr>
          </w:p>
        </w:tc>
        <w:tc>
          <w:tcPr>
            <w:tcW w:w="1738" w:type="dxa"/>
            <w:tcBorders>
              <w:top w:val="nil"/>
              <w:left w:val="nil"/>
              <w:bottom w:val="nil"/>
              <w:right w:val="nil"/>
            </w:tcBorders>
            <w:shd w:val="clear" w:color="auto" w:fill="auto"/>
            <w:noWrap/>
            <w:vAlign w:val="bottom"/>
            <w:hideMark/>
          </w:tcPr>
          <w:p w:rsidR="0094250B" w:rsidRPr="0094250B" w:rsidRDefault="0094250B" w:rsidP="0094250B">
            <w:pPr>
              <w:spacing w:after="0"/>
              <w:rPr>
                <w:rFonts w:ascii="Cambria" w:eastAsia="Times New Roman" w:hAnsi="Cambria" w:cs="Times New Roman"/>
                <w:color w:val="000000"/>
                <w:sz w:val="20"/>
                <w:szCs w:val="20"/>
                <w:lang w:eastAsia="en-US"/>
              </w:rPr>
            </w:pPr>
          </w:p>
        </w:tc>
        <w:tc>
          <w:tcPr>
            <w:tcW w:w="1021" w:type="dxa"/>
            <w:tcBorders>
              <w:top w:val="nil"/>
              <w:left w:val="nil"/>
              <w:bottom w:val="nil"/>
              <w:right w:val="single" w:sz="8" w:space="0" w:color="auto"/>
            </w:tcBorders>
            <w:shd w:val="clear" w:color="auto" w:fill="auto"/>
            <w:noWrap/>
            <w:vAlign w:val="bottom"/>
            <w:hideMark/>
          </w:tcPr>
          <w:p w:rsidR="0094250B" w:rsidRPr="0094250B" w:rsidRDefault="0094250B" w:rsidP="0094250B">
            <w:pPr>
              <w:spacing w:after="0"/>
              <w:rPr>
                <w:rFonts w:ascii="Cambria" w:eastAsia="Times New Roman" w:hAnsi="Cambria" w:cs="Times New Roman"/>
                <w:color w:val="000000"/>
                <w:sz w:val="20"/>
                <w:szCs w:val="20"/>
                <w:lang w:eastAsia="en-US"/>
              </w:rPr>
            </w:pPr>
            <w:r w:rsidRPr="0094250B">
              <w:rPr>
                <w:rFonts w:ascii="Cambria" w:eastAsia="Times New Roman" w:hAnsi="Cambria" w:cs="Times New Roman"/>
                <w:color w:val="000000"/>
                <w:sz w:val="20"/>
                <w:szCs w:val="20"/>
                <w:lang w:eastAsia="en-US"/>
              </w:rPr>
              <w:t> </w:t>
            </w:r>
          </w:p>
        </w:tc>
      </w:tr>
      <w:tr w:rsidR="0094250B" w:rsidRPr="0094250B" w:rsidTr="0094250B">
        <w:trPr>
          <w:trHeight w:val="300"/>
        </w:trPr>
        <w:tc>
          <w:tcPr>
            <w:tcW w:w="1617" w:type="dxa"/>
            <w:tcBorders>
              <w:top w:val="nil"/>
              <w:left w:val="single" w:sz="8" w:space="0" w:color="auto"/>
              <w:bottom w:val="nil"/>
              <w:right w:val="nil"/>
            </w:tcBorders>
            <w:shd w:val="clear" w:color="auto" w:fill="auto"/>
            <w:noWrap/>
            <w:vAlign w:val="bottom"/>
            <w:hideMark/>
          </w:tcPr>
          <w:p w:rsidR="0094250B" w:rsidRPr="0094250B" w:rsidRDefault="0094250B" w:rsidP="0094250B">
            <w:pPr>
              <w:spacing w:after="0"/>
              <w:rPr>
                <w:rFonts w:ascii="Cambria" w:eastAsia="Times New Roman" w:hAnsi="Cambria" w:cs="Times New Roman"/>
                <w:b/>
                <w:bCs/>
                <w:color w:val="000000"/>
                <w:sz w:val="20"/>
                <w:szCs w:val="20"/>
                <w:lang w:eastAsia="en-US"/>
              </w:rPr>
            </w:pPr>
            <w:r w:rsidRPr="0094250B">
              <w:rPr>
                <w:rFonts w:ascii="Cambria" w:eastAsia="Times New Roman" w:hAnsi="Cambria" w:cs="Times New Roman"/>
                <w:b/>
                <w:bCs/>
                <w:color w:val="000000"/>
                <w:sz w:val="20"/>
                <w:szCs w:val="20"/>
                <w:lang w:eastAsia="en-US"/>
              </w:rPr>
              <w:t>&lt;=60</w:t>
            </w:r>
          </w:p>
        </w:tc>
        <w:tc>
          <w:tcPr>
            <w:tcW w:w="1721"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mbria" w:eastAsia="Times New Roman" w:hAnsi="Cambria" w:cs="Times New Roman"/>
                <w:color w:val="000000"/>
                <w:sz w:val="20"/>
                <w:szCs w:val="20"/>
                <w:lang w:eastAsia="en-US"/>
              </w:rPr>
            </w:pPr>
            <w:r w:rsidRPr="0094250B">
              <w:rPr>
                <w:rFonts w:ascii="Cambria" w:eastAsia="Times New Roman" w:hAnsi="Cambria" w:cs="Times New Roman"/>
                <w:color w:val="000000"/>
                <w:sz w:val="20"/>
                <w:szCs w:val="20"/>
                <w:lang w:eastAsia="en-US"/>
              </w:rPr>
              <w:t>1.08%</w:t>
            </w:r>
          </w:p>
        </w:tc>
        <w:tc>
          <w:tcPr>
            <w:tcW w:w="2083"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mbria" w:eastAsia="Times New Roman" w:hAnsi="Cambria" w:cs="Times New Roman"/>
                <w:color w:val="000000"/>
                <w:sz w:val="20"/>
                <w:szCs w:val="20"/>
                <w:lang w:eastAsia="en-US"/>
              </w:rPr>
            </w:pPr>
            <w:r w:rsidRPr="0094250B">
              <w:rPr>
                <w:rFonts w:ascii="Cambria" w:eastAsia="Times New Roman" w:hAnsi="Cambria" w:cs="Times New Roman"/>
                <w:color w:val="000000"/>
                <w:sz w:val="20"/>
                <w:szCs w:val="20"/>
                <w:lang w:eastAsia="en-US"/>
              </w:rPr>
              <w:t>0.46%</w:t>
            </w:r>
          </w:p>
        </w:tc>
        <w:tc>
          <w:tcPr>
            <w:tcW w:w="1738"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mbria" w:eastAsia="Times New Roman" w:hAnsi="Cambria" w:cs="Times New Roman"/>
                <w:color w:val="000000"/>
                <w:sz w:val="20"/>
                <w:szCs w:val="20"/>
                <w:lang w:eastAsia="en-US"/>
              </w:rPr>
            </w:pPr>
            <w:r w:rsidRPr="0094250B">
              <w:rPr>
                <w:rFonts w:ascii="Cambria" w:eastAsia="Times New Roman" w:hAnsi="Cambria" w:cs="Times New Roman"/>
                <w:color w:val="000000"/>
                <w:sz w:val="20"/>
                <w:szCs w:val="20"/>
                <w:lang w:eastAsia="en-US"/>
              </w:rPr>
              <w:t>2.33</w:t>
            </w:r>
          </w:p>
        </w:tc>
        <w:tc>
          <w:tcPr>
            <w:tcW w:w="1021" w:type="dxa"/>
            <w:tcBorders>
              <w:top w:val="nil"/>
              <w:left w:val="nil"/>
              <w:bottom w:val="nil"/>
              <w:right w:val="single" w:sz="8" w:space="0" w:color="auto"/>
            </w:tcBorders>
            <w:shd w:val="clear" w:color="auto" w:fill="auto"/>
            <w:noWrap/>
            <w:vAlign w:val="bottom"/>
            <w:hideMark/>
          </w:tcPr>
          <w:p w:rsidR="0094250B" w:rsidRPr="0094250B" w:rsidRDefault="0094250B" w:rsidP="0094250B">
            <w:pPr>
              <w:spacing w:after="0"/>
              <w:jc w:val="center"/>
              <w:rPr>
                <w:rFonts w:ascii="Cambria" w:eastAsia="Times New Roman" w:hAnsi="Cambria" w:cs="Times New Roman"/>
                <w:color w:val="000000"/>
                <w:sz w:val="20"/>
                <w:szCs w:val="20"/>
                <w:lang w:eastAsia="en-US"/>
              </w:rPr>
            </w:pPr>
            <w:r w:rsidRPr="0094250B">
              <w:rPr>
                <w:rFonts w:ascii="Cambria" w:eastAsia="Times New Roman" w:hAnsi="Cambria" w:cs="Times New Roman"/>
                <w:color w:val="000000"/>
                <w:sz w:val="20"/>
                <w:szCs w:val="20"/>
                <w:lang w:eastAsia="en-US"/>
              </w:rPr>
              <w:t>43.00%</w:t>
            </w:r>
          </w:p>
        </w:tc>
      </w:tr>
      <w:tr w:rsidR="0094250B" w:rsidRPr="0094250B" w:rsidTr="0094250B">
        <w:trPr>
          <w:trHeight w:val="300"/>
        </w:trPr>
        <w:tc>
          <w:tcPr>
            <w:tcW w:w="1617" w:type="dxa"/>
            <w:tcBorders>
              <w:top w:val="nil"/>
              <w:left w:val="single" w:sz="8" w:space="0" w:color="auto"/>
              <w:bottom w:val="nil"/>
              <w:right w:val="nil"/>
            </w:tcBorders>
            <w:shd w:val="clear" w:color="auto" w:fill="auto"/>
            <w:noWrap/>
            <w:vAlign w:val="bottom"/>
            <w:hideMark/>
          </w:tcPr>
          <w:p w:rsidR="0094250B" w:rsidRPr="0094250B" w:rsidRDefault="0094250B" w:rsidP="0094250B">
            <w:pPr>
              <w:spacing w:after="0"/>
              <w:rPr>
                <w:rFonts w:ascii="Cambria" w:eastAsia="Times New Roman" w:hAnsi="Cambria" w:cs="Times New Roman"/>
                <w:b/>
                <w:bCs/>
                <w:color w:val="000000"/>
                <w:sz w:val="20"/>
                <w:szCs w:val="20"/>
                <w:lang w:eastAsia="en-US"/>
              </w:rPr>
            </w:pPr>
            <w:r w:rsidRPr="0094250B">
              <w:rPr>
                <w:rFonts w:ascii="Cambria" w:eastAsia="Times New Roman" w:hAnsi="Cambria" w:cs="Times New Roman"/>
                <w:b/>
                <w:bCs/>
                <w:color w:val="000000"/>
                <w:sz w:val="20"/>
                <w:szCs w:val="20"/>
                <w:lang w:eastAsia="en-US"/>
              </w:rPr>
              <w:t>60.01-70</w:t>
            </w:r>
          </w:p>
        </w:tc>
        <w:tc>
          <w:tcPr>
            <w:tcW w:w="1721"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mbria" w:eastAsia="Times New Roman" w:hAnsi="Cambria" w:cs="Times New Roman"/>
                <w:color w:val="000000"/>
                <w:sz w:val="20"/>
                <w:szCs w:val="20"/>
                <w:lang w:eastAsia="en-US"/>
              </w:rPr>
            </w:pPr>
            <w:r w:rsidRPr="0094250B">
              <w:rPr>
                <w:rFonts w:ascii="Cambria" w:eastAsia="Times New Roman" w:hAnsi="Cambria" w:cs="Times New Roman"/>
                <w:color w:val="000000"/>
                <w:sz w:val="20"/>
                <w:szCs w:val="20"/>
                <w:lang w:eastAsia="en-US"/>
              </w:rPr>
              <w:t>1.62%</w:t>
            </w:r>
          </w:p>
        </w:tc>
        <w:tc>
          <w:tcPr>
            <w:tcW w:w="2083"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mbria" w:eastAsia="Times New Roman" w:hAnsi="Cambria" w:cs="Times New Roman"/>
                <w:color w:val="000000"/>
                <w:sz w:val="20"/>
                <w:szCs w:val="20"/>
                <w:lang w:eastAsia="en-US"/>
              </w:rPr>
            </w:pPr>
            <w:r w:rsidRPr="0094250B">
              <w:rPr>
                <w:rFonts w:ascii="Cambria" w:eastAsia="Times New Roman" w:hAnsi="Cambria" w:cs="Times New Roman"/>
                <w:color w:val="000000"/>
                <w:sz w:val="20"/>
                <w:szCs w:val="20"/>
                <w:lang w:eastAsia="en-US"/>
              </w:rPr>
              <w:t>0.74%</w:t>
            </w:r>
          </w:p>
        </w:tc>
        <w:tc>
          <w:tcPr>
            <w:tcW w:w="1738"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mbria" w:eastAsia="Times New Roman" w:hAnsi="Cambria" w:cs="Times New Roman"/>
                <w:color w:val="000000"/>
                <w:sz w:val="20"/>
                <w:szCs w:val="20"/>
                <w:lang w:eastAsia="en-US"/>
              </w:rPr>
            </w:pPr>
            <w:r w:rsidRPr="0094250B">
              <w:rPr>
                <w:rFonts w:ascii="Cambria" w:eastAsia="Times New Roman" w:hAnsi="Cambria" w:cs="Times New Roman"/>
                <w:color w:val="000000"/>
                <w:sz w:val="20"/>
                <w:szCs w:val="20"/>
                <w:lang w:eastAsia="en-US"/>
              </w:rPr>
              <w:t>2.18</w:t>
            </w:r>
          </w:p>
        </w:tc>
        <w:tc>
          <w:tcPr>
            <w:tcW w:w="1021" w:type="dxa"/>
            <w:tcBorders>
              <w:top w:val="nil"/>
              <w:left w:val="nil"/>
              <w:bottom w:val="nil"/>
              <w:right w:val="single" w:sz="8" w:space="0" w:color="auto"/>
            </w:tcBorders>
            <w:shd w:val="clear" w:color="auto" w:fill="auto"/>
            <w:noWrap/>
            <w:vAlign w:val="bottom"/>
            <w:hideMark/>
          </w:tcPr>
          <w:p w:rsidR="0094250B" w:rsidRPr="0094250B" w:rsidRDefault="0094250B" w:rsidP="0094250B">
            <w:pPr>
              <w:spacing w:after="0"/>
              <w:jc w:val="center"/>
              <w:rPr>
                <w:rFonts w:ascii="Cambria" w:eastAsia="Times New Roman" w:hAnsi="Cambria" w:cs="Times New Roman"/>
                <w:color w:val="000000"/>
                <w:sz w:val="20"/>
                <w:szCs w:val="20"/>
                <w:lang w:eastAsia="en-US"/>
              </w:rPr>
            </w:pPr>
            <w:r w:rsidRPr="0094250B">
              <w:rPr>
                <w:rFonts w:ascii="Cambria" w:eastAsia="Times New Roman" w:hAnsi="Cambria" w:cs="Times New Roman"/>
                <w:color w:val="000000"/>
                <w:sz w:val="20"/>
                <w:szCs w:val="20"/>
                <w:lang w:eastAsia="en-US"/>
              </w:rPr>
              <w:t>45.80%</w:t>
            </w:r>
          </w:p>
        </w:tc>
      </w:tr>
      <w:tr w:rsidR="0094250B" w:rsidRPr="0094250B" w:rsidTr="0094250B">
        <w:trPr>
          <w:trHeight w:val="300"/>
        </w:trPr>
        <w:tc>
          <w:tcPr>
            <w:tcW w:w="1617" w:type="dxa"/>
            <w:tcBorders>
              <w:top w:val="nil"/>
              <w:left w:val="single" w:sz="8" w:space="0" w:color="auto"/>
              <w:bottom w:val="nil"/>
              <w:right w:val="nil"/>
            </w:tcBorders>
            <w:shd w:val="clear" w:color="auto" w:fill="auto"/>
            <w:noWrap/>
            <w:vAlign w:val="bottom"/>
            <w:hideMark/>
          </w:tcPr>
          <w:p w:rsidR="0094250B" w:rsidRPr="0094250B" w:rsidRDefault="0094250B" w:rsidP="0094250B">
            <w:pPr>
              <w:spacing w:after="0"/>
              <w:rPr>
                <w:rFonts w:ascii="Cambria" w:eastAsia="Times New Roman" w:hAnsi="Cambria" w:cs="Times New Roman"/>
                <w:b/>
                <w:bCs/>
                <w:color w:val="000000"/>
                <w:sz w:val="20"/>
                <w:szCs w:val="20"/>
                <w:lang w:eastAsia="en-US"/>
              </w:rPr>
            </w:pPr>
            <w:r w:rsidRPr="0094250B">
              <w:rPr>
                <w:rFonts w:ascii="Cambria" w:eastAsia="Times New Roman" w:hAnsi="Cambria" w:cs="Times New Roman"/>
                <w:b/>
                <w:bCs/>
                <w:color w:val="000000"/>
                <w:sz w:val="20"/>
                <w:szCs w:val="20"/>
                <w:lang w:eastAsia="en-US"/>
              </w:rPr>
              <w:t>70.01-75</w:t>
            </w:r>
          </w:p>
        </w:tc>
        <w:tc>
          <w:tcPr>
            <w:tcW w:w="1721"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mbria" w:eastAsia="Times New Roman" w:hAnsi="Cambria" w:cs="Times New Roman"/>
                <w:color w:val="000000"/>
                <w:sz w:val="20"/>
                <w:szCs w:val="20"/>
                <w:lang w:eastAsia="en-US"/>
              </w:rPr>
            </w:pPr>
            <w:r w:rsidRPr="0094250B">
              <w:rPr>
                <w:rFonts w:ascii="Cambria" w:eastAsia="Times New Roman" w:hAnsi="Cambria" w:cs="Times New Roman"/>
                <w:color w:val="000000"/>
                <w:sz w:val="20"/>
                <w:szCs w:val="20"/>
                <w:lang w:eastAsia="en-US"/>
              </w:rPr>
              <w:t>2.28%</w:t>
            </w:r>
          </w:p>
        </w:tc>
        <w:tc>
          <w:tcPr>
            <w:tcW w:w="2083"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mbria" w:eastAsia="Times New Roman" w:hAnsi="Cambria" w:cs="Times New Roman"/>
                <w:color w:val="000000"/>
                <w:sz w:val="20"/>
                <w:szCs w:val="20"/>
                <w:lang w:eastAsia="en-US"/>
              </w:rPr>
            </w:pPr>
            <w:r w:rsidRPr="0094250B">
              <w:rPr>
                <w:rFonts w:ascii="Cambria" w:eastAsia="Times New Roman" w:hAnsi="Cambria" w:cs="Times New Roman"/>
                <w:color w:val="000000"/>
                <w:sz w:val="20"/>
                <w:szCs w:val="20"/>
                <w:lang w:eastAsia="en-US"/>
              </w:rPr>
              <w:t>1.07%</w:t>
            </w:r>
          </w:p>
        </w:tc>
        <w:tc>
          <w:tcPr>
            <w:tcW w:w="1738"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mbria" w:eastAsia="Times New Roman" w:hAnsi="Cambria" w:cs="Times New Roman"/>
                <w:color w:val="000000"/>
                <w:sz w:val="20"/>
                <w:szCs w:val="20"/>
                <w:lang w:eastAsia="en-US"/>
              </w:rPr>
            </w:pPr>
            <w:r w:rsidRPr="0094250B">
              <w:rPr>
                <w:rFonts w:ascii="Cambria" w:eastAsia="Times New Roman" w:hAnsi="Cambria" w:cs="Times New Roman"/>
                <w:color w:val="000000"/>
                <w:sz w:val="20"/>
                <w:szCs w:val="20"/>
                <w:lang w:eastAsia="en-US"/>
              </w:rPr>
              <w:t>2.14</w:t>
            </w:r>
          </w:p>
        </w:tc>
        <w:tc>
          <w:tcPr>
            <w:tcW w:w="1021" w:type="dxa"/>
            <w:tcBorders>
              <w:top w:val="nil"/>
              <w:left w:val="nil"/>
              <w:bottom w:val="nil"/>
              <w:right w:val="single" w:sz="8" w:space="0" w:color="auto"/>
            </w:tcBorders>
            <w:shd w:val="clear" w:color="auto" w:fill="auto"/>
            <w:noWrap/>
            <w:vAlign w:val="bottom"/>
            <w:hideMark/>
          </w:tcPr>
          <w:p w:rsidR="0094250B" w:rsidRPr="0094250B" w:rsidRDefault="0094250B" w:rsidP="0094250B">
            <w:pPr>
              <w:spacing w:after="0"/>
              <w:jc w:val="center"/>
              <w:rPr>
                <w:rFonts w:ascii="Cambria" w:eastAsia="Times New Roman" w:hAnsi="Cambria" w:cs="Times New Roman"/>
                <w:color w:val="000000"/>
                <w:sz w:val="20"/>
                <w:szCs w:val="20"/>
                <w:lang w:eastAsia="en-US"/>
              </w:rPr>
            </w:pPr>
            <w:r w:rsidRPr="0094250B">
              <w:rPr>
                <w:rFonts w:ascii="Cambria" w:eastAsia="Times New Roman" w:hAnsi="Cambria" w:cs="Times New Roman"/>
                <w:color w:val="000000"/>
                <w:sz w:val="20"/>
                <w:szCs w:val="20"/>
                <w:lang w:eastAsia="en-US"/>
              </w:rPr>
              <w:t>46.80%</w:t>
            </w:r>
          </w:p>
        </w:tc>
      </w:tr>
      <w:tr w:rsidR="0094250B" w:rsidRPr="0094250B" w:rsidTr="0094250B">
        <w:trPr>
          <w:trHeight w:val="300"/>
        </w:trPr>
        <w:tc>
          <w:tcPr>
            <w:tcW w:w="1617" w:type="dxa"/>
            <w:tcBorders>
              <w:top w:val="nil"/>
              <w:left w:val="single" w:sz="8" w:space="0" w:color="auto"/>
              <w:bottom w:val="nil"/>
              <w:right w:val="nil"/>
            </w:tcBorders>
            <w:shd w:val="clear" w:color="auto" w:fill="auto"/>
            <w:noWrap/>
            <w:vAlign w:val="bottom"/>
            <w:hideMark/>
          </w:tcPr>
          <w:p w:rsidR="0094250B" w:rsidRPr="0094250B" w:rsidRDefault="0094250B" w:rsidP="0094250B">
            <w:pPr>
              <w:spacing w:after="0"/>
              <w:rPr>
                <w:rFonts w:ascii="Cambria" w:eastAsia="Times New Roman" w:hAnsi="Cambria" w:cs="Times New Roman"/>
                <w:b/>
                <w:bCs/>
                <w:color w:val="000000"/>
                <w:sz w:val="20"/>
                <w:szCs w:val="20"/>
                <w:lang w:eastAsia="en-US"/>
              </w:rPr>
            </w:pPr>
            <w:r w:rsidRPr="0094250B">
              <w:rPr>
                <w:rFonts w:ascii="Cambria" w:eastAsia="Times New Roman" w:hAnsi="Cambria" w:cs="Times New Roman"/>
                <w:b/>
                <w:bCs/>
                <w:color w:val="000000"/>
                <w:sz w:val="20"/>
                <w:szCs w:val="20"/>
                <w:lang w:eastAsia="en-US"/>
              </w:rPr>
              <w:t>75.01-80</w:t>
            </w:r>
          </w:p>
        </w:tc>
        <w:tc>
          <w:tcPr>
            <w:tcW w:w="1721"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mbria" w:eastAsia="Times New Roman" w:hAnsi="Cambria" w:cs="Times New Roman"/>
                <w:color w:val="000000"/>
                <w:sz w:val="20"/>
                <w:szCs w:val="20"/>
                <w:lang w:eastAsia="en-US"/>
              </w:rPr>
            </w:pPr>
            <w:r w:rsidRPr="0094250B">
              <w:rPr>
                <w:rFonts w:ascii="Cambria" w:eastAsia="Times New Roman" w:hAnsi="Cambria" w:cs="Times New Roman"/>
                <w:color w:val="000000"/>
                <w:sz w:val="20"/>
                <w:szCs w:val="20"/>
                <w:lang w:eastAsia="en-US"/>
              </w:rPr>
              <w:t>3.37%</w:t>
            </w:r>
          </w:p>
        </w:tc>
        <w:tc>
          <w:tcPr>
            <w:tcW w:w="2083"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mbria" w:eastAsia="Times New Roman" w:hAnsi="Cambria" w:cs="Times New Roman"/>
                <w:color w:val="000000"/>
                <w:sz w:val="20"/>
                <w:szCs w:val="20"/>
                <w:lang w:eastAsia="en-US"/>
              </w:rPr>
            </w:pPr>
            <w:r w:rsidRPr="0094250B">
              <w:rPr>
                <w:rFonts w:ascii="Cambria" w:eastAsia="Times New Roman" w:hAnsi="Cambria" w:cs="Times New Roman"/>
                <w:color w:val="000000"/>
                <w:sz w:val="20"/>
                <w:szCs w:val="20"/>
                <w:lang w:eastAsia="en-US"/>
              </w:rPr>
              <w:t>1.83%</w:t>
            </w:r>
          </w:p>
        </w:tc>
        <w:tc>
          <w:tcPr>
            <w:tcW w:w="1738"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mbria" w:eastAsia="Times New Roman" w:hAnsi="Cambria" w:cs="Times New Roman"/>
                <w:color w:val="000000"/>
                <w:sz w:val="20"/>
                <w:szCs w:val="20"/>
                <w:lang w:eastAsia="en-US"/>
              </w:rPr>
            </w:pPr>
            <w:r w:rsidRPr="0094250B">
              <w:rPr>
                <w:rFonts w:ascii="Cambria" w:eastAsia="Times New Roman" w:hAnsi="Cambria" w:cs="Times New Roman"/>
                <w:color w:val="000000"/>
                <w:sz w:val="20"/>
                <w:szCs w:val="20"/>
                <w:lang w:eastAsia="en-US"/>
              </w:rPr>
              <w:t>1.85</w:t>
            </w:r>
          </w:p>
        </w:tc>
        <w:tc>
          <w:tcPr>
            <w:tcW w:w="1021" w:type="dxa"/>
            <w:tcBorders>
              <w:top w:val="nil"/>
              <w:left w:val="nil"/>
              <w:bottom w:val="nil"/>
              <w:right w:val="single" w:sz="8" w:space="0" w:color="auto"/>
            </w:tcBorders>
            <w:shd w:val="clear" w:color="auto" w:fill="auto"/>
            <w:noWrap/>
            <w:vAlign w:val="bottom"/>
            <w:hideMark/>
          </w:tcPr>
          <w:p w:rsidR="0094250B" w:rsidRPr="0094250B" w:rsidRDefault="0094250B" w:rsidP="0094250B">
            <w:pPr>
              <w:spacing w:after="0"/>
              <w:jc w:val="center"/>
              <w:rPr>
                <w:rFonts w:ascii="Cambria" w:eastAsia="Times New Roman" w:hAnsi="Cambria" w:cs="Times New Roman"/>
                <w:color w:val="000000"/>
                <w:sz w:val="20"/>
                <w:szCs w:val="20"/>
                <w:lang w:eastAsia="en-US"/>
              </w:rPr>
            </w:pPr>
            <w:r w:rsidRPr="0094250B">
              <w:rPr>
                <w:rFonts w:ascii="Cambria" w:eastAsia="Times New Roman" w:hAnsi="Cambria" w:cs="Times New Roman"/>
                <w:color w:val="000000"/>
                <w:sz w:val="20"/>
                <w:szCs w:val="20"/>
                <w:lang w:eastAsia="en-US"/>
              </w:rPr>
              <w:t>54.10%</w:t>
            </w:r>
          </w:p>
        </w:tc>
      </w:tr>
      <w:tr w:rsidR="0094250B" w:rsidRPr="0094250B" w:rsidTr="0094250B">
        <w:trPr>
          <w:trHeight w:val="300"/>
        </w:trPr>
        <w:tc>
          <w:tcPr>
            <w:tcW w:w="1617" w:type="dxa"/>
            <w:tcBorders>
              <w:top w:val="nil"/>
              <w:left w:val="single" w:sz="8" w:space="0" w:color="auto"/>
              <w:bottom w:val="nil"/>
              <w:right w:val="nil"/>
            </w:tcBorders>
            <w:shd w:val="clear" w:color="auto" w:fill="auto"/>
            <w:noWrap/>
            <w:vAlign w:val="bottom"/>
            <w:hideMark/>
          </w:tcPr>
          <w:p w:rsidR="0094250B" w:rsidRPr="0094250B" w:rsidRDefault="0094250B" w:rsidP="0094250B">
            <w:pPr>
              <w:spacing w:after="0"/>
              <w:rPr>
                <w:rFonts w:ascii="Cambria" w:eastAsia="Times New Roman" w:hAnsi="Cambria" w:cs="Times New Roman"/>
                <w:b/>
                <w:bCs/>
                <w:color w:val="000000"/>
                <w:sz w:val="20"/>
                <w:szCs w:val="20"/>
                <w:lang w:eastAsia="en-US"/>
              </w:rPr>
            </w:pPr>
            <w:r w:rsidRPr="0094250B">
              <w:rPr>
                <w:rFonts w:ascii="Cambria" w:eastAsia="Times New Roman" w:hAnsi="Cambria" w:cs="Times New Roman"/>
                <w:b/>
                <w:bCs/>
                <w:color w:val="000000"/>
                <w:sz w:val="20"/>
                <w:szCs w:val="20"/>
                <w:lang w:eastAsia="en-US"/>
              </w:rPr>
              <w:t>80.01-85</w:t>
            </w:r>
          </w:p>
        </w:tc>
        <w:tc>
          <w:tcPr>
            <w:tcW w:w="1721"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mbria" w:eastAsia="Times New Roman" w:hAnsi="Cambria" w:cs="Times New Roman"/>
                <w:color w:val="000000"/>
                <w:sz w:val="20"/>
                <w:szCs w:val="20"/>
                <w:lang w:eastAsia="en-US"/>
              </w:rPr>
            </w:pPr>
            <w:r w:rsidRPr="0094250B">
              <w:rPr>
                <w:rFonts w:ascii="Cambria" w:eastAsia="Times New Roman" w:hAnsi="Cambria" w:cs="Times New Roman"/>
                <w:color w:val="000000"/>
                <w:sz w:val="20"/>
                <w:szCs w:val="20"/>
                <w:lang w:eastAsia="en-US"/>
              </w:rPr>
              <w:t>3.28%</w:t>
            </w:r>
          </w:p>
        </w:tc>
        <w:tc>
          <w:tcPr>
            <w:tcW w:w="2083"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mbria" w:eastAsia="Times New Roman" w:hAnsi="Cambria" w:cs="Times New Roman"/>
                <w:color w:val="000000"/>
                <w:sz w:val="20"/>
                <w:szCs w:val="20"/>
                <w:lang w:eastAsia="en-US"/>
              </w:rPr>
            </w:pPr>
            <w:r w:rsidRPr="0094250B">
              <w:rPr>
                <w:rFonts w:ascii="Cambria" w:eastAsia="Times New Roman" w:hAnsi="Cambria" w:cs="Times New Roman"/>
                <w:color w:val="000000"/>
                <w:sz w:val="20"/>
                <w:szCs w:val="20"/>
                <w:lang w:eastAsia="en-US"/>
              </w:rPr>
              <w:t>2.06%</w:t>
            </w:r>
          </w:p>
        </w:tc>
        <w:tc>
          <w:tcPr>
            <w:tcW w:w="1738"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mbria" w:eastAsia="Times New Roman" w:hAnsi="Cambria" w:cs="Times New Roman"/>
                <w:color w:val="000000"/>
                <w:sz w:val="20"/>
                <w:szCs w:val="20"/>
                <w:lang w:eastAsia="en-US"/>
              </w:rPr>
            </w:pPr>
            <w:r w:rsidRPr="0094250B">
              <w:rPr>
                <w:rFonts w:ascii="Cambria" w:eastAsia="Times New Roman" w:hAnsi="Cambria" w:cs="Times New Roman"/>
                <w:color w:val="000000"/>
                <w:sz w:val="20"/>
                <w:szCs w:val="20"/>
                <w:lang w:eastAsia="en-US"/>
              </w:rPr>
              <w:t>1.59</w:t>
            </w:r>
          </w:p>
        </w:tc>
        <w:tc>
          <w:tcPr>
            <w:tcW w:w="1021" w:type="dxa"/>
            <w:tcBorders>
              <w:top w:val="nil"/>
              <w:left w:val="nil"/>
              <w:bottom w:val="nil"/>
              <w:right w:val="single" w:sz="8" w:space="0" w:color="auto"/>
            </w:tcBorders>
            <w:shd w:val="clear" w:color="auto" w:fill="auto"/>
            <w:noWrap/>
            <w:vAlign w:val="bottom"/>
            <w:hideMark/>
          </w:tcPr>
          <w:p w:rsidR="0094250B" w:rsidRPr="0094250B" w:rsidRDefault="0094250B" w:rsidP="0094250B">
            <w:pPr>
              <w:spacing w:after="0"/>
              <w:jc w:val="center"/>
              <w:rPr>
                <w:rFonts w:ascii="Cambria" w:eastAsia="Times New Roman" w:hAnsi="Cambria" w:cs="Times New Roman"/>
                <w:color w:val="000000"/>
                <w:sz w:val="20"/>
                <w:szCs w:val="20"/>
                <w:lang w:eastAsia="en-US"/>
              </w:rPr>
            </w:pPr>
            <w:r w:rsidRPr="0094250B">
              <w:rPr>
                <w:rFonts w:ascii="Cambria" w:eastAsia="Times New Roman" w:hAnsi="Cambria" w:cs="Times New Roman"/>
                <w:color w:val="000000"/>
                <w:sz w:val="20"/>
                <w:szCs w:val="20"/>
                <w:lang w:eastAsia="en-US"/>
              </w:rPr>
              <w:t>62.80%</w:t>
            </w:r>
          </w:p>
        </w:tc>
      </w:tr>
      <w:tr w:rsidR="0094250B" w:rsidRPr="0094250B" w:rsidTr="0094250B">
        <w:trPr>
          <w:trHeight w:val="300"/>
        </w:trPr>
        <w:tc>
          <w:tcPr>
            <w:tcW w:w="1617" w:type="dxa"/>
            <w:tcBorders>
              <w:top w:val="nil"/>
              <w:left w:val="single" w:sz="8" w:space="0" w:color="auto"/>
              <w:bottom w:val="nil"/>
              <w:right w:val="nil"/>
            </w:tcBorders>
            <w:shd w:val="clear" w:color="auto" w:fill="auto"/>
            <w:noWrap/>
            <w:vAlign w:val="bottom"/>
            <w:hideMark/>
          </w:tcPr>
          <w:p w:rsidR="0094250B" w:rsidRPr="0094250B" w:rsidRDefault="0094250B" w:rsidP="0094250B">
            <w:pPr>
              <w:spacing w:after="0"/>
              <w:rPr>
                <w:rFonts w:ascii="Cambria" w:eastAsia="Times New Roman" w:hAnsi="Cambria" w:cs="Times New Roman"/>
                <w:b/>
                <w:bCs/>
                <w:color w:val="000000"/>
                <w:sz w:val="20"/>
                <w:szCs w:val="20"/>
                <w:lang w:eastAsia="en-US"/>
              </w:rPr>
            </w:pPr>
            <w:r w:rsidRPr="0094250B">
              <w:rPr>
                <w:rFonts w:ascii="Cambria" w:eastAsia="Times New Roman" w:hAnsi="Cambria" w:cs="Times New Roman"/>
                <w:b/>
                <w:bCs/>
                <w:color w:val="000000"/>
                <w:sz w:val="20"/>
                <w:szCs w:val="20"/>
                <w:lang w:eastAsia="en-US"/>
              </w:rPr>
              <w:t>85.01-90</w:t>
            </w:r>
          </w:p>
        </w:tc>
        <w:tc>
          <w:tcPr>
            <w:tcW w:w="1721"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mbria" w:eastAsia="Times New Roman" w:hAnsi="Cambria" w:cs="Times New Roman"/>
                <w:color w:val="000000"/>
                <w:sz w:val="20"/>
                <w:szCs w:val="20"/>
                <w:lang w:eastAsia="en-US"/>
              </w:rPr>
            </w:pPr>
            <w:r w:rsidRPr="0094250B">
              <w:rPr>
                <w:rFonts w:ascii="Cambria" w:eastAsia="Times New Roman" w:hAnsi="Cambria" w:cs="Times New Roman"/>
                <w:color w:val="000000"/>
                <w:sz w:val="20"/>
                <w:szCs w:val="20"/>
                <w:lang w:eastAsia="en-US"/>
              </w:rPr>
              <w:t>5.24%</w:t>
            </w:r>
          </w:p>
        </w:tc>
        <w:tc>
          <w:tcPr>
            <w:tcW w:w="2083"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mbria" w:eastAsia="Times New Roman" w:hAnsi="Cambria" w:cs="Times New Roman"/>
                <w:color w:val="000000"/>
                <w:sz w:val="20"/>
                <w:szCs w:val="20"/>
                <w:lang w:eastAsia="en-US"/>
              </w:rPr>
            </w:pPr>
            <w:r w:rsidRPr="0094250B">
              <w:rPr>
                <w:rFonts w:ascii="Cambria" w:eastAsia="Times New Roman" w:hAnsi="Cambria" w:cs="Times New Roman"/>
                <w:color w:val="000000"/>
                <w:sz w:val="20"/>
                <w:szCs w:val="20"/>
                <w:lang w:eastAsia="en-US"/>
              </w:rPr>
              <w:t>2.50%</w:t>
            </w:r>
          </w:p>
        </w:tc>
        <w:tc>
          <w:tcPr>
            <w:tcW w:w="1738"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mbria" w:eastAsia="Times New Roman" w:hAnsi="Cambria" w:cs="Times New Roman"/>
                <w:color w:val="000000"/>
                <w:sz w:val="20"/>
                <w:szCs w:val="20"/>
                <w:lang w:eastAsia="en-US"/>
              </w:rPr>
            </w:pPr>
            <w:r w:rsidRPr="0094250B">
              <w:rPr>
                <w:rFonts w:ascii="Cambria" w:eastAsia="Times New Roman" w:hAnsi="Cambria" w:cs="Times New Roman"/>
                <w:color w:val="000000"/>
                <w:sz w:val="20"/>
                <w:szCs w:val="20"/>
                <w:lang w:eastAsia="en-US"/>
              </w:rPr>
              <w:t>2.1</w:t>
            </w:r>
          </w:p>
        </w:tc>
        <w:tc>
          <w:tcPr>
            <w:tcW w:w="1021" w:type="dxa"/>
            <w:tcBorders>
              <w:top w:val="nil"/>
              <w:left w:val="nil"/>
              <w:bottom w:val="nil"/>
              <w:right w:val="single" w:sz="8" w:space="0" w:color="auto"/>
            </w:tcBorders>
            <w:shd w:val="clear" w:color="auto" w:fill="auto"/>
            <w:noWrap/>
            <w:vAlign w:val="bottom"/>
            <w:hideMark/>
          </w:tcPr>
          <w:p w:rsidR="0094250B" w:rsidRPr="0094250B" w:rsidRDefault="0094250B" w:rsidP="0094250B">
            <w:pPr>
              <w:spacing w:after="0"/>
              <w:jc w:val="center"/>
              <w:rPr>
                <w:rFonts w:ascii="Cambria" w:eastAsia="Times New Roman" w:hAnsi="Cambria" w:cs="Times New Roman"/>
                <w:color w:val="000000"/>
                <w:sz w:val="20"/>
                <w:szCs w:val="20"/>
                <w:lang w:eastAsia="en-US"/>
              </w:rPr>
            </w:pPr>
            <w:r w:rsidRPr="0094250B">
              <w:rPr>
                <w:rFonts w:ascii="Cambria" w:eastAsia="Times New Roman" w:hAnsi="Cambria" w:cs="Times New Roman"/>
                <w:color w:val="000000"/>
                <w:sz w:val="20"/>
                <w:szCs w:val="20"/>
                <w:lang w:eastAsia="en-US"/>
              </w:rPr>
              <w:t>47.60%</w:t>
            </w:r>
          </w:p>
        </w:tc>
      </w:tr>
      <w:tr w:rsidR="0094250B" w:rsidRPr="0094250B" w:rsidTr="0094250B">
        <w:trPr>
          <w:trHeight w:val="300"/>
        </w:trPr>
        <w:tc>
          <w:tcPr>
            <w:tcW w:w="1617" w:type="dxa"/>
            <w:tcBorders>
              <w:top w:val="nil"/>
              <w:left w:val="single" w:sz="8" w:space="0" w:color="auto"/>
              <w:bottom w:val="nil"/>
              <w:right w:val="nil"/>
            </w:tcBorders>
            <w:shd w:val="clear" w:color="auto" w:fill="auto"/>
            <w:noWrap/>
            <w:vAlign w:val="bottom"/>
            <w:hideMark/>
          </w:tcPr>
          <w:p w:rsidR="0094250B" w:rsidRPr="0094250B" w:rsidRDefault="0094250B" w:rsidP="0094250B">
            <w:pPr>
              <w:spacing w:after="0"/>
              <w:rPr>
                <w:rFonts w:ascii="Cambria" w:eastAsia="Times New Roman" w:hAnsi="Cambria" w:cs="Times New Roman"/>
                <w:b/>
                <w:bCs/>
                <w:color w:val="000000"/>
                <w:sz w:val="20"/>
                <w:szCs w:val="20"/>
                <w:lang w:eastAsia="en-US"/>
              </w:rPr>
            </w:pPr>
            <w:r w:rsidRPr="0094250B">
              <w:rPr>
                <w:rFonts w:ascii="Cambria" w:eastAsia="Times New Roman" w:hAnsi="Cambria" w:cs="Times New Roman"/>
                <w:b/>
                <w:bCs/>
                <w:color w:val="000000"/>
                <w:sz w:val="20"/>
                <w:szCs w:val="20"/>
                <w:lang w:eastAsia="en-US"/>
              </w:rPr>
              <w:t>90.01-95</w:t>
            </w:r>
          </w:p>
        </w:tc>
        <w:tc>
          <w:tcPr>
            <w:tcW w:w="1721"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mbria" w:eastAsia="Times New Roman" w:hAnsi="Cambria" w:cs="Times New Roman"/>
                <w:color w:val="000000"/>
                <w:sz w:val="20"/>
                <w:szCs w:val="20"/>
                <w:lang w:eastAsia="en-US"/>
              </w:rPr>
            </w:pPr>
            <w:r w:rsidRPr="0094250B">
              <w:rPr>
                <w:rFonts w:ascii="Cambria" w:eastAsia="Times New Roman" w:hAnsi="Cambria" w:cs="Times New Roman"/>
                <w:color w:val="000000"/>
                <w:sz w:val="20"/>
                <w:szCs w:val="20"/>
                <w:lang w:eastAsia="en-US"/>
              </w:rPr>
              <w:t>5.79%</w:t>
            </w:r>
          </w:p>
        </w:tc>
        <w:tc>
          <w:tcPr>
            <w:tcW w:w="2083"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mbria" w:eastAsia="Times New Roman" w:hAnsi="Cambria" w:cs="Times New Roman"/>
                <w:color w:val="000000"/>
                <w:sz w:val="20"/>
                <w:szCs w:val="20"/>
                <w:lang w:eastAsia="en-US"/>
              </w:rPr>
            </w:pPr>
            <w:r w:rsidRPr="0094250B">
              <w:rPr>
                <w:rFonts w:ascii="Cambria" w:eastAsia="Times New Roman" w:hAnsi="Cambria" w:cs="Times New Roman"/>
                <w:color w:val="000000"/>
                <w:sz w:val="20"/>
                <w:szCs w:val="20"/>
                <w:lang w:eastAsia="en-US"/>
              </w:rPr>
              <w:t>3.31%</w:t>
            </w:r>
          </w:p>
        </w:tc>
        <w:tc>
          <w:tcPr>
            <w:tcW w:w="1738"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mbria" w:eastAsia="Times New Roman" w:hAnsi="Cambria" w:cs="Times New Roman"/>
                <w:color w:val="000000"/>
                <w:sz w:val="20"/>
                <w:szCs w:val="20"/>
                <w:lang w:eastAsia="en-US"/>
              </w:rPr>
            </w:pPr>
            <w:r w:rsidRPr="0094250B">
              <w:rPr>
                <w:rFonts w:ascii="Cambria" w:eastAsia="Times New Roman" w:hAnsi="Cambria" w:cs="Times New Roman"/>
                <w:color w:val="000000"/>
                <w:sz w:val="20"/>
                <w:szCs w:val="20"/>
                <w:lang w:eastAsia="en-US"/>
              </w:rPr>
              <w:t>1.75</w:t>
            </w:r>
          </w:p>
        </w:tc>
        <w:tc>
          <w:tcPr>
            <w:tcW w:w="1021" w:type="dxa"/>
            <w:tcBorders>
              <w:top w:val="nil"/>
              <w:left w:val="nil"/>
              <w:bottom w:val="nil"/>
              <w:right w:val="single" w:sz="8" w:space="0" w:color="auto"/>
            </w:tcBorders>
            <w:shd w:val="clear" w:color="auto" w:fill="auto"/>
            <w:noWrap/>
            <w:vAlign w:val="bottom"/>
            <w:hideMark/>
          </w:tcPr>
          <w:p w:rsidR="0094250B" w:rsidRPr="0094250B" w:rsidRDefault="0094250B" w:rsidP="0094250B">
            <w:pPr>
              <w:spacing w:after="0"/>
              <w:jc w:val="center"/>
              <w:rPr>
                <w:rFonts w:ascii="Cambria" w:eastAsia="Times New Roman" w:hAnsi="Cambria" w:cs="Times New Roman"/>
                <w:color w:val="000000"/>
                <w:sz w:val="20"/>
                <w:szCs w:val="20"/>
                <w:lang w:eastAsia="en-US"/>
              </w:rPr>
            </w:pPr>
            <w:r w:rsidRPr="0094250B">
              <w:rPr>
                <w:rFonts w:ascii="Cambria" w:eastAsia="Times New Roman" w:hAnsi="Cambria" w:cs="Times New Roman"/>
                <w:color w:val="000000"/>
                <w:sz w:val="20"/>
                <w:szCs w:val="20"/>
                <w:lang w:eastAsia="en-US"/>
              </w:rPr>
              <w:t>57.20%</w:t>
            </w:r>
          </w:p>
        </w:tc>
      </w:tr>
      <w:tr w:rsidR="0094250B" w:rsidRPr="0094250B" w:rsidTr="0094250B">
        <w:trPr>
          <w:trHeight w:val="300"/>
        </w:trPr>
        <w:tc>
          <w:tcPr>
            <w:tcW w:w="1617" w:type="dxa"/>
            <w:tcBorders>
              <w:top w:val="nil"/>
              <w:left w:val="single" w:sz="8" w:space="0" w:color="auto"/>
              <w:bottom w:val="nil"/>
              <w:right w:val="nil"/>
            </w:tcBorders>
            <w:shd w:val="clear" w:color="auto" w:fill="auto"/>
            <w:noWrap/>
            <w:vAlign w:val="bottom"/>
            <w:hideMark/>
          </w:tcPr>
          <w:p w:rsidR="0094250B" w:rsidRPr="0094250B" w:rsidRDefault="0094250B" w:rsidP="0094250B">
            <w:pPr>
              <w:spacing w:after="0"/>
              <w:rPr>
                <w:rFonts w:ascii="Cambria" w:eastAsia="Times New Roman" w:hAnsi="Cambria" w:cs="Times New Roman"/>
                <w:b/>
                <w:bCs/>
                <w:color w:val="000000"/>
                <w:sz w:val="20"/>
                <w:szCs w:val="20"/>
                <w:lang w:eastAsia="en-US"/>
              </w:rPr>
            </w:pPr>
            <w:r w:rsidRPr="0094250B">
              <w:rPr>
                <w:rFonts w:ascii="Cambria" w:eastAsia="Times New Roman" w:hAnsi="Cambria" w:cs="Times New Roman"/>
                <w:b/>
                <w:bCs/>
                <w:color w:val="000000"/>
                <w:sz w:val="20"/>
                <w:szCs w:val="20"/>
                <w:lang w:eastAsia="en-US"/>
              </w:rPr>
              <w:t> </w:t>
            </w:r>
          </w:p>
        </w:tc>
        <w:tc>
          <w:tcPr>
            <w:tcW w:w="1721"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mbria" w:eastAsia="Times New Roman" w:hAnsi="Cambria" w:cs="Times New Roman"/>
                <w:color w:val="000000"/>
                <w:sz w:val="20"/>
                <w:szCs w:val="20"/>
                <w:lang w:eastAsia="en-US"/>
              </w:rPr>
            </w:pPr>
          </w:p>
        </w:tc>
        <w:tc>
          <w:tcPr>
            <w:tcW w:w="2083"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mbria" w:eastAsia="Times New Roman" w:hAnsi="Cambria" w:cs="Times New Roman"/>
                <w:color w:val="000000"/>
                <w:sz w:val="20"/>
                <w:szCs w:val="20"/>
                <w:lang w:eastAsia="en-US"/>
              </w:rPr>
            </w:pPr>
          </w:p>
        </w:tc>
        <w:tc>
          <w:tcPr>
            <w:tcW w:w="1738"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mbria" w:eastAsia="Times New Roman" w:hAnsi="Cambria" w:cs="Times New Roman"/>
                <w:color w:val="000000"/>
                <w:sz w:val="20"/>
                <w:szCs w:val="20"/>
                <w:lang w:eastAsia="en-US"/>
              </w:rPr>
            </w:pPr>
          </w:p>
        </w:tc>
        <w:tc>
          <w:tcPr>
            <w:tcW w:w="1021" w:type="dxa"/>
            <w:tcBorders>
              <w:top w:val="nil"/>
              <w:left w:val="nil"/>
              <w:bottom w:val="nil"/>
              <w:right w:val="single" w:sz="8" w:space="0" w:color="auto"/>
            </w:tcBorders>
            <w:shd w:val="clear" w:color="auto" w:fill="auto"/>
            <w:noWrap/>
            <w:vAlign w:val="bottom"/>
            <w:hideMark/>
          </w:tcPr>
          <w:p w:rsidR="0094250B" w:rsidRPr="0094250B" w:rsidRDefault="0094250B" w:rsidP="0094250B">
            <w:pPr>
              <w:spacing w:after="0"/>
              <w:jc w:val="center"/>
              <w:rPr>
                <w:rFonts w:ascii="Cambria" w:eastAsia="Times New Roman" w:hAnsi="Cambria" w:cs="Times New Roman"/>
                <w:color w:val="000000"/>
                <w:sz w:val="20"/>
                <w:szCs w:val="20"/>
                <w:lang w:eastAsia="en-US"/>
              </w:rPr>
            </w:pPr>
            <w:r w:rsidRPr="0094250B">
              <w:rPr>
                <w:rFonts w:ascii="Cambria" w:eastAsia="Times New Roman" w:hAnsi="Cambria" w:cs="Times New Roman"/>
                <w:color w:val="000000"/>
                <w:sz w:val="20"/>
                <w:szCs w:val="20"/>
                <w:lang w:eastAsia="en-US"/>
              </w:rPr>
              <w:t> </w:t>
            </w:r>
          </w:p>
        </w:tc>
      </w:tr>
      <w:tr w:rsidR="0094250B" w:rsidRPr="0094250B" w:rsidTr="0094250B">
        <w:trPr>
          <w:trHeight w:val="300"/>
        </w:trPr>
        <w:tc>
          <w:tcPr>
            <w:tcW w:w="1617" w:type="dxa"/>
            <w:tcBorders>
              <w:top w:val="nil"/>
              <w:left w:val="single" w:sz="8" w:space="0" w:color="auto"/>
              <w:bottom w:val="nil"/>
              <w:right w:val="nil"/>
            </w:tcBorders>
            <w:shd w:val="clear" w:color="auto" w:fill="auto"/>
            <w:noWrap/>
            <w:vAlign w:val="bottom"/>
            <w:hideMark/>
          </w:tcPr>
          <w:p w:rsidR="0094250B" w:rsidRPr="0094250B" w:rsidRDefault="0094250B" w:rsidP="0094250B">
            <w:pPr>
              <w:spacing w:after="0"/>
              <w:rPr>
                <w:rFonts w:ascii="Cambria" w:eastAsia="Times New Roman" w:hAnsi="Cambria" w:cs="Times New Roman"/>
                <w:b/>
                <w:bCs/>
                <w:color w:val="000000"/>
                <w:sz w:val="20"/>
                <w:szCs w:val="20"/>
                <w:lang w:eastAsia="en-US"/>
              </w:rPr>
            </w:pPr>
            <w:r w:rsidRPr="0094250B">
              <w:rPr>
                <w:rFonts w:ascii="Cambria" w:eastAsia="Times New Roman" w:hAnsi="Cambria" w:cs="Times New Roman"/>
                <w:b/>
                <w:bCs/>
                <w:color w:val="000000"/>
                <w:sz w:val="20"/>
                <w:szCs w:val="20"/>
                <w:lang w:eastAsia="en-US"/>
              </w:rPr>
              <w:t>WTD Subtotals</w:t>
            </w:r>
          </w:p>
        </w:tc>
        <w:tc>
          <w:tcPr>
            <w:tcW w:w="1721"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mbria" w:eastAsia="Times New Roman" w:hAnsi="Cambria" w:cs="Times New Roman"/>
                <w:color w:val="000000"/>
                <w:sz w:val="20"/>
                <w:szCs w:val="20"/>
                <w:lang w:eastAsia="en-US"/>
              </w:rPr>
            </w:pPr>
            <w:r w:rsidRPr="0094250B">
              <w:rPr>
                <w:rFonts w:ascii="Cambria" w:eastAsia="Times New Roman" w:hAnsi="Cambria" w:cs="Times New Roman"/>
                <w:color w:val="000000"/>
                <w:sz w:val="20"/>
                <w:szCs w:val="20"/>
                <w:lang w:eastAsia="en-US"/>
              </w:rPr>
              <w:t>3.88%</w:t>
            </w:r>
          </w:p>
        </w:tc>
        <w:tc>
          <w:tcPr>
            <w:tcW w:w="2083"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mbria" w:eastAsia="Times New Roman" w:hAnsi="Cambria" w:cs="Times New Roman"/>
                <w:color w:val="000000"/>
                <w:sz w:val="20"/>
                <w:szCs w:val="20"/>
                <w:lang w:eastAsia="en-US"/>
              </w:rPr>
            </w:pPr>
            <w:r w:rsidRPr="0094250B">
              <w:rPr>
                <w:rFonts w:ascii="Cambria" w:eastAsia="Times New Roman" w:hAnsi="Cambria" w:cs="Times New Roman"/>
                <w:color w:val="000000"/>
                <w:sz w:val="20"/>
                <w:szCs w:val="20"/>
                <w:lang w:eastAsia="en-US"/>
              </w:rPr>
              <w:t>2.08%</w:t>
            </w:r>
          </w:p>
        </w:tc>
        <w:tc>
          <w:tcPr>
            <w:tcW w:w="1738" w:type="dxa"/>
            <w:tcBorders>
              <w:top w:val="nil"/>
              <w:left w:val="nil"/>
              <w:bottom w:val="nil"/>
              <w:right w:val="nil"/>
            </w:tcBorders>
            <w:shd w:val="clear" w:color="auto" w:fill="auto"/>
            <w:noWrap/>
            <w:vAlign w:val="bottom"/>
            <w:hideMark/>
          </w:tcPr>
          <w:p w:rsidR="0094250B" w:rsidRPr="0094250B" w:rsidRDefault="0094250B" w:rsidP="0094250B">
            <w:pPr>
              <w:spacing w:after="0"/>
              <w:jc w:val="center"/>
              <w:rPr>
                <w:rFonts w:ascii="Cambria" w:eastAsia="Times New Roman" w:hAnsi="Cambria" w:cs="Times New Roman"/>
                <w:b/>
                <w:bCs/>
                <w:color w:val="000000"/>
                <w:sz w:val="20"/>
                <w:szCs w:val="20"/>
                <w:lang w:eastAsia="en-US"/>
              </w:rPr>
            </w:pPr>
            <w:r w:rsidRPr="0094250B">
              <w:rPr>
                <w:rFonts w:ascii="Cambria" w:eastAsia="Times New Roman" w:hAnsi="Cambria" w:cs="Times New Roman"/>
                <w:b/>
                <w:bCs/>
                <w:color w:val="000000"/>
                <w:sz w:val="20"/>
                <w:szCs w:val="20"/>
                <w:lang w:eastAsia="en-US"/>
              </w:rPr>
              <w:t>1.87</w:t>
            </w:r>
          </w:p>
        </w:tc>
        <w:tc>
          <w:tcPr>
            <w:tcW w:w="1021" w:type="dxa"/>
            <w:tcBorders>
              <w:top w:val="nil"/>
              <w:left w:val="nil"/>
              <w:bottom w:val="nil"/>
              <w:right w:val="single" w:sz="8" w:space="0" w:color="auto"/>
            </w:tcBorders>
            <w:shd w:val="clear" w:color="auto" w:fill="auto"/>
            <w:noWrap/>
            <w:vAlign w:val="bottom"/>
            <w:hideMark/>
          </w:tcPr>
          <w:p w:rsidR="0094250B" w:rsidRPr="0094250B" w:rsidRDefault="0094250B" w:rsidP="0094250B">
            <w:pPr>
              <w:spacing w:after="0"/>
              <w:jc w:val="center"/>
              <w:rPr>
                <w:rFonts w:ascii="Cambria" w:eastAsia="Times New Roman" w:hAnsi="Cambria" w:cs="Times New Roman"/>
                <w:color w:val="000000"/>
                <w:sz w:val="20"/>
                <w:szCs w:val="20"/>
                <w:lang w:eastAsia="en-US"/>
              </w:rPr>
            </w:pPr>
            <w:r w:rsidRPr="0094250B">
              <w:rPr>
                <w:rFonts w:ascii="Cambria" w:eastAsia="Times New Roman" w:hAnsi="Cambria" w:cs="Times New Roman"/>
                <w:color w:val="000000"/>
                <w:sz w:val="20"/>
                <w:szCs w:val="20"/>
                <w:lang w:eastAsia="en-US"/>
              </w:rPr>
              <w:t>53.50%</w:t>
            </w:r>
          </w:p>
        </w:tc>
      </w:tr>
      <w:tr w:rsidR="0094250B" w:rsidRPr="0094250B" w:rsidTr="0094250B">
        <w:trPr>
          <w:trHeight w:val="315"/>
        </w:trPr>
        <w:tc>
          <w:tcPr>
            <w:tcW w:w="1617" w:type="dxa"/>
            <w:tcBorders>
              <w:top w:val="nil"/>
              <w:left w:val="single" w:sz="8" w:space="0" w:color="auto"/>
              <w:bottom w:val="nil"/>
              <w:right w:val="nil"/>
            </w:tcBorders>
            <w:shd w:val="clear" w:color="auto" w:fill="auto"/>
            <w:noWrap/>
            <w:vAlign w:val="bottom"/>
            <w:hideMark/>
          </w:tcPr>
          <w:p w:rsidR="0094250B" w:rsidRPr="0094250B" w:rsidRDefault="0094250B" w:rsidP="0094250B">
            <w:pPr>
              <w:spacing w:after="0"/>
              <w:rPr>
                <w:rFonts w:ascii="Cambria" w:eastAsia="Times New Roman" w:hAnsi="Cambria" w:cs="Times New Roman"/>
                <w:color w:val="000000"/>
                <w:lang w:eastAsia="en-US"/>
              </w:rPr>
            </w:pPr>
            <w:r w:rsidRPr="0094250B">
              <w:rPr>
                <w:rFonts w:ascii="Cambria" w:eastAsia="Times New Roman" w:hAnsi="Cambria" w:cs="Times New Roman"/>
                <w:color w:val="000000"/>
                <w:lang w:eastAsia="en-US"/>
              </w:rPr>
              <w:t> </w:t>
            </w:r>
          </w:p>
        </w:tc>
        <w:tc>
          <w:tcPr>
            <w:tcW w:w="1721" w:type="dxa"/>
            <w:tcBorders>
              <w:top w:val="nil"/>
              <w:left w:val="nil"/>
              <w:bottom w:val="nil"/>
              <w:right w:val="nil"/>
            </w:tcBorders>
            <w:shd w:val="clear" w:color="auto" w:fill="auto"/>
            <w:noWrap/>
            <w:vAlign w:val="bottom"/>
            <w:hideMark/>
          </w:tcPr>
          <w:p w:rsidR="0094250B" w:rsidRPr="0094250B" w:rsidRDefault="0094250B" w:rsidP="0094250B">
            <w:pPr>
              <w:spacing w:after="0"/>
              <w:rPr>
                <w:rFonts w:ascii="Cambria" w:eastAsia="Times New Roman" w:hAnsi="Cambria" w:cs="Times New Roman"/>
                <w:color w:val="000000"/>
                <w:sz w:val="22"/>
                <w:szCs w:val="22"/>
                <w:lang w:eastAsia="en-US"/>
              </w:rPr>
            </w:pPr>
          </w:p>
        </w:tc>
        <w:tc>
          <w:tcPr>
            <w:tcW w:w="2083" w:type="dxa"/>
            <w:tcBorders>
              <w:top w:val="nil"/>
              <w:left w:val="nil"/>
              <w:bottom w:val="nil"/>
              <w:right w:val="nil"/>
            </w:tcBorders>
            <w:shd w:val="clear" w:color="auto" w:fill="auto"/>
            <w:noWrap/>
            <w:vAlign w:val="bottom"/>
            <w:hideMark/>
          </w:tcPr>
          <w:p w:rsidR="0094250B" w:rsidRPr="0094250B" w:rsidRDefault="0094250B" w:rsidP="0094250B">
            <w:pPr>
              <w:spacing w:after="0"/>
              <w:rPr>
                <w:rFonts w:ascii="Cambria" w:eastAsia="Times New Roman" w:hAnsi="Cambria" w:cs="Times New Roman"/>
                <w:color w:val="000000"/>
                <w:sz w:val="22"/>
                <w:szCs w:val="22"/>
                <w:lang w:eastAsia="en-US"/>
              </w:rPr>
            </w:pPr>
          </w:p>
        </w:tc>
        <w:tc>
          <w:tcPr>
            <w:tcW w:w="1738" w:type="dxa"/>
            <w:tcBorders>
              <w:top w:val="nil"/>
              <w:left w:val="nil"/>
              <w:bottom w:val="nil"/>
              <w:right w:val="nil"/>
            </w:tcBorders>
            <w:shd w:val="clear" w:color="auto" w:fill="auto"/>
            <w:noWrap/>
            <w:vAlign w:val="bottom"/>
            <w:hideMark/>
          </w:tcPr>
          <w:p w:rsidR="0094250B" w:rsidRPr="0094250B" w:rsidRDefault="0094250B" w:rsidP="0094250B">
            <w:pPr>
              <w:spacing w:after="0"/>
              <w:rPr>
                <w:rFonts w:ascii="Cambria" w:eastAsia="Times New Roman" w:hAnsi="Cambria" w:cs="Times New Roman"/>
                <w:color w:val="000000"/>
                <w:sz w:val="22"/>
                <w:szCs w:val="22"/>
                <w:lang w:eastAsia="en-US"/>
              </w:rPr>
            </w:pPr>
          </w:p>
        </w:tc>
        <w:tc>
          <w:tcPr>
            <w:tcW w:w="1021" w:type="dxa"/>
            <w:tcBorders>
              <w:top w:val="nil"/>
              <w:left w:val="nil"/>
              <w:bottom w:val="nil"/>
              <w:right w:val="single" w:sz="8" w:space="0" w:color="auto"/>
            </w:tcBorders>
            <w:shd w:val="clear" w:color="auto" w:fill="auto"/>
            <w:noWrap/>
            <w:vAlign w:val="bottom"/>
            <w:hideMark/>
          </w:tcPr>
          <w:p w:rsidR="0094250B" w:rsidRPr="0094250B" w:rsidRDefault="0094250B" w:rsidP="0094250B">
            <w:pPr>
              <w:spacing w:after="0"/>
              <w:rPr>
                <w:rFonts w:ascii="Cambria" w:eastAsia="Times New Roman" w:hAnsi="Cambria" w:cs="Times New Roman"/>
                <w:color w:val="000000"/>
                <w:lang w:eastAsia="en-US"/>
              </w:rPr>
            </w:pPr>
            <w:r w:rsidRPr="0094250B">
              <w:rPr>
                <w:rFonts w:ascii="Cambria" w:eastAsia="Times New Roman" w:hAnsi="Cambria" w:cs="Times New Roman"/>
                <w:color w:val="000000"/>
                <w:lang w:eastAsia="en-US"/>
              </w:rPr>
              <w:t> </w:t>
            </w:r>
          </w:p>
        </w:tc>
      </w:tr>
      <w:tr w:rsidR="0094250B" w:rsidRPr="0094250B" w:rsidTr="0094250B">
        <w:trPr>
          <w:trHeight w:val="315"/>
        </w:trPr>
        <w:tc>
          <w:tcPr>
            <w:tcW w:w="8180" w:type="dxa"/>
            <w:gridSpan w:val="5"/>
            <w:tcBorders>
              <w:top w:val="nil"/>
              <w:left w:val="single" w:sz="8" w:space="0" w:color="auto"/>
              <w:bottom w:val="nil"/>
              <w:right w:val="single" w:sz="8" w:space="0" w:color="000000"/>
            </w:tcBorders>
            <w:shd w:val="clear" w:color="000000" w:fill="66FFFF"/>
            <w:noWrap/>
            <w:vAlign w:val="bottom"/>
            <w:hideMark/>
          </w:tcPr>
          <w:p w:rsidR="0094250B" w:rsidRPr="0094250B" w:rsidRDefault="0094250B" w:rsidP="0094250B">
            <w:pPr>
              <w:spacing w:after="0"/>
              <w:jc w:val="center"/>
              <w:rPr>
                <w:rFonts w:ascii="Cambria" w:eastAsia="Times New Roman" w:hAnsi="Cambria" w:cs="Times New Roman"/>
                <w:b/>
                <w:bCs/>
                <w:color w:val="000000"/>
                <w:lang w:eastAsia="en-US"/>
              </w:rPr>
            </w:pPr>
            <w:r w:rsidRPr="0094250B">
              <w:rPr>
                <w:rFonts w:ascii="Cambria" w:eastAsia="Times New Roman" w:hAnsi="Cambria" w:cs="Times New Roman"/>
                <w:b/>
                <w:bCs/>
                <w:color w:val="000000"/>
                <w:lang w:eastAsia="en-US"/>
              </w:rPr>
              <w:t>Proposed Fees Cover ALL Purchase Loan Portfolio Losses</w:t>
            </w:r>
          </w:p>
        </w:tc>
      </w:tr>
      <w:tr w:rsidR="0094250B" w:rsidRPr="0094250B" w:rsidTr="0094250B">
        <w:trPr>
          <w:trHeight w:val="330"/>
        </w:trPr>
        <w:tc>
          <w:tcPr>
            <w:tcW w:w="8180" w:type="dxa"/>
            <w:gridSpan w:val="5"/>
            <w:tcBorders>
              <w:top w:val="nil"/>
              <w:left w:val="single" w:sz="8" w:space="0" w:color="auto"/>
              <w:bottom w:val="single" w:sz="8" w:space="0" w:color="auto"/>
              <w:right w:val="single" w:sz="8" w:space="0" w:color="000000"/>
            </w:tcBorders>
            <w:shd w:val="clear" w:color="000000" w:fill="66FFFF"/>
            <w:noWrap/>
            <w:vAlign w:val="bottom"/>
            <w:hideMark/>
          </w:tcPr>
          <w:p w:rsidR="0094250B" w:rsidRPr="0094250B" w:rsidRDefault="0094250B" w:rsidP="0094250B">
            <w:pPr>
              <w:spacing w:after="0"/>
              <w:jc w:val="center"/>
              <w:rPr>
                <w:rFonts w:ascii="Cambria" w:eastAsia="Times New Roman" w:hAnsi="Cambria" w:cs="Times New Roman"/>
                <w:b/>
                <w:bCs/>
                <w:color w:val="000000"/>
                <w:lang w:eastAsia="en-US"/>
              </w:rPr>
            </w:pPr>
            <w:r w:rsidRPr="0094250B">
              <w:rPr>
                <w:rFonts w:ascii="Cambria" w:eastAsia="Times New Roman" w:hAnsi="Cambria" w:cs="Times New Roman"/>
                <w:b/>
                <w:bCs/>
                <w:color w:val="000000"/>
                <w:lang w:eastAsia="en-US"/>
              </w:rPr>
              <w:t>And Still Use Only 53.5% Of Premium Charged</w:t>
            </w:r>
          </w:p>
        </w:tc>
      </w:tr>
    </w:tbl>
    <w:p w:rsidR="005B75F7" w:rsidRPr="005B75F7" w:rsidRDefault="005B75F7" w:rsidP="0094250B"/>
    <w:p w:rsidR="005B75F7" w:rsidRPr="005B75F7" w:rsidRDefault="005B75F7" w:rsidP="005B75F7">
      <w:r w:rsidRPr="005B75F7">
        <w:t xml:space="preserve">Given the importance of purchase financing access to a healthy housing market, making purchase loan risk the primary base for GSE pricing is essential to the well being of our entire economy.  With the substantially lower overall risk presented by purchase loans, they should not be lumped in with substantially higher risk loans for pricing purposes. To do so is to have home purchase financing subsidize all other loans with higher risks. Furthermore, requiring substantially more capital than needed for one particular portion of the financial market also has repercussions for the other sectors of the financial markets. Distortions in the allocation of capital make the whole financial market less efficient. </w:t>
      </w:r>
    </w:p>
    <w:p w:rsidR="005B75F7" w:rsidRPr="005B75F7" w:rsidRDefault="005B75F7" w:rsidP="005B75F7">
      <w:r w:rsidRPr="005B75F7">
        <w:t xml:space="preserve">With lower more efficiently estimated levels of capital, lower levels of pricing can still afford a sound return on GSE capital. However, the stated ROE targets and the </w:t>
      </w:r>
      <w:r w:rsidRPr="005B75F7">
        <w:lastRenderedPageBreak/>
        <w:t xml:space="preserve">overall calculation of ROE have also given us cause for further concern.  In FHFA’s request for comment on GSE pricing, the Figure 2 Illustration of G-fee computation does not offer any inclusion of actual investment return on the assets held as capital. Most financial firms include such income as part of the overall return. Secondly, while FHFA is mulling over ROE targets of either 9% or 15%, other GSEs such as the Federal Home Loan Banks and others earn substantially less, as do life insurance companies and other financial service companies. Given the huge advantages of the special charters and social purpose of the GSEs, why would such high ROE targets be part of the proposed pricing </w:t>
      </w:r>
      <w:proofErr w:type="gramStart"/>
      <w:r w:rsidRPr="005B75F7">
        <w:t>structure.</w:t>
      </w:r>
      <w:proofErr w:type="gramEnd"/>
      <w:r w:rsidRPr="005B75F7">
        <w:t xml:space="preserve">  With more realistic ROE targets, and more efficient capital levels, the appropriate pricing of GSE risk exposure should be substantially lower than is currently proposed.  This would be especially so first-time purchase borrowers and for lower FICO borrowers in general.</w:t>
      </w:r>
    </w:p>
    <w:p w:rsidR="005B75F7" w:rsidRPr="005B75F7" w:rsidRDefault="005B75F7" w:rsidP="005B75F7">
      <w:r w:rsidRPr="005B75F7">
        <w:t xml:space="preserve"> </w:t>
      </w:r>
    </w:p>
    <w:p w:rsidR="005B75F7" w:rsidRPr="005B75F7" w:rsidRDefault="005B75F7" w:rsidP="005B75F7">
      <w:r w:rsidRPr="005B75F7">
        <w:t>In summary, we would advocate the following to improve GSE pricing</w:t>
      </w:r>
      <w:r w:rsidR="003A5273">
        <w:t xml:space="preserve"> of fixed-rate owner-occupied purchase loans</w:t>
      </w:r>
      <w:r w:rsidRPr="005B75F7">
        <w:t>:</w:t>
      </w:r>
    </w:p>
    <w:p w:rsidR="005B75F7" w:rsidRPr="005B75F7" w:rsidRDefault="005B75F7" w:rsidP="005B75F7">
      <w:pPr>
        <w:numPr>
          <w:ilvl w:val="0"/>
          <w:numId w:val="5"/>
        </w:numPr>
      </w:pPr>
      <w:r w:rsidRPr="005B75F7">
        <w:t xml:space="preserve"> FHFA </w:t>
      </w:r>
      <w:r w:rsidR="003A5273">
        <w:t xml:space="preserve">should </w:t>
      </w:r>
      <w:r w:rsidRPr="005B75F7">
        <w:t xml:space="preserve">have the GSEs re-run their base loan analysis using only loans that are fixed rate, 30 year, owner-occupied, purchase loans meeting the </w:t>
      </w:r>
      <w:r w:rsidR="007101C1">
        <w:t xml:space="preserve">current </w:t>
      </w:r>
      <w:r w:rsidRPr="005B75F7">
        <w:t>QM standard to form the base set of pricing parameters;</w:t>
      </w:r>
    </w:p>
    <w:p w:rsidR="005B75F7" w:rsidRPr="005B75F7" w:rsidRDefault="005B75F7" w:rsidP="005B75F7">
      <w:pPr>
        <w:numPr>
          <w:ilvl w:val="0"/>
          <w:numId w:val="5"/>
        </w:numPr>
      </w:pPr>
      <w:r w:rsidRPr="005B75F7">
        <w:t xml:space="preserve"> utilize prepayment speeds specific to individual risk groups; </w:t>
      </w:r>
    </w:p>
    <w:p w:rsidR="005B75F7" w:rsidRPr="005B75F7" w:rsidRDefault="005B75F7" w:rsidP="005B75F7">
      <w:pPr>
        <w:numPr>
          <w:ilvl w:val="0"/>
          <w:numId w:val="5"/>
        </w:numPr>
      </w:pPr>
      <w:r w:rsidRPr="005B75F7">
        <w:t>set capital levels based on stress losses of multiple concurrent books;</w:t>
      </w:r>
    </w:p>
    <w:p w:rsidR="005B75F7" w:rsidRDefault="005B75F7" w:rsidP="005B75F7">
      <w:pPr>
        <w:numPr>
          <w:ilvl w:val="0"/>
          <w:numId w:val="5"/>
        </w:numPr>
      </w:pPr>
      <w:proofErr w:type="gramStart"/>
      <w:r w:rsidRPr="005B75F7">
        <w:t>set</w:t>
      </w:r>
      <w:proofErr w:type="gramEnd"/>
      <w:r w:rsidRPr="005B75F7">
        <w:t xml:space="preserve"> ROE targets similar to those in the financial insurance sector. </w:t>
      </w:r>
    </w:p>
    <w:p w:rsidR="003A5273" w:rsidRDefault="003A5273" w:rsidP="005B75F7">
      <w:pPr>
        <w:numPr>
          <w:ilvl w:val="0"/>
          <w:numId w:val="5"/>
        </w:numPr>
      </w:pPr>
      <w:r>
        <w:t>Re-estimate all additional delivery fees for higher risk factors relative to purchase loan credit risk.</w:t>
      </w:r>
    </w:p>
    <w:p w:rsidR="00E36F87" w:rsidRPr="005B75F7" w:rsidRDefault="00E36F87" w:rsidP="00E36F87">
      <w:pPr>
        <w:ind w:left="720"/>
      </w:pPr>
    </w:p>
    <w:p w:rsidR="005B75F7" w:rsidRPr="005B75F7" w:rsidRDefault="005B75F7" w:rsidP="005B75F7">
      <w:r w:rsidRPr="005B75F7">
        <w:t>Without these adjustments, the currently proposed price adjustments will continue to drive more low income and low down payment borrowers away from private capital providers and into the federal arms of FHA.</w:t>
      </w:r>
    </w:p>
    <w:p w:rsidR="005B75F7" w:rsidRPr="005B75F7" w:rsidRDefault="005B75F7" w:rsidP="005B75F7"/>
    <w:p w:rsidR="005B75F7" w:rsidRPr="005B75F7" w:rsidRDefault="005B75F7" w:rsidP="005B75F7"/>
    <w:p w:rsidR="005B75F7" w:rsidRDefault="005B75F7" w:rsidP="005B75F7">
      <w:proofErr w:type="gramStart"/>
      <w:r>
        <w:t>5&amp; 6.</w:t>
      </w:r>
      <w:proofErr w:type="gramEnd"/>
      <w:r>
        <w:t xml:space="preserve"> If the Enterprises continue to raise g-fees, will overall loan originations decrease? That is, will Enterprise loans decline without a commensurate increase in private capital? Is it desirable for the Enterprises to charge higher g-fees on low credit score/high LTV loans if it causes these loans to be insured /securitized through FHA/</w:t>
      </w:r>
      <w:proofErr w:type="spellStart"/>
      <w:r>
        <w:t>Ginne</w:t>
      </w:r>
      <w:proofErr w:type="spellEnd"/>
      <w:r>
        <w:t xml:space="preserve"> Mae rather than through the Enterprises? </w:t>
      </w:r>
    </w:p>
    <w:p w:rsidR="005B75F7" w:rsidRDefault="005B75F7" w:rsidP="005B75F7">
      <w:r>
        <w:t xml:space="preserve"> Further increases in fees could only mean that the assumed stress losses have increased as well, requiring more capital and higher nominal returns.  The higher </w:t>
      </w:r>
      <w:r>
        <w:lastRenderedPageBreak/>
        <w:t xml:space="preserve">fees at this moment will shut out more potential buyers from being included in GSE MBS. But if fewer loans are going into GSE MBS, lenders will also get more restrictive on what they should be willing to hold on portfolio as opposed to holding it in GSE MBS. As a result overall originations will decline certainly in the near term. As a result of the higher pricing, only those borrowers with the very highest credit scores will be able to use conventional financing on a home </w:t>
      </w:r>
      <w:proofErr w:type="gramStart"/>
      <w:r>
        <w:t>purchase .</w:t>
      </w:r>
      <w:proofErr w:type="gramEnd"/>
      <w:r>
        <w:t xml:space="preserve"> This is why building the strong infrastructure that will restore investor confidence in a private label market is so critical. </w:t>
      </w:r>
    </w:p>
    <w:p w:rsidR="005B75F7" w:rsidRDefault="005B75F7" w:rsidP="005B75F7">
      <w:r>
        <w:t xml:space="preserve">  7. Is it desirable for the Enterprises to (a) charge higher g-fees on high credit score/low LTV loans if it causes these loans to be insured /securitized through PLS or (b) held on depository balance sheets, rather than guaranteed by the Enterprises?</w:t>
      </w:r>
    </w:p>
    <w:p w:rsidR="005B75F7" w:rsidRDefault="005B75F7" w:rsidP="005B75F7">
      <w:r>
        <w:t>It is not desirable to overcharge large segments of lower risk potential originations. This can lead to cherry-picking by the largest banks, leading to a distortion in the GSE profile, increasing the overall volatility of risk exposure unnecessarily, thereby undermining  ability of the GSEs to provide greater liquidity support for the market in times of stress. The benefits of greater diversification of risk are needed by the smaller banks to manage mortgage credit risk exposure. Without such access they may indeed be forced out of the mortgage lending business. Such loans may or may not take place depending on whether larger institutions also serve those same markets.  Access to the unrecovered PLS market is not necessarily an accessible option at this time for many small to regional sized banks. Competitive pricing with reasonable loan limits will eventually enable the private label market to emerge.</w:t>
      </w:r>
    </w:p>
    <w:p w:rsidR="005B75F7" w:rsidRDefault="005B75F7" w:rsidP="005B75F7">
      <w:r>
        <w:t xml:space="preserve">8. What approaches or alternatives should FHFA consider in balancing increased use of risk-based pricing with the HERA mission requirements of (1) liquid housing markets and (2) acceptability of lower returns on loans made for low-and moderate-income housing? </w:t>
      </w:r>
    </w:p>
    <w:p w:rsidR="005B75F7" w:rsidRDefault="005B75F7" w:rsidP="005B75F7">
      <w:r>
        <w:t xml:space="preserve">Using multiple book approaches to setting capital and pricing as presented in our answer to above question 3 is one way. Making sure both the expected and stress loss estimates are based only on loans consistent with QM requirements would also be helpful.  Estimating specific prepayment speeds for these specific buckets rather than an overall prepayment speed assumption by product would also be helpful. Applying these same techniques to MI capital requirements would also make MI appropriate pricing of deeper coverage requirements on higher risk low LTV loans another way spreading remaining GSE risk more equally between the various risk boxes. </w:t>
      </w:r>
    </w:p>
    <w:p w:rsidR="005B75F7" w:rsidRDefault="005B75F7" w:rsidP="005B75F7">
      <w:r>
        <w:t xml:space="preserve"> 9. Are the ranges of credit score and LTV cells in the proposed credit score/LTV grids used to set upfront delivery fees and loan level pricing adjustments appropriate? Should any of the ranges be broader or narrower, and if so, why?  </w:t>
      </w:r>
    </w:p>
    <w:p w:rsidR="005B75F7" w:rsidRDefault="005B75F7" w:rsidP="005B75F7">
      <w:r>
        <w:t xml:space="preserve">First of all, there appear to be no differences in the proposed fees for the top two FICO groupings, so we see no reason for the separation into two groups. The </w:t>
      </w:r>
      <w:r>
        <w:lastRenderedPageBreak/>
        <w:t>remaining credit score groupings represent a fair distinction between FICO score risk groupings. The two key factors to these credit groupings are: 1) the need for differentiation in non-claim termination rates; and 2) the use of multiple book capital assessment for pricing purposes. These same groupings should also apply to the regulations being proposed for private mortgage insurance companies.</w:t>
      </w:r>
    </w:p>
    <w:p w:rsidR="005B75F7" w:rsidRDefault="005B75F7" w:rsidP="005B75F7">
      <w:proofErr w:type="gramStart"/>
      <w:r>
        <w:t>12 .</w:t>
      </w:r>
      <w:proofErr w:type="gramEnd"/>
      <w:r>
        <w:t xml:space="preserve">  Are there interactions with the Consumers Financial Protection Bureau’s Qualified Mortgage definition that FHFA should consider in determining g-fee changes?</w:t>
      </w:r>
    </w:p>
    <w:p w:rsidR="005B75F7" w:rsidRDefault="005B75F7" w:rsidP="005B75F7">
      <w:r>
        <w:t>The Qualified Mortgage definition as set forth by the Consumer Financial Protection Bureau sets out underwriting boundaries that already limit risk and volatility. To</w:t>
      </w:r>
      <w:bookmarkStart w:id="0" w:name="_GoBack"/>
      <w:bookmarkEnd w:id="0"/>
      <w:r>
        <w:t xml:space="preserve"> be clear, Fannie Mae and Freddie Mac have been given an exemption from following precisely the </w:t>
      </w:r>
      <w:r w:rsidR="00E36F87">
        <w:t xml:space="preserve">statutory </w:t>
      </w:r>
      <w:r>
        <w:t>Qualified Mortgage rule, but where the mortgage loan meets all of aspects of the published rule, that lower risk should be reflected in the guarantee fee charged by the GSEs. (There are product and underwriting elements in the proposed LLPA and delivery-fee grids that do not fit the Qualified Mortgage requirements.) This approach could provide meaningful benefit to the consumer and help Fannie Mae and Freddie Mac serve a broader market segment. This could be an approach to responsibly reduce the upfront delivery fees and allow Fannie Mae and Freddie Mac greater participation in low income low down payment mortgages.</w:t>
      </w:r>
    </w:p>
    <w:p w:rsidR="005B75F7" w:rsidRDefault="005B75F7" w:rsidP="005B75F7"/>
    <w:p w:rsidR="005B75F7" w:rsidRDefault="005B75F7" w:rsidP="005B75F7">
      <w:r>
        <w:t>Submitted by:</w:t>
      </w:r>
    </w:p>
    <w:p w:rsidR="005B75F7" w:rsidRDefault="005B75F7" w:rsidP="005B75F7">
      <w:r>
        <w:t>Michael F. Molesky</w:t>
      </w:r>
    </w:p>
    <w:p w:rsidR="005B75F7" w:rsidRDefault="005B75F7" w:rsidP="005B75F7">
      <w:r>
        <w:t>Mark Goldhaber</w:t>
      </w:r>
    </w:p>
    <w:p w:rsidR="005B75F7" w:rsidRDefault="005B75F7" w:rsidP="005B75F7"/>
    <w:p w:rsidR="005B75F7" w:rsidRDefault="005B75F7" w:rsidP="005B75F7"/>
    <w:p w:rsidR="005B75F7" w:rsidRDefault="005B75F7" w:rsidP="005B75F7"/>
    <w:sectPr w:rsidR="005B75F7" w:rsidSect="00ED43CC">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0A7" w:rsidRDefault="00A830A7" w:rsidP="005B75F7">
      <w:pPr>
        <w:spacing w:after="0"/>
      </w:pPr>
      <w:r>
        <w:separator/>
      </w:r>
    </w:p>
  </w:endnote>
  <w:endnote w:type="continuationSeparator" w:id="0">
    <w:p w:rsidR="00A830A7" w:rsidRDefault="00A830A7" w:rsidP="005B75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0A1" w:rsidRDefault="005810A1" w:rsidP="00947E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810A1" w:rsidRDefault="005810A1" w:rsidP="00947E7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0A1" w:rsidRDefault="005810A1" w:rsidP="00947E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6450">
      <w:rPr>
        <w:rStyle w:val="PageNumber"/>
        <w:noProof/>
      </w:rPr>
      <w:t>1</w:t>
    </w:r>
    <w:r>
      <w:rPr>
        <w:rStyle w:val="PageNumber"/>
      </w:rPr>
      <w:fldChar w:fldCharType="end"/>
    </w:r>
  </w:p>
  <w:p w:rsidR="005810A1" w:rsidRDefault="005810A1" w:rsidP="00947E7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0A7" w:rsidRDefault="00A830A7" w:rsidP="005B75F7">
      <w:pPr>
        <w:spacing w:after="0"/>
      </w:pPr>
      <w:r>
        <w:separator/>
      </w:r>
    </w:p>
  </w:footnote>
  <w:footnote w:type="continuationSeparator" w:id="0">
    <w:p w:rsidR="00A830A7" w:rsidRDefault="00A830A7" w:rsidP="005B75F7">
      <w:pPr>
        <w:spacing w:after="0"/>
      </w:pPr>
      <w:r>
        <w:continuationSeparator/>
      </w:r>
    </w:p>
  </w:footnote>
  <w:footnote w:id="1">
    <w:p w:rsidR="005810A1" w:rsidRDefault="005810A1" w:rsidP="005B75F7">
      <w:pPr>
        <w:pStyle w:val="FootnoteText"/>
      </w:pPr>
      <w:r>
        <w:rPr>
          <w:rStyle w:val="FootnoteReference"/>
        </w:rPr>
        <w:footnoteRef/>
      </w:r>
      <w:r>
        <w:t xml:space="preserve"> Mark Goldhaber is a principal in Goldhaber Policy Services, LLC, a firm that focuses on government relations and issues management, primarily in the areas of housing, mortgage finance, and financial services. He has previously served as Senior Vice President, Affordable Housing &amp; Industry Relations for Genworth </w:t>
      </w:r>
      <w:proofErr w:type="spellStart"/>
      <w:r>
        <w:t>Financial’s</w:t>
      </w:r>
      <w:proofErr w:type="spellEnd"/>
      <w:r>
        <w:t xml:space="preserve"> U.S. mortgage insurance business (formerly GE Mortgage Insurance), Vice President of Public Affairs for Federal Home Loan Mortgage Corporation (Freddie Mac), and held various legislative and regulatory positions with the Department of Housing and Urban Development (HUD).</w:t>
      </w:r>
    </w:p>
    <w:p w:rsidR="005810A1" w:rsidRDefault="005810A1" w:rsidP="005B75F7">
      <w:pPr>
        <w:pStyle w:val="FootnoteText"/>
      </w:pPr>
      <w:r>
        <w:t xml:space="preserve">  Michael F. Molesky is a principal in M.F. Molesky &amp; Associates, LLC, which specializes in domestic and international regulatory and capital analysis with regard to mortgage credit risk. Over his career he has worked in several different organizations with different focuses on the mortgage market. He has served as Director of International Regulatory and Capital Analysis with Genworth Mortgage Insurance Corporation, Director of Mortgage Insurance Ratings with Standard &amp; </w:t>
      </w:r>
      <w:proofErr w:type="spellStart"/>
      <w:r>
        <w:t>Poors</w:t>
      </w:r>
      <w:proofErr w:type="spellEnd"/>
      <w:r>
        <w:t xml:space="preserve">, Vice President for Credit Enhancement at Fannie Mae, Assistant Vice President for Structured Transactions Group with Moody’s, and as a financial economist at the U.S. Department of Housing and </w:t>
      </w:r>
      <w:r w:rsidRPr="007B6BE0">
        <w:t>Urban Development.</w:t>
      </w:r>
    </w:p>
  </w:footnote>
  <w:footnote w:id="2">
    <w:p w:rsidR="005810A1" w:rsidRDefault="005810A1" w:rsidP="005B75F7">
      <w:pPr>
        <w:pStyle w:val="FootnoteText"/>
      </w:pPr>
      <w:r>
        <w:rPr>
          <w:rStyle w:val="FootnoteReference"/>
        </w:rPr>
        <w:footnoteRef/>
      </w:r>
      <w:r>
        <w:t xml:space="preserve"> The state of the Nation Housing 2014 p.21</w:t>
      </w:r>
    </w:p>
  </w:footnote>
  <w:footnote w:id="3">
    <w:p w:rsidR="005810A1" w:rsidRDefault="005810A1" w:rsidP="005B75F7">
      <w:pPr>
        <w:pStyle w:val="FootnoteText"/>
      </w:pPr>
      <w:r>
        <w:rPr>
          <w:rStyle w:val="FootnoteReference"/>
        </w:rPr>
        <w:footnoteRef/>
      </w:r>
      <w:r>
        <w:t xml:space="preserve">  Our answer in response to Question </w:t>
      </w:r>
      <w:proofErr w:type="gramStart"/>
      <w:r>
        <w:t>3,</w:t>
      </w:r>
      <w:proofErr w:type="gramEnd"/>
      <w:r>
        <w:t xml:space="preserve"> relies heavily on the previous work experience of Mr. Molesky in his various positions with HUD, two major ratings agencies, Fannie Mae, and Genworth Mortgage Insurance Corporation.</w:t>
      </w:r>
    </w:p>
  </w:footnote>
  <w:footnote w:id="4">
    <w:p w:rsidR="009D6986" w:rsidRDefault="007101C1" w:rsidP="009D6986">
      <w:pPr>
        <w:pStyle w:val="FootnoteText"/>
      </w:pPr>
      <w:r>
        <w:rPr>
          <w:rStyle w:val="FootnoteReference"/>
        </w:rPr>
        <w:footnoteRef/>
      </w:r>
      <w:r>
        <w:t xml:space="preserve"> </w:t>
      </w:r>
      <w:r w:rsidR="009D6986">
        <w:t xml:space="preserve">GSE Fees for current projections include 20 bps plus 25 bps adverse market fee plus any LLPA as noted for that LTV/FICO bucket. For Proposed revenue projections, GSE fees include only the 20 bps general fee plus the higher LLPAs associated with that LTV/FICO category. </w:t>
      </w:r>
    </w:p>
    <w:p w:rsidR="007101C1" w:rsidRDefault="007101C1" w:rsidP="009D6986">
      <w:pPr>
        <w:pStyle w:val="FootnoteText"/>
      </w:pPr>
    </w:p>
  </w:footnote>
  <w:footnote w:id="5">
    <w:p w:rsidR="009D6986" w:rsidRDefault="009D6986">
      <w:pPr>
        <w:pStyle w:val="FootnoteText"/>
      </w:pPr>
      <w:r>
        <w:rPr>
          <w:rStyle w:val="FootnoteReference"/>
        </w:rPr>
        <w:footnoteRef/>
      </w:r>
      <w:r>
        <w:t xml:space="preserve"> Average loss rates are based on fully documented fixed rate owner-occupied purchase loans.</w:t>
      </w:r>
    </w:p>
  </w:footnote>
  <w:footnote w:id="6">
    <w:p w:rsidR="005810A1" w:rsidRDefault="005810A1">
      <w:pPr>
        <w:pStyle w:val="FootnoteText"/>
      </w:pPr>
      <w:r>
        <w:rPr>
          <w:rStyle w:val="FootnoteReference"/>
        </w:rPr>
        <w:footnoteRef/>
      </w:r>
      <w:r>
        <w:t xml:space="preserve"> </w:t>
      </w:r>
      <w:r w:rsidRPr="005B75F7">
        <w:t>The correct calculation of having ten consecutive origination years with same level of stress loss requires one to multiply the probability of each single book times each of the other. So even with a chance of 1 in a hundred for each book, the probability of having ten consecutive books with the same high stress loss level is one in 100 hundred million trillion.</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40EDC"/>
    <w:multiLevelType w:val="hybridMultilevel"/>
    <w:tmpl w:val="7AC8C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F84B3C"/>
    <w:multiLevelType w:val="hybridMultilevel"/>
    <w:tmpl w:val="65807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C3275C"/>
    <w:multiLevelType w:val="hybridMultilevel"/>
    <w:tmpl w:val="D4BA7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EB6D74"/>
    <w:multiLevelType w:val="hybridMultilevel"/>
    <w:tmpl w:val="9CD63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536492"/>
    <w:multiLevelType w:val="hybridMultilevel"/>
    <w:tmpl w:val="E2D0FD6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revisionView w:markup="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5F7"/>
    <w:rsid w:val="00025AC6"/>
    <w:rsid w:val="0007697D"/>
    <w:rsid w:val="00116C27"/>
    <w:rsid w:val="001A0478"/>
    <w:rsid w:val="00257D2F"/>
    <w:rsid w:val="002E3BF8"/>
    <w:rsid w:val="00312DF5"/>
    <w:rsid w:val="00345335"/>
    <w:rsid w:val="003A5273"/>
    <w:rsid w:val="00423B74"/>
    <w:rsid w:val="00463A62"/>
    <w:rsid w:val="005035EE"/>
    <w:rsid w:val="005810A1"/>
    <w:rsid w:val="005B75F7"/>
    <w:rsid w:val="00637449"/>
    <w:rsid w:val="00643F76"/>
    <w:rsid w:val="006939D2"/>
    <w:rsid w:val="006A6A5A"/>
    <w:rsid w:val="006E6E2D"/>
    <w:rsid w:val="007101C1"/>
    <w:rsid w:val="007C59EB"/>
    <w:rsid w:val="00827E81"/>
    <w:rsid w:val="00853B23"/>
    <w:rsid w:val="008808A1"/>
    <w:rsid w:val="00882337"/>
    <w:rsid w:val="008B697A"/>
    <w:rsid w:val="008E2863"/>
    <w:rsid w:val="0092153B"/>
    <w:rsid w:val="0094250B"/>
    <w:rsid w:val="00947E7A"/>
    <w:rsid w:val="00950800"/>
    <w:rsid w:val="0099437A"/>
    <w:rsid w:val="009B59FA"/>
    <w:rsid w:val="009D6986"/>
    <w:rsid w:val="00A830A7"/>
    <w:rsid w:val="00AC042A"/>
    <w:rsid w:val="00AD27E9"/>
    <w:rsid w:val="00B13CB0"/>
    <w:rsid w:val="00C12FC8"/>
    <w:rsid w:val="00CB71F1"/>
    <w:rsid w:val="00CC52DA"/>
    <w:rsid w:val="00CE6450"/>
    <w:rsid w:val="00D937C0"/>
    <w:rsid w:val="00E36F87"/>
    <w:rsid w:val="00E765C6"/>
    <w:rsid w:val="00ED43CC"/>
    <w:rsid w:val="00FC4024"/>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5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B75F7"/>
    <w:pPr>
      <w:spacing w:after="0"/>
    </w:pPr>
    <w:rPr>
      <w:sz w:val="20"/>
      <w:szCs w:val="20"/>
    </w:rPr>
  </w:style>
  <w:style w:type="character" w:customStyle="1" w:styleId="FootnoteTextChar">
    <w:name w:val="Footnote Text Char"/>
    <w:basedOn w:val="DefaultParagraphFont"/>
    <w:link w:val="FootnoteText"/>
    <w:uiPriority w:val="99"/>
    <w:rsid w:val="005B75F7"/>
    <w:rPr>
      <w:sz w:val="20"/>
      <w:szCs w:val="20"/>
    </w:rPr>
  </w:style>
  <w:style w:type="character" w:styleId="FootnoteReference">
    <w:name w:val="footnote reference"/>
    <w:basedOn w:val="DefaultParagraphFont"/>
    <w:uiPriority w:val="99"/>
    <w:unhideWhenUsed/>
    <w:rsid w:val="005B75F7"/>
    <w:rPr>
      <w:vertAlign w:val="superscript"/>
    </w:rPr>
  </w:style>
  <w:style w:type="paragraph" w:styleId="Header">
    <w:name w:val="header"/>
    <w:basedOn w:val="Normal"/>
    <w:link w:val="HeaderChar"/>
    <w:rsid w:val="005B75F7"/>
    <w:pPr>
      <w:tabs>
        <w:tab w:val="center" w:pos="4320"/>
        <w:tab w:val="right" w:pos="8640"/>
      </w:tabs>
      <w:spacing w:after="0"/>
      <w:jc w:val="both"/>
    </w:pPr>
    <w:rPr>
      <w:rFonts w:ascii="Arial" w:eastAsia="Times" w:hAnsi="Arial" w:cs="Times New Roman"/>
      <w:szCs w:val="20"/>
      <w:lang w:eastAsia="en-US"/>
    </w:rPr>
  </w:style>
  <w:style w:type="character" w:customStyle="1" w:styleId="HeaderChar">
    <w:name w:val="Header Char"/>
    <w:basedOn w:val="DefaultParagraphFont"/>
    <w:link w:val="Header"/>
    <w:rsid w:val="005B75F7"/>
    <w:rPr>
      <w:rFonts w:ascii="Arial" w:eastAsia="Times" w:hAnsi="Arial" w:cs="Times New Roman"/>
      <w:szCs w:val="20"/>
      <w:lang w:eastAsia="en-US"/>
    </w:rPr>
  </w:style>
  <w:style w:type="paragraph" w:styleId="ListParagraph">
    <w:name w:val="List Paragraph"/>
    <w:basedOn w:val="Normal"/>
    <w:uiPriority w:val="34"/>
    <w:qFormat/>
    <w:rsid w:val="005B75F7"/>
    <w:pPr>
      <w:ind w:left="720"/>
      <w:contextualSpacing/>
    </w:pPr>
  </w:style>
  <w:style w:type="paragraph" w:styleId="NoSpacing">
    <w:name w:val="No Spacing"/>
    <w:uiPriority w:val="1"/>
    <w:qFormat/>
    <w:rsid w:val="005B75F7"/>
    <w:pPr>
      <w:spacing w:after="0"/>
    </w:pPr>
  </w:style>
  <w:style w:type="paragraph" w:styleId="BalloonText">
    <w:name w:val="Balloon Text"/>
    <w:basedOn w:val="Normal"/>
    <w:link w:val="BalloonTextChar"/>
    <w:uiPriority w:val="99"/>
    <w:semiHidden/>
    <w:unhideWhenUsed/>
    <w:rsid w:val="005B75F7"/>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75F7"/>
    <w:rPr>
      <w:rFonts w:ascii="Lucida Grande" w:hAnsi="Lucida Grande" w:cs="Lucida Grande"/>
      <w:sz w:val="18"/>
      <w:szCs w:val="18"/>
    </w:rPr>
  </w:style>
  <w:style w:type="paragraph" w:styleId="Footer">
    <w:name w:val="footer"/>
    <w:basedOn w:val="Normal"/>
    <w:link w:val="FooterChar"/>
    <w:uiPriority w:val="99"/>
    <w:unhideWhenUsed/>
    <w:rsid w:val="005B75F7"/>
    <w:pPr>
      <w:tabs>
        <w:tab w:val="center" w:pos="4680"/>
        <w:tab w:val="right" w:pos="9360"/>
      </w:tabs>
      <w:spacing w:after="0"/>
    </w:pPr>
  </w:style>
  <w:style w:type="character" w:customStyle="1" w:styleId="FooterChar">
    <w:name w:val="Footer Char"/>
    <w:basedOn w:val="DefaultParagraphFont"/>
    <w:link w:val="Footer"/>
    <w:uiPriority w:val="99"/>
    <w:rsid w:val="005B75F7"/>
  </w:style>
  <w:style w:type="character" w:styleId="CommentReference">
    <w:name w:val="annotation reference"/>
    <w:basedOn w:val="DefaultParagraphFont"/>
    <w:uiPriority w:val="99"/>
    <w:semiHidden/>
    <w:unhideWhenUsed/>
    <w:rsid w:val="005B75F7"/>
    <w:rPr>
      <w:sz w:val="16"/>
      <w:szCs w:val="16"/>
    </w:rPr>
  </w:style>
  <w:style w:type="paragraph" w:styleId="CommentText">
    <w:name w:val="annotation text"/>
    <w:basedOn w:val="Normal"/>
    <w:link w:val="CommentTextChar"/>
    <w:uiPriority w:val="99"/>
    <w:semiHidden/>
    <w:unhideWhenUsed/>
    <w:rsid w:val="005B75F7"/>
    <w:rPr>
      <w:sz w:val="20"/>
      <w:szCs w:val="20"/>
    </w:rPr>
  </w:style>
  <w:style w:type="character" w:customStyle="1" w:styleId="CommentTextChar">
    <w:name w:val="Comment Text Char"/>
    <w:basedOn w:val="DefaultParagraphFont"/>
    <w:link w:val="CommentText"/>
    <w:uiPriority w:val="99"/>
    <w:semiHidden/>
    <w:rsid w:val="005B75F7"/>
    <w:rPr>
      <w:sz w:val="20"/>
      <w:szCs w:val="20"/>
    </w:rPr>
  </w:style>
  <w:style w:type="paragraph" w:styleId="CommentSubject">
    <w:name w:val="annotation subject"/>
    <w:basedOn w:val="CommentText"/>
    <w:next w:val="CommentText"/>
    <w:link w:val="CommentSubjectChar"/>
    <w:uiPriority w:val="99"/>
    <w:semiHidden/>
    <w:unhideWhenUsed/>
    <w:rsid w:val="005B75F7"/>
    <w:rPr>
      <w:b/>
      <w:bCs/>
    </w:rPr>
  </w:style>
  <w:style w:type="character" w:customStyle="1" w:styleId="CommentSubjectChar">
    <w:name w:val="Comment Subject Char"/>
    <w:basedOn w:val="CommentTextChar"/>
    <w:link w:val="CommentSubject"/>
    <w:uiPriority w:val="99"/>
    <w:semiHidden/>
    <w:rsid w:val="005B75F7"/>
    <w:rPr>
      <w:b/>
      <w:bCs/>
      <w:sz w:val="20"/>
      <w:szCs w:val="20"/>
    </w:rPr>
  </w:style>
  <w:style w:type="character" w:styleId="Hyperlink">
    <w:name w:val="Hyperlink"/>
    <w:basedOn w:val="DefaultParagraphFont"/>
    <w:uiPriority w:val="99"/>
    <w:unhideWhenUsed/>
    <w:rsid w:val="005B75F7"/>
    <w:rPr>
      <w:color w:val="0000FF" w:themeColor="hyperlink"/>
      <w:u w:val="single"/>
    </w:rPr>
  </w:style>
  <w:style w:type="character" w:styleId="PageNumber">
    <w:name w:val="page number"/>
    <w:basedOn w:val="DefaultParagraphFont"/>
    <w:uiPriority w:val="99"/>
    <w:semiHidden/>
    <w:unhideWhenUsed/>
    <w:rsid w:val="00947E7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5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B75F7"/>
    <w:pPr>
      <w:spacing w:after="0"/>
    </w:pPr>
    <w:rPr>
      <w:sz w:val="20"/>
      <w:szCs w:val="20"/>
    </w:rPr>
  </w:style>
  <w:style w:type="character" w:customStyle="1" w:styleId="FootnoteTextChar">
    <w:name w:val="Footnote Text Char"/>
    <w:basedOn w:val="DefaultParagraphFont"/>
    <w:link w:val="FootnoteText"/>
    <w:uiPriority w:val="99"/>
    <w:rsid w:val="005B75F7"/>
    <w:rPr>
      <w:sz w:val="20"/>
      <w:szCs w:val="20"/>
    </w:rPr>
  </w:style>
  <w:style w:type="character" w:styleId="FootnoteReference">
    <w:name w:val="footnote reference"/>
    <w:basedOn w:val="DefaultParagraphFont"/>
    <w:uiPriority w:val="99"/>
    <w:unhideWhenUsed/>
    <w:rsid w:val="005B75F7"/>
    <w:rPr>
      <w:vertAlign w:val="superscript"/>
    </w:rPr>
  </w:style>
  <w:style w:type="paragraph" w:styleId="Header">
    <w:name w:val="header"/>
    <w:basedOn w:val="Normal"/>
    <w:link w:val="HeaderChar"/>
    <w:rsid w:val="005B75F7"/>
    <w:pPr>
      <w:tabs>
        <w:tab w:val="center" w:pos="4320"/>
        <w:tab w:val="right" w:pos="8640"/>
      </w:tabs>
      <w:spacing w:after="0"/>
      <w:jc w:val="both"/>
    </w:pPr>
    <w:rPr>
      <w:rFonts w:ascii="Arial" w:eastAsia="Times" w:hAnsi="Arial" w:cs="Times New Roman"/>
      <w:szCs w:val="20"/>
      <w:lang w:eastAsia="en-US"/>
    </w:rPr>
  </w:style>
  <w:style w:type="character" w:customStyle="1" w:styleId="HeaderChar">
    <w:name w:val="Header Char"/>
    <w:basedOn w:val="DefaultParagraphFont"/>
    <w:link w:val="Header"/>
    <w:rsid w:val="005B75F7"/>
    <w:rPr>
      <w:rFonts w:ascii="Arial" w:eastAsia="Times" w:hAnsi="Arial" w:cs="Times New Roman"/>
      <w:szCs w:val="20"/>
      <w:lang w:eastAsia="en-US"/>
    </w:rPr>
  </w:style>
  <w:style w:type="paragraph" w:styleId="ListParagraph">
    <w:name w:val="List Paragraph"/>
    <w:basedOn w:val="Normal"/>
    <w:uiPriority w:val="34"/>
    <w:qFormat/>
    <w:rsid w:val="005B75F7"/>
    <w:pPr>
      <w:ind w:left="720"/>
      <w:contextualSpacing/>
    </w:pPr>
  </w:style>
  <w:style w:type="paragraph" w:styleId="NoSpacing">
    <w:name w:val="No Spacing"/>
    <w:uiPriority w:val="1"/>
    <w:qFormat/>
    <w:rsid w:val="005B75F7"/>
    <w:pPr>
      <w:spacing w:after="0"/>
    </w:pPr>
  </w:style>
  <w:style w:type="paragraph" w:styleId="BalloonText">
    <w:name w:val="Balloon Text"/>
    <w:basedOn w:val="Normal"/>
    <w:link w:val="BalloonTextChar"/>
    <w:uiPriority w:val="99"/>
    <w:semiHidden/>
    <w:unhideWhenUsed/>
    <w:rsid w:val="005B75F7"/>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75F7"/>
    <w:rPr>
      <w:rFonts w:ascii="Lucida Grande" w:hAnsi="Lucida Grande" w:cs="Lucida Grande"/>
      <w:sz w:val="18"/>
      <w:szCs w:val="18"/>
    </w:rPr>
  </w:style>
  <w:style w:type="paragraph" w:styleId="Footer">
    <w:name w:val="footer"/>
    <w:basedOn w:val="Normal"/>
    <w:link w:val="FooterChar"/>
    <w:uiPriority w:val="99"/>
    <w:unhideWhenUsed/>
    <w:rsid w:val="005B75F7"/>
    <w:pPr>
      <w:tabs>
        <w:tab w:val="center" w:pos="4680"/>
        <w:tab w:val="right" w:pos="9360"/>
      </w:tabs>
      <w:spacing w:after="0"/>
    </w:pPr>
  </w:style>
  <w:style w:type="character" w:customStyle="1" w:styleId="FooterChar">
    <w:name w:val="Footer Char"/>
    <w:basedOn w:val="DefaultParagraphFont"/>
    <w:link w:val="Footer"/>
    <w:uiPriority w:val="99"/>
    <w:rsid w:val="005B75F7"/>
  </w:style>
  <w:style w:type="character" w:styleId="CommentReference">
    <w:name w:val="annotation reference"/>
    <w:basedOn w:val="DefaultParagraphFont"/>
    <w:uiPriority w:val="99"/>
    <w:semiHidden/>
    <w:unhideWhenUsed/>
    <w:rsid w:val="005B75F7"/>
    <w:rPr>
      <w:sz w:val="16"/>
      <w:szCs w:val="16"/>
    </w:rPr>
  </w:style>
  <w:style w:type="paragraph" w:styleId="CommentText">
    <w:name w:val="annotation text"/>
    <w:basedOn w:val="Normal"/>
    <w:link w:val="CommentTextChar"/>
    <w:uiPriority w:val="99"/>
    <w:semiHidden/>
    <w:unhideWhenUsed/>
    <w:rsid w:val="005B75F7"/>
    <w:rPr>
      <w:sz w:val="20"/>
      <w:szCs w:val="20"/>
    </w:rPr>
  </w:style>
  <w:style w:type="character" w:customStyle="1" w:styleId="CommentTextChar">
    <w:name w:val="Comment Text Char"/>
    <w:basedOn w:val="DefaultParagraphFont"/>
    <w:link w:val="CommentText"/>
    <w:uiPriority w:val="99"/>
    <w:semiHidden/>
    <w:rsid w:val="005B75F7"/>
    <w:rPr>
      <w:sz w:val="20"/>
      <w:szCs w:val="20"/>
    </w:rPr>
  </w:style>
  <w:style w:type="paragraph" w:styleId="CommentSubject">
    <w:name w:val="annotation subject"/>
    <w:basedOn w:val="CommentText"/>
    <w:next w:val="CommentText"/>
    <w:link w:val="CommentSubjectChar"/>
    <w:uiPriority w:val="99"/>
    <w:semiHidden/>
    <w:unhideWhenUsed/>
    <w:rsid w:val="005B75F7"/>
    <w:rPr>
      <w:b/>
      <w:bCs/>
    </w:rPr>
  </w:style>
  <w:style w:type="character" w:customStyle="1" w:styleId="CommentSubjectChar">
    <w:name w:val="Comment Subject Char"/>
    <w:basedOn w:val="CommentTextChar"/>
    <w:link w:val="CommentSubject"/>
    <w:uiPriority w:val="99"/>
    <w:semiHidden/>
    <w:rsid w:val="005B75F7"/>
    <w:rPr>
      <w:b/>
      <w:bCs/>
      <w:sz w:val="20"/>
      <w:szCs w:val="20"/>
    </w:rPr>
  </w:style>
  <w:style w:type="character" w:styleId="Hyperlink">
    <w:name w:val="Hyperlink"/>
    <w:basedOn w:val="DefaultParagraphFont"/>
    <w:uiPriority w:val="99"/>
    <w:unhideWhenUsed/>
    <w:rsid w:val="005B75F7"/>
    <w:rPr>
      <w:color w:val="0000FF" w:themeColor="hyperlink"/>
      <w:u w:val="single"/>
    </w:rPr>
  </w:style>
  <w:style w:type="character" w:styleId="PageNumber">
    <w:name w:val="page number"/>
    <w:basedOn w:val="DefaultParagraphFont"/>
    <w:uiPriority w:val="99"/>
    <w:semiHidden/>
    <w:unhideWhenUsed/>
    <w:rsid w:val="00947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882340">
      <w:bodyDiv w:val="1"/>
      <w:marLeft w:val="0"/>
      <w:marRight w:val="0"/>
      <w:marTop w:val="0"/>
      <w:marBottom w:val="0"/>
      <w:divBdr>
        <w:top w:val="none" w:sz="0" w:space="0" w:color="auto"/>
        <w:left w:val="none" w:sz="0" w:space="0" w:color="auto"/>
        <w:bottom w:val="none" w:sz="0" w:space="0" w:color="auto"/>
        <w:right w:val="none" w:sz="0" w:space="0" w:color="auto"/>
      </w:divBdr>
    </w:div>
    <w:div w:id="861675147">
      <w:bodyDiv w:val="1"/>
      <w:marLeft w:val="0"/>
      <w:marRight w:val="0"/>
      <w:marTop w:val="0"/>
      <w:marBottom w:val="0"/>
      <w:divBdr>
        <w:top w:val="none" w:sz="0" w:space="0" w:color="auto"/>
        <w:left w:val="none" w:sz="0" w:space="0" w:color="auto"/>
        <w:bottom w:val="none" w:sz="0" w:space="0" w:color="auto"/>
        <w:right w:val="none" w:sz="0" w:space="0" w:color="auto"/>
      </w:divBdr>
    </w:div>
    <w:div w:id="976951443">
      <w:bodyDiv w:val="1"/>
      <w:marLeft w:val="0"/>
      <w:marRight w:val="0"/>
      <w:marTop w:val="0"/>
      <w:marBottom w:val="0"/>
      <w:divBdr>
        <w:top w:val="none" w:sz="0" w:space="0" w:color="auto"/>
        <w:left w:val="none" w:sz="0" w:space="0" w:color="auto"/>
        <w:bottom w:val="none" w:sz="0" w:space="0" w:color="auto"/>
        <w:right w:val="none" w:sz="0" w:space="0" w:color="auto"/>
      </w:divBdr>
    </w:div>
    <w:div w:id="1030377106">
      <w:bodyDiv w:val="1"/>
      <w:marLeft w:val="0"/>
      <w:marRight w:val="0"/>
      <w:marTop w:val="0"/>
      <w:marBottom w:val="0"/>
      <w:divBdr>
        <w:top w:val="none" w:sz="0" w:space="0" w:color="auto"/>
        <w:left w:val="none" w:sz="0" w:space="0" w:color="auto"/>
        <w:bottom w:val="none" w:sz="0" w:space="0" w:color="auto"/>
        <w:right w:val="none" w:sz="0" w:space="0" w:color="auto"/>
      </w:divBdr>
    </w:div>
    <w:div w:id="1402830696">
      <w:bodyDiv w:val="1"/>
      <w:marLeft w:val="0"/>
      <w:marRight w:val="0"/>
      <w:marTop w:val="0"/>
      <w:marBottom w:val="0"/>
      <w:divBdr>
        <w:top w:val="none" w:sz="0" w:space="0" w:color="auto"/>
        <w:left w:val="none" w:sz="0" w:space="0" w:color="auto"/>
        <w:bottom w:val="none" w:sz="0" w:space="0" w:color="auto"/>
        <w:right w:val="none" w:sz="0" w:space="0" w:color="auto"/>
      </w:divBdr>
    </w:div>
    <w:div w:id="1440417710">
      <w:bodyDiv w:val="1"/>
      <w:marLeft w:val="0"/>
      <w:marRight w:val="0"/>
      <w:marTop w:val="0"/>
      <w:marBottom w:val="0"/>
      <w:divBdr>
        <w:top w:val="none" w:sz="0" w:space="0" w:color="auto"/>
        <w:left w:val="none" w:sz="0" w:space="0" w:color="auto"/>
        <w:bottom w:val="none" w:sz="0" w:space="0" w:color="auto"/>
        <w:right w:val="none" w:sz="0" w:space="0" w:color="auto"/>
      </w:divBdr>
    </w:div>
    <w:div w:id="1558081252">
      <w:bodyDiv w:val="1"/>
      <w:marLeft w:val="0"/>
      <w:marRight w:val="0"/>
      <w:marTop w:val="0"/>
      <w:marBottom w:val="0"/>
      <w:divBdr>
        <w:top w:val="none" w:sz="0" w:space="0" w:color="auto"/>
        <w:left w:val="none" w:sz="0" w:space="0" w:color="auto"/>
        <w:bottom w:val="none" w:sz="0" w:space="0" w:color="auto"/>
        <w:right w:val="none" w:sz="0" w:space="0" w:color="auto"/>
      </w:divBdr>
    </w:div>
    <w:div w:id="1643341570">
      <w:bodyDiv w:val="1"/>
      <w:marLeft w:val="0"/>
      <w:marRight w:val="0"/>
      <w:marTop w:val="0"/>
      <w:marBottom w:val="0"/>
      <w:divBdr>
        <w:top w:val="none" w:sz="0" w:space="0" w:color="auto"/>
        <w:left w:val="none" w:sz="0" w:space="0" w:color="auto"/>
        <w:bottom w:val="none" w:sz="0" w:space="0" w:color="auto"/>
        <w:right w:val="none" w:sz="0" w:space="0" w:color="auto"/>
      </w:divBdr>
    </w:div>
    <w:div w:id="1791246800">
      <w:bodyDiv w:val="1"/>
      <w:marLeft w:val="0"/>
      <w:marRight w:val="0"/>
      <w:marTop w:val="0"/>
      <w:marBottom w:val="0"/>
      <w:divBdr>
        <w:top w:val="none" w:sz="0" w:space="0" w:color="auto"/>
        <w:left w:val="none" w:sz="0" w:space="0" w:color="auto"/>
        <w:bottom w:val="none" w:sz="0" w:space="0" w:color="auto"/>
        <w:right w:val="none" w:sz="0" w:space="0" w:color="auto"/>
      </w:divBdr>
    </w:div>
    <w:div w:id="1804080948">
      <w:bodyDiv w:val="1"/>
      <w:marLeft w:val="0"/>
      <w:marRight w:val="0"/>
      <w:marTop w:val="0"/>
      <w:marBottom w:val="0"/>
      <w:divBdr>
        <w:top w:val="none" w:sz="0" w:space="0" w:color="auto"/>
        <w:left w:val="none" w:sz="0" w:space="0" w:color="auto"/>
        <w:bottom w:val="none" w:sz="0" w:space="0" w:color="auto"/>
        <w:right w:val="none" w:sz="0" w:space="0" w:color="auto"/>
      </w:divBdr>
    </w:div>
    <w:div w:id="1918131260">
      <w:bodyDiv w:val="1"/>
      <w:marLeft w:val="0"/>
      <w:marRight w:val="0"/>
      <w:marTop w:val="0"/>
      <w:marBottom w:val="0"/>
      <w:divBdr>
        <w:top w:val="none" w:sz="0" w:space="0" w:color="auto"/>
        <w:left w:val="none" w:sz="0" w:space="0" w:color="auto"/>
        <w:bottom w:val="none" w:sz="0" w:space="0" w:color="auto"/>
        <w:right w:val="none" w:sz="0" w:space="0" w:color="auto"/>
      </w:divBdr>
    </w:div>
    <w:div w:id="21031817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E3DBFC-62F4-4241-879F-AFC2E59ED2C9}"/>
</file>

<file path=customXml/itemProps2.xml><?xml version="1.0" encoding="utf-8"?>
<ds:datastoreItem xmlns:ds="http://schemas.openxmlformats.org/officeDocument/2006/customXml" ds:itemID="{0408EEF3-0588-7443-AF56-E7DBD26742AE}"/>
</file>

<file path=customXml/itemProps3.xml><?xml version="1.0" encoding="utf-8"?>
<ds:datastoreItem xmlns:ds="http://schemas.openxmlformats.org/officeDocument/2006/customXml" ds:itemID="{A678FD65-37B2-4269-AE2C-DBD7F7A9D4B8}"/>
</file>

<file path=customXml/itemProps4.xml><?xml version="1.0" encoding="utf-8"?>
<ds:datastoreItem xmlns:ds="http://schemas.openxmlformats.org/officeDocument/2006/customXml" ds:itemID="{4DF44EEC-2150-4F3E-ACEA-BAD8E0E248B9}"/>
</file>

<file path=docProps/app.xml><?xml version="1.0" encoding="utf-8"?>
<Properties xmlns="http://schemas.openxmlformats.org/officeDocument/2006/extended-properties" xmlns:vt="http://schemas.openxmlformats.org/officeDocument/2006/docPropsVTypes">
  <Template>Normal.dotm</Template>
  <TotalTime>6</TotalTime>
  <Pages>18</Pages>
  <Words>6283</Words>
  <Characters>35817</Characters>
  <Application>Microsoft Macintosh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42016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Goldhaber</dc:creator>
  <cp:lastModifiedBy>Mark Goldhaber</cp:lastModifiedBy>
  <cp:revision>2</cp:revision>
  <cp:lastPrinted>2014-08-26T14:57:00Z</cp:lastPrinted>
  <dcterms:created xsi:type="dcterms:W3CDTF">2014-08-27T14:39:00Z</dcterms:created>
  <dcterms:modified xsi:type="dcterms:W3CDTF">2014-08-27T14:39:00Z</dcterms:modified>
</cp:coreProperties>
</file>