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3E543" w14:textId="17D6CB5B" w:rsidR="00E3542E" w:rsidRPr="00C9266A" w:rsidRDefault="00940EDF" w:rsidP="00C9266A">
      <w:pPr>
        <w:jc w:val="center"/>
        <w:rPr>
          <w:b/>
          <w:sz w:val="32"/>
          <w:szCs w:val="32"/>
        </w:rPr>
      </w:pPr>
      <w:r w:rsidRPr="00C9266A">
        <w:rPr>
          <w:b/>
          <w:sz w:val="32"/>
          <w:szCs w:val="32"/>
        </w:rPr>
        <w:t>Response to FHFA</w:t>
      </w:r>
      <w:r w:rsidR="000606FC" w:rsidRPr="00C9266A">
        <w:rPr>
          <w:b/>
          <w:sz w:val="32"/>
          <w:szCs w:val="32"/>
        </w:rPr>
        <w:t>’ Pooling</w:t>
      </w:r>
      <w:r w:rsidRPr="00C9266A">
        <w:rPr>
          <w:b/>
          <w:sz w:val="32"/>
          <w:szCs w:val="32"/>
        </w:rPr>
        <w:t xml:space="preserve"> RFI</w:t>
      </w:r>
    </w:p>
    <w:p w14:paraId="73D26943" w14:textId="380CEF3C" w:rsidR="00C10168" w:rsidRDefault="000606FC" w:rsidP="000606FC">
      <w:r>
        <w:t xml:space="preserve">The concerns raised by FHFA </w:t>
      </w:r>
      <w:r w:rsidR="002212EE">
        <w:t>on</w:t>
      </w:r>
      <w:r>
        <w:t xml:space="preserve"> differing pooling practices across the GSEs adversely impact</w:t>
      </w:r>
      <w:r w:rsidR="00823F5D">
        <w:t>ing</w:t>
      </w:r>
      <w:r>
        <w:t xml:space="preserve"> the fungibility of UMBS</w:t>
      </w:r>
      <w:r w:rsidR="002212EE">
        <w:t>,</w:t>
      </w:r>
      <w:r w:rsidR="00823F5D">
        <w:t xml:space="preserve"> are well founded given that </w:t>
      </w:r>
      <w:r w:rsidR="00130B6C">
        <w:t xml:space="preserve">there are </w:t>
      </w:r>
      <w:r w:rsidR="00823F5D">
        <w:t xml:space="preserve">more than a hundred </w:t>
      </w:r>
      <w:r w:rsidR="00130B6C">
        <w:t>seller/servicers</w:t>
      </w:r>
      <w:r w:rsidR="00823F5D">
        <w:t xml:space="preserve">. </w:t>
      </w:r>
      <w:r w:rsidR="00505FC7">
        <w:t>As shown in the charts below, p</w:t>
      </w:r>
      <w:r w:rsidR="00C10168">
        <w:t xml:space="preserve">re-crisis the top four seller/servicer accounted for around 80% of the GSE market while recently the same 80% is split across </w:t>
      </w:r>
      <w:r w:rsidR="009821CD">
        <w:t>more than</w:t>
      </w:r>
      <w:r w:rsidR="007B73B1">
        <w:t xml:space="preserve"> a dozen</w:t>
      </w:r>
      <w:r w:rsidR="00C10168">
        <w:t xml:space="preserve"> seller/servicers. </w:t>
      </w:r>
    </w:p>
    <w:p w14:paraId="7D06359E" w14:textId="1BEB27CE" w:rsidR="00C10168" w:rsidRDefault="00AD2B54" w:rsidP="000606FC">
      <w:r w:rsidRPr="00AD2B54">
        <w:drawing>
          <wp:inline distT="0" distB="0" distL="0" distR="0" wp14:anchorId="431DFEEF" wp14:editId="469DA39A">
            <wp:extent cx="4562475" cy="2733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53CB7" w14:textId="05C32E6A" w:rsidR="005C7F44" w:rsidRDefault="00505FC7" w:rsidP="000606FC">
      <w:r w:rsidRPr="00505FC7">
        <w:rPr>
          <w:noProof/>
        </w:rPr>
        <w:drawing>
          <wp:inline distT="0" distB="0" distL="0" distR="0" wp14:anchorId="49C48F09" wp14:editId="5D360532">
            <wp:extent cx="4851070" cy="2496539"/>
            <wp:effectExtent l="0" t="0" r="698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6527" cy="2499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11DCA" w14:textId="602B43FB" w:rsidR="00E8403F" w:rsidRDefault="00130B6C" w:rsidP="000606FC">
      <w:r>
        <w:t xml:space="preserve">The </w:t>
      </w:r>
      <w:r w:rsidR="00823F5D">
        <w:t xml:space="preserve">fragmented universe </w:t>
      </w:r>
      <w:r>
        <w:t xml:space="preserve">of seller/servicers could result in </w:t>
      </w:r>
      <w:r w:rsidR="00823F5D">
        <w:t>idiosyncratic prepayment risks for</w:t>
      </w:r>
      <w:r w:rsidR="00095B5E">
        <w:t xml:space="preserve"> the</w:t>
      </w:r>
      <w:r w:rsidR="00823F5D">
        <w:t xml:space="preserve"> TBA </w:t>
      </w:r>
      <w:r w:rsidR="00095B5E">
        <w:t>market</w:t>
      </w:r>
      <w:r>
        <w:t>. These risks</w:t>
      </w:r>
      <w:r w:rsidR="00823F5D">
        <w:t xml:space="preserve"> could be mitigated by creating large</w:t>
      </w:r>
      <w:r>
        <w:t xml:space="preserve"> multi-lender</w:t>
      </w:r>
      <w:r w:rsidR="00823F5D">
        <w:t xml:space="preserve"> pools. However, one </w:t>
      </w:r>
      <w:r w:rsidR="00DE4B8A">
        <w:t>must</w:t>
      </w:r>
      <w:r w:rsidR="00823F5D">
        <w:t xml:space="preserve"> </w:t>
      </w:r>
      <w:r w:rsidR="00653292">
        <w:t xml:space="preserve">ensure </w:t>
      </w:r>
      <w:r w:rsidR="00823F5D">
        <w:t xml:space="preserve">that all lenders pooling their loans </w:t>
      </w:r>
      <w:r w:rsidR="00603CB2">
        <w:t xml:space="preserve">into a multi-lender pool </w:t>
      </w:r>
      <w:r w:rsidR="00DE4B8A">
        <w:t>receive equitable compensation so that they can continue to offer comparable and competitive mortgage rates.</w:t>
      </w:r>
    </w:p>
    <w:p w14:paraId="2F7F0DAB" w14:textId="03788E70" w:rsidR="00AD3C71" w:rsidRDefault="00885013" w:rsidP="000606FC">
      <w:pPr>
        <w:rPr>
          <w:rFonts w:eastAsia="Times New Roman"/>
        </w:rPr>
      </w:pPr>
      <w:r>
        <w:t xml:space="preserve">Although we are in favor of creating large </w:t>
      </w:r>
      <w:r w:rsidR="00095B5E">
        <w:t xml:space="preserve">multi-lender </w:t>
      </w:r>
      <w:r>
        <w:t xml:space="preserve">pools to mitigate idiosyncratic risks, we would recommend a more thoughtful pooling strategy than </w:t>
      </w:r>
      <w:r w:rsidR="00130B6C">
        <w:t xml:space="preserve">the current FHFA’s proposal of </w:t>
      </w:r>
      <w:r>
        <w:t xml:space="preserve">pooling 70-80% of </w:t>
      </w:r>
      <w:r w:rsidR="002C5DCA">
        <w:t>every lender’s non-specified collateral</w:t>
      </w:r>
      <w:r>
        <w:t xml:space="preserve"> in</w:t>
      </w:r>
      <w:r w:rsidR="002C5DCA">
        <w:t>to</w:t>
      </w:r>
      <w:r w:rsidR="00095B5E">
        <w:t xml:space="preserve"> a</w:t>
      </w:r>
      <w:r>
        <w:t xml:space="preserve"> large multi-lender pool</w:t>
      </w:r>
      <w:r w:rsidR="002C5DCA">
        <w:t xml:space="preserve"> each month</w:t>
      </w:r>
      <w:r w:rsidR="00AD3C71">
        <w:t xml:space="preserve">. </w:t>
      </w:r>
      <w:proofErr w:type="spellStart"/>
      <w:r w:rsidR="00AD3C71">
        <w:rPr>
          <w:rFonts w:eastAsia="Times New Roman"/>
        </w:rPr>
        <w:t>Ginnies</w:t>
      </w:r>
      <w:proofErr w:type="spellEnd"/>
      <w:r w:rsidR="00AD3C71">
        <w:rPr>
          <w:rFonts w:eastAsia="Times New Roman"/>
        </w:rPr>
        <w:t xml:space="preserve"> are a perfect </w:t>
      </w:r>
      <w:r w:rsidR="00AD3C71">
        <w:rPr>
          <w:rFonts w:eastAsia="Times New Roman"/>
        </w:rPr>
        <w:lastRenderedPageBreak/>
        <w:t xml:space="preserve">example of how creating one large multi-lender pool can </w:t>
      </w:r>
      <w:r w:rsidR="00695852">
        <w:rPr>
          <w:rFonts w:eastAsia="Times New Roman"/>
        </w:rPr>
        <w:t>result in</w:t>
      </w:r>
      <w:r w:rsidR="00AD3C71">
        <w:rPr>
          <w:rFonts w:eastAsia="Times New Roman"/>
        </w:rPr>
        <w:t xml:space="preserve"> lenders with prepayments comparable to or slower than cohort </w:t>
      </w:r>
      <w:r w:rsidR="00695852">
        <w:rPr>
          <w:rFonts w:eastAsia="Times New Roman"/>
        </w:rPr>
        <w:t>subsidizing</w:t>
      </w:r>
      <w:r w:rsidR="00AD3C71">
        <w:rPr>
          <w:rFonts w:eastAsia="Times New Roman"/>
        </w:rPr>
        <w:t xml:space="preserve"> the secondary market execution for those with higher than cohort prepays.  </w:t>
      </w:r>
    </w:p>
    <w:p w14:paraId="47C4C372" w14:textId="7F241175" w:rsidR="008C4FAF" w:rsidRDefault="008C4FAF" w:rsidP="000606FC">
      <w:r w:rsidRPr="00C9266A">
        <w:rPr>
          <w:b/>
          <w:u w:val="single"/>
        </w:rPr>
        <w:t xml:space="preserve">Differentiated Secondary Market Execution for </w:t>
      </w:r>
      <w:r>
        <w:rPr>
          <w:b/>
          <w:u w:val="single"/>
        </w:rPr>
        <w:t>Seller/Servicers with Outlier Prepays</w:t>
      </w:r>
    </w:p>
    <w:p w14:paraId="7F5D64F8" w14:textId="6CA78EA1" w:rsidR="00E8403F" w:rsidRDefault="00E8403F" w:rsidP="00E8403F">
      <w:pPr>
        <w:rPr>
          <w:rFonts w:eastAsia="Times New Roman"/>
        </w:rPr>
      </w:pPr>
      <w:r>
        <w:rPr>
          <w:rFonts w:eastAsia="Times New Roman"/>
        </w:rPr>
        <w:t xml:space="preserve">Typically, lenders with higher than cohort prepays have higher than average recapture rates (i.e. </w:t>
      </w:r>
      <w:r w:rsidRPr="00D10F54">
        <w:rPr>
          <w:rFonts w:eastAsia="Times New Roman"/>
          <w:i/>
        </w:rPr>
        <w:t>churners</w:t>
      </w:r>
      <w:r>
        <w:rPr>
          <w:rFonts w:eastAsia="Times New Roman"/>
        </w:rPr>
        <w:t xml:space="preserve">). </w:t>
      </w:r>
      <w:r w:rsidRPr="00D10F54">
        <w:rPr>
          <w:rFonts w:eastAsia="Times New Roman"/>
          <w:i/>
        </w:rPr>
        <w:t>Churners</w:t>
      </w:r>
      <w:r>
        <w:rPr>
          <w:rFonts w:eastAsia="Times New Roman"/>
        </w:rPr>
        <w:t xml:space="preserve"> are incentivized to efficiently refinance their portfolios because of both the premium secondary market execution and the improvement </w:t>
      </w:r>
      <w:r w:rsidR="00695852">
        <w:rPr>
          <w:rFonts w:eastAsia="Times New Roman"/>
        </w:rPr>
        <w:t>in t</w:t>
      </w:r>
      <w:r>
        <w:rPr>
          <w:rFonts w:eastAsia="Times New Roman"/>
        </w:rPr>
        <w:t>he value of the MSR asset. </w:t>
      </w:r>
    </w:p>
    <w:p w14:paraId="61915E86" w14:textId="678BD490" w:rsidR="00E8403F" w:rsidRDefault="00E8403F" w:rsidP="00E8403F">
      <w:r>
        <w:rPr>
          <w:rFonts w:eastAsia="Times New Roman"/>
        </w:rPr>
        <w:t xml:space="preserve">In the short-term, </w:t>
      </w:r>
      <w:r w:rsidRPr="00D10F54">
        <w:rPr>
          <w:rFonts w:eastAsia="Times New Roman"/>
          <w:i/>
        </w:rPr>
        <w:t>churners</w:t>
      </w:r>
      <w:r>
        <w:rPr>
          <w:rFonts w:eastAsia="Times New Roman"/>
        </w:rPr>
        <w:t xml:space="preserve"> in multi-lender pools are likely to adversely impact the secondary market execution for the </w:t>
      </w:r>
      <w:r w:rsidRPr="00D10F54">
        <w:rPr>
          <w:rFonts w:eastAsia="Times New Roman"/>
          <w:i/>
        </w:rPr>
        <w:t>non-churners</w:t>
      </w:r>
      <w:r>
        <w:rPr>
          <w:rFonts w:eastAsia="Times New Roman"/>
        </w:rPr>
        <w:t xml:space="preserve">. In the long-term, allowing </w:t>
      </w:r>
      <w:r w:rsidRPr="00D10F54">
        <w:rPr>
          <w:rFonts w:eastAsia="Times New Roman"/>
          <w:i/>
        </w:rPr>
        <w:t>churners</w:t>
      </w:r>
      <w:r>
        <w:rPr>
          <w:rFonts w:eastAsia="Times New Roman"/>
        </w:rPr>
        <w:t xml:space="preserve"> to grow at the expense of </w:t>
      </w:r>
      <w:r w:rsidRPr="00D10F54">
        <w:rPr>
          <w:rFonts w:eastAsia="Times New Roman"/>
          <w:i/>
        </w:rPr>
        <w:t>non-churners</w:t>
      </w:r>
      <w:r>
        <w:rPr>
          <w:rFonts w:eastAsia="Times New Roman"/>
        </w:rPr>
        <w:t xml:space="preserve"> will adversely impact mortgage rates being offered to the borrower. An unchecked increase in share of </w:t>
      </w:r>
      <w:r w:rsidRPr="00D10F54">
        <w:rPr>
          <w:rFonts w:eastAsia="Times New Roman"/>
          <w:i/>
        </w:rPr>
        <w:t>churners</w:t>
      </w:r>
      <w:r>
        <w:rPr>
          <w:rFonts w:eastAsia="Times New Roman"/>
        </w:rPr>
        <w:t xml:space="preserve"> in a </w:t>
      </w:r>
      <w:r w:rsidR="00695852">
        <w:rPr>
          <w:rFonts w:eastAsia="Times New Roman"/>
        </w:rPr>
        <w:t xml:space="preserve">multi-lender </w:t>
      </w:r>
      <w:r>
        <w:rPr>
          <w:rFonts w:eastAsia="Times New Roman"/>
        </w:rPr>
        <w:t xml:space="preserve">pool </w:t>
      </w:r>
      <w:r>
        <w:t xml:space="preserve">would increase the convexity cost of the asset, </w:t>
      </w:r>
      <w:r w:rsidR="00EC4B48">
        <w:t xml:space="preserve">thereby </w:t>
      </w:r>
      <w:r>
        <w:t xml:space="preserve">increasing mortgage rates </w:t>
      </w:r>
      <w:r w:rsidR="00EC4B48">
        <w:t>for</w:t>
      </w:r>
      <w:r>
        <w:t xml:space="preserve"> </w:t>
      </w:r>
      <w:r w:rsidR="00695852">
        <w:t xml:space="preserve">all </w:t>
      </w:r>
      <w:r>
        <w:t xml:space="preserve">borrowers. </w:t>
      </w:r>
    </w:p>
    <w:p w14:paraId="3425C429" w14:textId="29E71CF7" w:rsidR="00E8403F" w:rsidRPr="00AD2B54" w:rsidRDefault="00E8403F" w:rsidP="00E8403F">
      <w:pPr>
        <w:rPr>
          <w:rFonts w:eastAsia="Times New Roman"/>
        </w:rPr>
      </w:pPr>
      <w:r w:rsidRPr="00AD2B54">
        <w:rPr>
          <w:rFonts w:eastAsia="Times New Roman"/>
        </w:rPr>
        <w:t xml:space="preserve">Consequently, we would recommend differentiated secondary market execution for lenders with </w:t>
      </w:r>
      <w:r w:rsidR="006109A7" w:rsidRPr="00AD2B54">
        <w:rPr>
          <w:rFonts w:eastAsia="Times New Roman"/>
        </w:rPr>
        <w:t>anomalously</w:t>
      </w:r>
      <w:r w:rsidRPr="00AD2B54">
        <w:rPr>
          <w:rFonts w:eastAsia="Times New Roman"/>
        </w:rPr>
        <w:t xml:space="preserve"> high prepayment rates (i.e. </w:t>
      </w:r>
      <w:r w:rsidRPr="00AD2B54">
        <w:rPr>
          <w:rFonts w:eastAsia="Times New Roman"/>
          <w:i/>
        </w:rPr>
        <w:t>outliers</w:t>
      </w:r>
      <w:r w:rsidRPr="00AD2B54">
        <w:rPr>
          <w:rFonts w:eastAsia="Times New Roman"/>
        </w:rPr>
        <w:t>) in multi-lender pools.  </w:t>
      </w:r>
      <w:r w:rsidR="006310F8" w:rsidRPr="00AD2B54">
        <w:rPr>
          <w:rFonts w:eastAsia="Times New Roman"/>
        </w:rPr>
        <w:t>D</w:t>
      </w:r>
      <w:r w:rsidRPr="00AD2B54">
        <w:rPr>
          <w:rFonts w:eastAsia="Times New Roman"/>
        </w:rPr>
        <w:t xml:space="preserve">ifferentiated secondary market execution for </w:t>
      </w:r>
      <w:r w:rsidRPr="00AD2B54">
        <w:rPr>
          <w:rFonts w:eastAsia="Times New Roman"/>
          <w:i/>
        </w:rPr>
        <w:t>outliers</w:t>
      </w:r>
      <w:r w:rsidR="006310F8" w:rsidRPr="00AD2B54">
        <w:rPr>
          <w:rFonts w:eastAsia="Times New Roman"/>
          <w:i/>
        </w:rPr>
        <w:t xml:space="preserve"> </w:t>
      </w:r>
      <w:r w:rsidR="006310F8" w:rsidRPr="00AD2B54">
        <w:rPr>
          <w:rFonts w:eastAsia="Times New Roman"/>
        </w:rPr>
        <w:t>can be achieved by forcing these lenders to pool their non-specified originations separately so that the market can appropriately price the inherent prepayment risk. In addition, making these pool</w:t>
      </w:r>
      <w:r w:rsidR="00A96D12">
        <w:rPr>
          <w:rFonts w:eastAsia="Times New Roman"/>
        </w:rPr>
        <w:t>s</w:t>
      </w:r>
      <w:r w:rsidR="006310F8" w:rsidRPr="00AD2B54">
        <w:rPr>
          <w:rFonts w:eastAsia="Times New Roman"/>
        </w:rPr>
        <w:t xml:space="preserve"> non-TBA deliverable </w:t>
      </w:r>
      <w:r w:rsidR="00622809" w:rsidRPr="00AD2B54">
        <w:rPr>
          <w:rFonts w:eastAsia="Times New Roman"/>
        </w:rPr>
        <w:t xml:space="preserve">(as recommended by FHFA’s proposal) </w:t>
      </w:r>
      <w:r w:rsidR="006310F8" w:rsidRPr="00AD2B54">
        <w:rPr>
          <w:rFonts w:eastAsia="Times New Roman"/>
        </w:rPr>
        <w:t xml:space="preserve">will impose more severe penalties on the lenders with </w:t>
      </w:r>
      <w:r w:rsidR="006310F8" w:rsidRPr="00AD2B54">
        <w:rPr>
          <w:rFonts w:eastAsia="Times New Roman"/>
          <w:i/>
        </w:rPr>
        <w:t>outlier</w:t>
      </w:r>
      <w:r w:rsidR="006310F8" w:rsidRPr="00AD2B54">
        <w:rPr>
          <w:rFonts w:eastAsia="Times New Roman"/>
        </w:rPr>
        <w:t xml:space="preserve"> prepays, help persevere fungibility and </w:t>
      </w:r>
      <w:r w:rsidR="0028475E" w:rsidRPr="00AD2B54">
        <w:rPr>
          <w:rFonts w:eastAsia="Times New Roman"/>
        </w:rPr>
        <w:t>protect against</w:t>
      </w:r>
      <w:r w:rsidR="006310F8" w:rsidRPr="00AD2B54">
        <w:rPr>
          <w:rFonts w:eastAsia="Times New Roman"/>
        </w:rPr>
        <w:t xml:space="preserve"> any adverse impact on </w:t>
      </w:r>
      <w:r w:rsidRPr="00AD2B54">
        <w:rPr>
          <w:rFonts w:eastAsia="Times New Roman"/>
        </w:rPr>
        <w:t xml:space="preserve">mortgage rates. </w:t>
      </w:r>
    </w:p>
    <w:p w14:paraId="4F8BE595" w14:textId="49802221" w:rsidR="00E8403F" w:rsidRPr="00AD2B54" w:rsidRDefault="00622809" w:rsidP="00E8403F">
      <w:pPr>
        <w:rPr>
          <w:rFonts w:eastAsia="Times New Roman"/>
        </w:rPr>
      </w:pPr>
      <w:r w:rsidRPr="00AD2B54">
        <w:rPr>
          <w:rFonts w:eastAsia="Times New Roman"/>
        </w:rPr>
        <w:t>W</w:t>
      </w:r>
      <w:r w:rsidR="00E8403F" w:rsidRPr="00AD2B54">
        <w:rPr>
          <w:rFonts w:eastAsia="Times New Roman"/>
        </w:rPr>
        <w:t xml:space="preserve">e would </w:t>
      </w:r>
      <w:r w:rsidR="00695852" w:rsidRPr="00AD2B54">
        <w:rPr>
          <w:rFonts w:eastAsia="Times New Roman"/>
        </w:rPr>
        <w:t xml:space="preserve">also </w:t>
      </w:r>
      <w:r w:rsidR="00E8403F" w:rsidRPr="00AD2B54">
        <w:rPr>
          <w:rFonts w:eastAsia="Times New Roman"/>
        </w:rPr>
        <w:t xml:space="preserve">recommend that multi-lender pools have less lender concentration risk. In other </w:t>
      </w:r>
      <w:r w:rsidR="00AD3C71" w:rsidRPr="00AD2B54">
        <w:rPr>
          <w:rFonts w:eastAsia="Times New Roman"/>
        </w:rPr>
        <w:t>words,</w:t>
      </w:r>
      <w:r w:rsidR="00E8403F" w:rsidRPr="00AD2B54">
        <w:rPr>
          <w:rFonts w:eastAsia="Times New Roman"/>
        </w:rPr>
        <w:t xml:space="preserve"> no one lender </w:t>
      </w:r>
      <w:r w:rsidR="00AD3C71" w:rsidRPr="00AD2B54">
        <w:rPr>
          <w:rFonts w:eastAsia="Times New Roman"/>
        </w:rPr>
        <w:t>can</w:t>
      </w:r>
      <w:r w:rsidR="00E8403F" w:rsidRPr="00AD2B54">
        <w:rPr>
          <w:rFonts w:eastAsia="Times New Roman"/>
        </w:rPr>
        <w:t xml:space="preserve"> skew the execution for all other lenders</w:t>
      </w:r>
      <w:r w:rsidR="003C52C5" w:rsidRPr="00AD2B54">
        <w:rPr>
          <w:rFonts w:eastAsia="Times New Roman"/>
        </w:rPr>
        <w:t xml:space="preserve"> by establishing de-minim</w:t>
      </w:r>
      <w:r w:rsidR="00A96D12">
        <w:rPr>
          <w:rFonts w:eastAsia="Times New Roman"/>
        </w:rPr>
        <w:t>i</w:t>
      </w:r>
      <w:r w:rsidR="003C52C5" w:rsidRPr="00AD2B54">
        <w:rPr>
          <w:rFonts w:eastAsia="Times New Roman"/>
        </w:rPr>
        <w:t>s criteria for lender concentrations.</w:t>
      </w:r>
    </w:p>
    <w:p w14:paraId="4C3CA752" w14:textId="6B3C4AC5" w:rsidR="00A43F25" w:rsidRDefault="00A43F25" w:rsidP="00A43F25">
      <w:r w:rsidRPr="00AD2B54">
        <w:rPr>
          <w:rFonts w:eastAsia="Times New Roman"/>
        </w:rPr>
        <w:t xml:space="preserve">Given that UMBS and multi-issuer pools </w:t>
      </w:r>
      <w:r w:rsidR="00695852" w:rsidRPr="00AD2B54">
        <w:rPr>
          <w:rFonts w:eastAsia="Times New Roman"/>
        </w:rPr>
        <w:t xml:space="preserve">have </w:t>
      </w:r>
      <w:r w:rsidRPr="00AD2B54">
        <w:rPr>
          <w:rFonts w:eastAsia="Times New Roman"/>
        </w:rPr>
        <w:t>reduce</w:t>
      </w:r>
      <w:r w:rsidR="00695852" w:rsidRPr="00AD2B54">
        <w:rPr>
          <w:rFonts w:eastAsia="Times New Roman"/>
        </w:rPr>
        <w:t>d</w:t>
      </w:r>
      <w:r w:rsidRPr="00AD2B54">
        <w:rPr>
          <w:rFonts w:eastAsia="Times New Roman"/>
        </w:rPr>
        <w:t xml:space="preserve"> the capability of differentiated secondary market execution for lenders with outlier prepayment speeds, we would recommend that </w:t>
      </w:r>
      <w:r w:rsidRPr="00AD2B54">
        <w:t xml:space="preserve">FHFA adopt a simple, </w:t>
      </w:r>
      <w:r w:rsidR="00622809" w:rsidRPr="00AD2B54">
        <w:t>robust</w:t>
      </w:r>
      <w:r w:rsidRPr="00AD2B54">
        <w:t xml:space="preserve"> and transparent lender prepayment scoring methodology that dictates a lender’s pooling privileges. We would recommend that FHFA award TBA eligible multi- and single-lender pooling privileges based on the prepayment response of loans originated by a specific lender. </w:t>
      </w:r>
      <w:r w:rsidR="00622809" w:rsidRPr="00AD2B54">
        <w:t xml:space="preserve">To be effective, the framework of determining pooling privileges must </w:t>
      </w:r>
      <w:r w:rsidR="00D6383D" w:rsidRPr="00AD2B54">
        <w:t xml:space="preserve">be </w:t>
      </w:r>
      <w:r w:rsidR="00622809" w:rsidRPr="00AD2B54">
        <w:t>automatic and objective.</w:t>
      </w:r>
    </w:p>
    <w:p w14:paraId="1ED80351" w14:textId="5AE16CB3" w:rsidR="008C4FAF" w:rsidRDefault="008C4FAF" w:rsidP="00A43F25">
      <w:r>
        <w:rPr>
          <w:b/>
          <w:u w:val="single"/>
        </w:rPr>
        <w:t>Lender Prepayment Scoring Methodology</w:t>
      </w:r>
      <w:r w:rsidRPr="00C9266A">
        <w:rPr>
          <w:b/>
          <w:u w:val="single"/>
        </w:rPr>
        <w:t xml:space="preserve"> to Dictate Lender Pooling Privileges</w:t>
      </w:r>
    </w:p>
    <w:p w14:paraId="418C26F1" w14:textId="6D5DF807" w:rsidR="00A43F25" w:rsidRDefault="00A43F25" w:rsidP="00A43F25">
      <w:pPr>
        <w:rPr>
          <w:rFonts w:eastAsia="Times New Roman"/>
        </w:rPr>
      </w:pPr>
      <w:r>
        <w:rPr>
          <w:rFonts w:eastAsia="Times New Roman"/>
        </w:rPr>
        <w:t xml:space="preserve">While we have detailed one possible </w:t>
      </w:r>
      <w:r w:rsidR="006109A7">
        <w:rPr>
          <w:rFonts w:eastAsia="Times New Roman"/>
        </w:rPr>
        <w:t xml:space="preserve">prepayment scoring </w:t>
      </w:r>
      <w:r>
        <w:rPr>
          <w:rFonts w:eastAsia="Times New Roman"/>
        </w:rPr>
        <w:t>methodology in the appendix attached, the main elements of such a scoring methodology would be as follows:</w:t>
      </w:r>
    </w:p>
    <w:p w14:paraId="0E10CFD8" w14:textId="3F03983D" w:rsidR="00472A70" w:rsidRPr="00472A70" w:rsidRDefault="00472A70" w:rsidP="00472A70">
      <w:pPr>
        <w:pStyle w:val="ListParagraph"/>
        <w:numPr>
          <w:ilvl w:val="0"/>
          <w:numId w:val="2"/>
        </w:numPr>
      </w:pPr>
      <w:r w:rsidRPr="00472A70">
        <w:rPr>
          <w:rFonts w:eastAsia="Times New Roman"/>
        </w:rPr>
        <w:t xml:space="preserve">Keep the </w:t>
      </w:r>
      <w:r>
        <w:rPr>
          <w:rFonts w:eastAsia="Times New Roman"/>
        </w:rPr>
        <w:t xml:space="preserve">lender </w:t>
      </w:r>
      <w:r w:rsidRPr="00472A70">
        <w:rPr>
          <w:rFonts w:eastAsia="Times New Roman"/>
        </w:rPr>
        <w:t xml:space="preserve">prepayment scoring methodology simple by awarding lenders </w:t>
      </w:r>
      <w:r>
        <w:t xml:space="preserve">a </w:t>
      </w:r>
      <w:r w:rsidRPr="00472A70">
        <w:rPr>
          <w:i/>
          <w:iCs/>
        </w:rPr>
        <w:t>pass</w:t>
      </w:r>
      <w:r>
        <w:t xml:space="preserve"> or a </w:t>
      </w:r>
      <w:r w:rsidRPr="00472A70">
        <w:rPr>
          <w:i/>
          <w:iCs/>
        </w:rPr>
        <w:t>fail</w:t>
      </w:r>
      <w:r>
        <w:t xml:space="preserve"> score each month across GSEs.</w:t>
      </w:r>
    </w:p>
    <w:p w14:paraId="0C768026" w14:textId="6D414762" w:rsidR="00D10F54" w:rsidRPr="006109A7" w:rsidRDefault="00A43F25" w:rsidP="00A43F25">
      <w:pPr>
        <w:pStyle w:val="ListParagraph"/>
        <w:numPr>
          <w:ilvl w:val="0"/>
          <w:numId w:val="2"/>
        </w:numPr>
        <w:rPr>
          <w:rFonts w:eastAsia="Times New Roman"/>
        </w:rPr>
      </w:pPr>
      <w:r w:rsidRPr="00C9266A">
        <w:t xml:space="preserve">Given that specified pools are rarely delivered into the TBA, the lender prepay scoring methodology should focus on relative lender prepays for </w:t>
      </w:r>
      <w:r>
        <w:t>cheapest-to-deliver</w:t>
      </w:r>
      <w:r w:rsidRPr="00C9266A">
        <w:t xml:space="preserve"> cohorts</w:t>
      </w:r>
      <w:r w:rsidR="00957DC8">
        <w:t xml:space="preserve"> (as defined in FHFA’s </w:t>
      </w:r>
      <w:r w:rsidR="00957DC8" w:rsidRPr="00957DC8">
        <w:t>Uniform Mortgage-Backed Security Final Rule)</w:t>
      </w:r>
      <w:r>
        <w:t>. Besides the well-known collateral attributes such as loan balance, high-LTV, low FICO, NY, etc.</w:t>
      </w:r>
      <w:r w:rsidR="00957DC8">
        <w:t xml:space="preserve">; </w:t>
      </w:r>
      <w:r>
        <w:t>seasoning is another attribute that commands a significant pay-up</w:t>
      </w:r>
      <w:r w:rsidR="00695852">
        <w:t xml:space="preserve"> and hence should be excluded from the cheapest-to-deliver</w:t>
      </w:r>
      <w:r w:rsidR="00695852" w:rsidRPr="00C9266A">
        <w:t xml:space="preserve"> cohorts</w:t>
      </w:r>
      <w:r>
        <w:t>.</w:t>
      </w:r>
    </w:p>
    <w:p w14:paraId="3CB5B722" w14:textId="6E2D848F" w:rsidR="006109A7" w:rsidRPr="006109A7" w:rsidRDefault="006109A7" w:rsidP="006109A7">
      <w:pPr>
        <w:pStyle w:val="ListParagraph"/>
        <w:numPr>
          <w:ilvl w:val="0"/>
          <w:numId w:val="2"/>
        </w:numPr>
      </w:pPr>
      <w:r w:rsidRPr="006109A7">
        <w:rPr>
          <w:rFonts w:eastAsia="Times New Roman"/>
        </w:rPr>
        <w:lastRenderedPageBreak/>
        <w:t xml:space="preserve">To ensure </w:t>
      </w:r>
      <w:r>
        <w:t>that each lender is less likely to receive any worse an execution than the large multi-lender execution if they were to pool their cheapest to deliver loans separately each month</w:t>
      </w:r>
      <w:r w:rsidR="00472A70">
        <w:t>, we compare prepays on loans originated by the lender each month with those originated by others</w:t>
      </w:r>
      <w:r>
        <w:t>.</w:t>
      </w:r>
      <w:r w:rsidR="00472A70">
        <w:t xml:space="preserve"> While doing so we adjust for </w:t>
      </w:r>
      <w:r w:rsidR="00695852">
        <w:t xml:space="preserve">the </w:t>
      </w:r>
      <w:r w:rsidR="00472A70">
        <w:t>most important attributes like net coupon and</w:t>
      </w:r>
      <w:r w:rsidR="001A000A">
        <w:t xml:space="preserve"> possibly</w:t>
      </w:r>
      <w:r w:rsidR="00472A70">
        <w:t xml:space="preserve"> loan size.</w:t>
      </w:r>
    </w:p>
    <w:p w14:paraId="1194BEE2" w14:textId="5F89704A" w:rsidR="006109A7" w:rsidRPr="006109A7" w:rsidRDefault="00A43F25" w:rsidP="006109A7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Use 3-month refinance SMMs</w:t>
      </w:r>
      <w:r w:rsidR="006109A7">
        <w:rPr>
          <w:rFonts w:eastAsia="Times New Roman"/>
        </w:rPr>
        <w:t xml:space="preserve"> </w:t>
      </w:r>
      <w:r w:rsidR="00695852">
        <w:rPr>
          <w:rFonts w:eastAsia="Times New Roman"/>
        </w:rPr>
        <w:t xml:space="preserve">(i.e. single monthly mortality) </w:t>
      </w:r>
      <w:r w:rsidR="006109A7">
        <w:rPr>
          <w:rFonts w:eastAsia="Times New Roman"/>
        </w:rPr>
        <w:t>to account for possible delay differences across lenders resulting in anomalies in monthly prepayment rates.</w:t>
      </w:r>
    </w:p>
    <w:p w14:paraId="0ACE7431" w14:textId="03C38D11" w:rsidR="006109A7" w:rsidRDefault="006109A7" w:rsidP="00A43F25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We would recommend a thoughtful grid of absolute and relative refinance SMM metrics to identify </w:t>
      </w:r>
      <w:r w:rsidRPr="00472A70">
        <w:rPr>
          <w:rFonts w:eastAsia="Times New Roman"/>
          <w:i/>
        </w:rPr>
        <w:t>outliers</w:t>
      </w:r>
      <w:r>
        <w:rPr>
          <w:rFonts w:eastAsia="Times New Roman"/>
        </w:rPr>
        <w:t>.</w:t>
      </w:r>
    </w:p>
    <w:p w14:paraId="518E5087" w14:textId="6208CCE4" w:rsidR="00472A70" w:rsidRDefault="00472A70" w:rsidP="00A43F25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A lender with </w:t>
      </w:r>
      <w:r w:rsidRPr="00472A70">
        <w:rPr>
          <w:rFonts w:eastAsia="Times New Roman"/>
          <w:i/>
        </w:rPr>
        <w:t>outlier</w:t>
      </w:r>
      <w:r>
        <w:rPr>
          <w:rFonts w:eastAsia="Times New Roman"/>
        </w:rPr>
        <w:t xml:space="preserve"> prepays only receives a </w:t>
      </w:r>
      <w:r w:rsidRPr="00472A70">
        <w:rPr>
          <w:rFonts w:eastAsia="Times New Roman"/>
          <w:i/>
        </w:rPr>
        <w:t>fail</w:t>
      </w:r>
      <w:r>
        <w:rPr>
          <w:rFonts w:eastAsia="Times New Roman"/>
        </w:rPr>
        <w:t xml:space="preserve"> score if those prepays adversely impact the TBA execution.</w:t>
      </w:r>
    </w:p>
    <w:p w14:paraId="06A92099" w14:textId="50280956" w:rsidR="00472A70" w:rsidRPr="008C4FAF" w:rsidRDefault="00472A70" w:rsidP="00472A70">
      <w:pPr>
        <w:pStyle w:val="ListParagraph"/>
        <w:numPr>
          <w:ilvl w:val="0"/>
          <w:numId w:val="2"/>
        </w:numPr>
        <w:rPr>
          <w:b/>
          <w:u w:val="single"/>
        </w:rPr>
      </w:pPr>
      <w:r>
        <w:t>We would recommend that FHFA publish the lender prepay score card to the market</w:t>
      </w:r>
      <w:r w:rsidR="003F44FD">
        <w:t>. A transparent score card</w:t>
      </w:r>
      <w:r>
        <w:t xml:space="preserve"> will help lenders correct their prepayment behavior before it is too late</w:t>
      </w:r>
      <w:r w:rsidR="003F44FD">
        <w:t xml:space="preserve"> </w:t>
      </w:r>
      <w:r w:rsidR="00EC4B48">
        <w:t>and</w:t>
      </w:r>
      <w:r w:rsidR="003F44FD">
        <w:t xml:space="preserve"> he</w:t>
      </w:r>
      <w:r>
        <w:t xml:space="preserve">lp </w:t>
      </w:r>
      <w:r w:rsidR="00EC4B48">
        <w:t>a lender’s</w:t>
      </w:r>
      <w:r>
        <w:t xml:space="preserve"> non-deliverable pool</w:t>
      </w:r>
      <w:r w:rsidR="00EC4B48">
        <w:t>s</w:t>
      </w:r>
      <w:r>
        <w:t xml:space="preserve"> trade better as their score improves.</w:t>
      </w:r>
    </w:p>
    <w:p w14:paraId="171BBE77" w14:textId="01578193" w:rsidR="008C4FAF" w:rsidRPr="008C4FAF" w:rsidRDefault="008C4FAF" w:rsidP="008C4FAF">
      <w:pPr>
        <w:rPr>
          <w:b/>
          <w:u w:val="single"/>
        </w:rPr>
      </w:pPr>
      <w:r w:rsidRPr="00441CE8">
        <w:rPr>
          <w:b/>
          <w:u w:val="single"/>
        </w:rPr>
        <w:t>Lender Pooling Privileges</w:t>
      </w:r>
      <w:r>
        <w:rPr>
          <w:b/>
          <w:u w:val="single"/>
        </w:rPr>
        <w:t xml:space="preserve"> Awarded based on History of Lender Prepayment Scores</w:t>
      </w:r>
    </w:p>
    <w:p w14:paraId="2FEA5477" w14:textId="7199DF20" w:rsidR="00B16AA1" w:rsidRDefault="00472A70" w:rsidP="00472A70">
      <w:pPr>
        <w:rPr>
          <w:rFonts w:eastAsia="Times New Roman"/>
        </w:rPr>
      </w:pPr>
      <w:r>
        <w:rPr>
          <w:rFonts w:eastAsia="Times New Roman"/>
        </w:rPr>
        <w:t xml:space="preserve">The lender’s </w:t>
      </w:r>
      <w:r w:rsidR="001D545F">
        <w:rPr>
          <w:rFonts w:eastAsia="Times New Roman"/>
        </w:rPr>
        <w:t xml:space="preserve">monthly </w:t>
      </w:r>
      <w:r>
        <w:rPr>
          <w:rFonts w:eastAsia="Times New Roman"/>
        </w:rPr>
        <w:t xml:space="preserve">prepayment scores </w:t>
      </w:r>
      <w:r w:rsidR="001D545F">
        <w:rPr>
          <w:rFonts w:eastAsia="Times New Roman"/>
        </w:rPr>
        <w:t xml:space="preserve">should be used to dictate pooling privileges. </w:t>
      </w:r>
      <w:r w:rsidR="00B16AA1">
        <w:rPr>
          <w:rFonts w:eastAsia="Times New Roman"/>
        </w:rPr>
        <w:t xml:space="preserve">Only lenders with a history of good prepayment scores should be able to pool their non-specified loans in TBA eligible pools. While the others are restricted to TBA in-eligible pools for a period. The period </w:t>
      </w:r>
      <w:r w:rsidR="003F44FD">
        <w:rPr>
          <w:rFonts w:eastAsia="Times New Roman"/>
        </w:rPr>
        <w:t>for which a lender is excluded from the</w:t>
      </w:r>
      <w:r w:rsidR="00B16AA1">
        <w:rPr>
          <w:rFonts w:eastAsia="Times New Roman"/>
        </w:rPr>
        <w:t xml:space="preserve"> TBA </w:t>
      </w:r>
      <w:r w:rsidR="003F44FD">
        <w:rPr>
          <w:rFonts w:eastAsia="Times New Roman"/>
        </w:rPr>
        <w:t>market</w:t>
      </w:r>
      <w:r w:rsidR="00B16AA1">
        <w:rPr>
          <w:rFonts w:eastAsia="Times New Roman"/>
        </w:rPr>
        <w:t xml:space="preserve"> </w:t>
      </w:r>
      <w:r w:rsidR="003F44FD">
        <w:rPr>
          <w:rFonts w:eastAsia="Times New Roman"/>
        </w:rPr>
        <w:t xml:space="preserve">should be </w:t>
      </w:r>
      <w:r w:rsidR="00B16AA1">
        <w:rPr>
          <w:rFonts w:eastAsia="Times New Roman"/>
        </w:rPr>
        <w:t>determined by the</w:t>
      </w:r>
      <w:r w:rsidR="001D545F">
        <w:rPr>
          <w:rFonts w:eastAsia="Times New Roman"/>
        </w:rPr>
        <w:t xml:space="preserve"> number of times a lender receives a poor prepayment score. This </w:t>
      </w:r>
      <w:r w:rsidR="003F44FD">
        <w:rPr>
          <w:rFonts w:eastAsia="Times New Roman"/>
        </w:rPr>
        <w:t>would</w:t>
      </w:r>
      <w:r w:rsidR="001D545F">
        <w:rPr>
          <w:rFonts w:eastAsia="Times New Roman"/>
        </w:rPr>
        <w:t xml:space="preserve"> ensure that repeat offenders </w:t>
      </w:r>
      <w:r w:rsidR="00B16AA1">
        <w:rPr>
          <w:rFonts w:eastAsia="Times New Roman"/>
        </w:rPr>
        <w:t xml:space="preserve">are identified and penalized more severely. </w:t>
      </w:r>
      <w:r w:rsidR="001D545F">
        <w:rPr>
          <w:rFonts w:eastAsia="Times New Roman"/>
        </w:rPr>
        <w:t xml:space="preserve"> </w:t>
      </w:r>
    </w:p>
    <w:p w14:paraId="228BB2BE" w14:textId="15128287" w:rsidR="00B16AA1" w:rsidRDefault="00B16AA1" w:rsidP="00472A70">
      <w:r>
        <w:rPr>
          <w:rFonts w:eastAsia="Times New Roman"/>
        </w:rPr>
        <w:t xml:space="preserve">The importance of a sliding scale of penalties is very evident in </w:t>
      </w:r>
      <w:proofErr w:type="spellStart"/>
      <w:r>
        <w:rPr>
          <w:rFonts w:eastAsia="Times New Roman"/>
        </w:rPr>
        <w:t>Ginnies</w:t>
      </w:r>
      <w:proofErr w:type="spellEnd"/>
      <w:r>
        <w:rPr>
          <w:rFonts w:eastAsia="Times New Roman"/>
        </w:rPr>
        <w:t xml:space="preserve">. </w:t>
      </w:r>
      <w:r>
        <w:t>For example, Freedom was identified having outlier prepays and hence was restricted from pooling their loans in the TBA eligible pools for a period of six months. However, when they were allowed back in the multi-lender TBA program, prepayments on their loans spiked again.</w:t>
      </w:r>
    </w:p>
    <w:p w14:paraId="02262946" w14:textId="1266A570" w:rsidR="008C4FAF" w:rsidRPr="008C4FAF" w:rsidRDefault="008C4FAF" w:rsidP="00472A70">
      <w:pPr>
        <w:rPr>
          <w:b/>
          <w:u w:val="single"/>
        </w:rPr>
      </w:pPr>
      <w:r w:rsidRPr="007B4B55">
        <w:rPr>
          <w:b/>
          <w:u w:val="single"/>
        </w:rPr>
        <w:t xml:space="preserve">Other Factors to Align Conventional and </w:t>
      </w:r>
      <w:proofErr w:type="spellStart"/>
      <w:r w:rsidRPr="007B4B55">
        <w:rPr>
          <w:b/>
          <w:u w:val="single"/>
        </w:rPr>
        <w:t>Ginnie</w:t>
      </w:r>
      <w:proofErr w:type="spellEnd"/>
      <w:r w:rsidRPr="007B4B55">
        <w:rPr>
          <w:b/>
          <w:u w:val="single"/>
        </w:rPr>
        <w:t xml:space="preserve"> Prepays</w:t>
      </w:r>
    </w:p>
    <w:p w14:paraId="70A368FD" w14:textId="7DDB5E67" w:rsidR="008C4FAF" w:rsidRDefault="008C4FAF" w:rsidP="008C4FAF">
      <w:pPr>
        <w:rPr>
          <w:rFonts w:eastAsia="Times New Roman"/>
        </w:rPr>
      </w:pPr>
      <w:r>
        <w:t xml:space="preserve">In addition, to align prepays across </w:t>
      </w:r>
      <w:proofErr w:type="spellStart"/>
      <w:r>
        <w:t>conventionals</w:t>
      </w:r>
      <w:proofErr w:type="spellEnd"/>
      <w:r>
        <w:t xml:space="preserve"> and </w:t>
      </w:r>
      <w:proofErr w:type="spellStart"/>
      <w:r>
        <w:t>Ginnies</w:t>
      </w:r>
      <w:proofErr w:type="spellEnd"/>
      <w:r>
        <w:t xml:space="preserve"> we would also recomm</w:t>
      </w:r>
      <w:bookmarkStart w:id="0" w:name="_GoBack"/>
      <w:bookmarkEnd w:id="0"/>
      <w:r>
        <w:t xml:space="preserve">end a net-tangible benefit test (i.e. NTB) for conventional rate refinance loans. Also, to ensure that WAC difference between </w:t>
      </w:r>
      <w:proofErr w:type="spellStart"/>
      <w:r>
        <w:t>Ginnies</w:t>
      </w:r>
      <w:proofErr w:type="spellEnd"/>
      <w:r>
        <w:t xml:space="preserve"> and </w:t>
      </w:r>
      <w:proofErr w:type="spellStart"/>
      <w:r>
        <w:t>conventionals</w:t>
      </w:r>
      <w:proofErr w:type="spellEnd"/>
      <w:r>
        <w:t xml:space="preserve"> do not vary widely as they have in the past, we would suggest doing away with the buy-up/buy-down </w:t>
      </w:r>
    </w:p>
    <w:p w14:paraId="00E90153" w14:textId="36D50181" w:rsidR="00AC3B0D" w:rsidRPr="008C4FAF" w:rsidRDefault="008C4FAF" w:rsidP="008C4FAF">
      <w:pPr>
        <w:jc w:val="center"/>
        <w:rPr>
          <w:b/>
          <w:sz w:val="32"/>
          <w:szCs w:val="32"/>
        </w:rPr>
      </w:pPr>
      <w:r w:rsidRPr="008C4FAF">
        <w:rPr>
          <w:b/>
          <w:sz w:val="32"/>
          <w:szCs w:val="32"/>
        </w:rPr>
        <w:t>Appendix</w:t>
      </w:r>
      <w:r>
        <w:rPr>
          <w:b/>
          <w:sz w:val="32"/>
          <w:szCs w:val="32"/>
        </w:rPr>
        <w:t xml:space="preserve"> (Sample Lender Prepayment Scoring Methodology)</w:t>
      </w:r>
    </w:p>
    <w:p w14:paraId="796D7F3D" w14:textId="77777777" w:rsidR="007E3D0E" w:rsidRDefault="007E3D0E" w:rsidP="007E3D0E">
      <w:r>
        <w:t>G</w:t>
      </w:r>
      <w:r w:rsidR="00105383" w:rsidRPr="00C9266A">
        <w:t xml:space="preserve">iven that </w:t>
      </w:r>
      <w:r w:rsidR="00C9266A" w:rsidRPr="00C9266A">
        <w:t xml:space="preserve">specified </w:t>
      </w:r>
      <w:r>
        <w:t xml:space="preserve">and seasoned pools </w:t>
      </w:r>
      <w:r w:rsidR="00C9266A" w:rsidRPr="00C9266A">
        <w:t xml:space="preserve">are rarely delivered into the TBA, the </w:t>
      </w:r>
      <w:r w:rsidR="00940EDF" w:rsidRPr="00C9266A">
        <w:t xml:space="preserve">lender prepay scoring methodology </w:t>
      </w:r>
      <w:r w:rsidR="00105383" w:rsidRPr="00C9266A">
        <w:t xml:space="preserve">should </w:t>
      </w:r>
      <w:r w:rsidR="00940EDF" w:rsidRPr="00C9266A">
        <w:t xml:space="preserve">focus on relative lender prepays for </w:t>
      </w:r>
      <w:r w:rsidR="00C9266A">
        <w:t>cheapest-to-deliver</w:t>
      </w:r>
      <w:r w:rsidR="00940EDF" w:rsidRPr="00C9266A">
        <w:t xml:space="preserve"> cohorts</w:t>
      </w:r>
      <w:r>
        <w:t xml:space="preserve">. </w:t>
      </w:r>
      <w:r w:rsidR="00C9266A">
        <w:t>Consequently, we would define the cheapest-to-deliver cohorts</w:t>
      </w:r>
      <w:r w:rsidR="00505FC7">
        <w:t xml:space="preserve"> for a given coupon</w:t>
      </w:r>
      <w:r w:rsidR="00C9266A">
        <w:t xml:space="preserve"> as </w:t>
      </w:r>
      <w:r w:rsidR="007B55A0">
        <w:t>0</w:t>
      </w:r>
      <w:r w:rsidR="00940EDF" w:rsidRPr="00C9266A">
        <w:t>-24 WALA non-spec</w:t>
      </w:r>
      <w:r w:rsidR="00C9266A" w:rsidRPr="00C9266A">
        <w:t xml:space="preserve">ified </w:t>
      </w:r>
      <w:r w:rsidR="00791E0E">
        <w:t>pools</w:t>
      </w:r>
      <w:r w:rsidR="00940EDF" w:rsidRPr="00C9266A">
        <w:t>.</w:t>
      </w:r>
      <w:r w:rsidR="00A1075F">
        <w:t xml:space="preserve"> </w:t>
      </w:r>
    </w:p>
    <w:p w14:paraId="5FFCF554" w14:textId="38651C1B" w:rsidR="00C9266A" w:rsidRDefault="007E3D0E" w:rsidP="007E3D0E">
      <w:r>
        <w:t>The</w:t>
      </w:r>
      <w:r w:rsidR="00DB7B5D">
        <w:t xml:space="preserve"> prepayment scoring methodology</w:t>
      </w:r>
      <w:r w:rsidR="00A1075F">
        <w:t xml:space="preserve"> </w:t>
      </w:r>
      <w:r>
        <w:t xml:space="preserve">will award a lender </w:t>
      </w:r>
      <w:r w:rsidR="00A1075F">
        <w:t xml:space="preserve">a </w:t>
      </w:r>
      <w:r w:rsidR="00A1075F" w:rsidRPr="00505FC7">
        <w:rPr>
          <w:i/>
          <w:iCs/>
        </w:rPr>
        <w:t>pass</w:t>
      </w:r>
      <w:r w:rsidR="00A1075F">
        <w:t xml:space="preserve"> or a </w:t>
      </w:r>
      <w:r w:rsidR="00A1075F" w:rsidRPr="00505FC7">
        <w:rPr>
          <w:i/>
          <w:iCs/>
        </w:rPr>
        <w:t>fail</w:t>
      </w:r>
      <w:r w:rsidR="00A1075F">
        <w:t xml:space="preserve"> score each month</w:t>
      </w:r>
      <w:r>
        <w:t xml:space="preserve"> across GSEs</w:t>
      </w:r>
      <w:r w:rsidR="00A1075F">
        <w:t xml:space="preserve">. </w:t>
      </w:r>
      <w:r w:rsidR="00505FC7">
        <w:t xml:space="preserve">A lender will receive a </w:t>
      </w:r>
      <w:r w:rsidR="00505FC7" w:rsidRPr="00095B5E">
        <w:rPr>
          <w:i/>
        </w:rPr>
        <w:t>fail</w:t>
      </w:r>
      <w:r w:rsidR="00505FC7">
        <w:t xml:space="preserve"> if the</w:t>
      </w:r>
      <w:r w:rsidR="00095B5E">
        <w:t>ir loans</w:t>
      </w:r>
      <w:r w:rsidR="00505FC7">
        <w:t xml:space="preserve"> </w:t>
      </w:r>
      <w:r w:rsidR="00095B5E">
        <w:t xml:space="preserve">exhibit </w:t>
      </w:r>
      <w:r w:rsidR="00505FC7">
        <w:t xml:space="preserve">significantly higher (i.e. </w:t>
      </w:r>
      <w:r w:rsidR="00505FC7" w:rsidRPr="00095B5E">
        <w:rPr>
          <w:i/>
        </w:rPr>
        <w:t>outlier</w:t>
      </w:r>
      <w:r w:rsidR="00505FC7">
        <w:t>) prepays and the prepays fall in the worst quintile of the cohort prepays.</w:t>
      </w:r>
    </w:p>
    <w:p w14:paraId="73DF99C3" w14:textId="69E1757D" w:rsidR="00A1075F" w:rsidRDefault="00F81B23" w:rsidP="00C9266A">
      <w:r>
        <w:t xml:space="preserve">To assess </w:t>
      </w:r>
      <w:r w:rsidRPr="00095B5E">
        <w:rPr>
          <w:i/>
        </w:rPr>
        <w:t>outlier</w:t>
      </w:r>
      <w:r>
        <w:t xml:space="preserve"> prepays </w:t>
      </w:r>
      <w:r w:rsidR="007B55A0">
        <w:t>we begin by computing</w:t>
      </w:r>
      <w:r>
        <w:t xml:space="preserve"> </w:t>
      </w:r>
      <w:r w:rsidR="007B55A0">
        <w:t>a</w:t>
      </w:r>
      <w:r w:rsidR="00095B5E">
        <w:t xml:space="preserve"> </w:t>
      </w:r>
      <w:r>
        <w:t>lender</w:t>
      </w:r>
      <w:r w:rsidR="007B55A0">
        <w:t>’</w:t>
      </w:r>
      <w:r w:rsidR="00095B5E">
        <w:t>s</w:t>
      </w:r>
      <w:r>
        <w:t xml:space="preserve"> 3-month refinance prepays</w:t>
      </w:r>
      <w:r w:rsidR="007B55A0">
        <w:t xml:space="preserve"> (i.e. SMM)</w:t>
      </w:r>
      <w:r>
        <w:t xml:space="preserve"> for non-specified loans originated each month</w:t>
      </w:r>
      <w:r w:rsidR="007B55A0">
        <w:t xml:space="preserve"> </w:t>
      </w:r>
      <w:r w:rsidR="002C5DCA">
        <w:t>for a given</w:t>
      </w:r>
      <w:r w:rsidR="00716747">
        <w:t xml:space="preserve"> coupon</w:t>
      </w:r>
      <w:r w:rsidR="007B55A0">
        <w:t xml:space="preserve">. We only focus on the past 24-months of issuance. We then </w:t>
      </w:r>
      <w:r>
        <w:t xml:space="preserve">compare </w:t>
      </w:r>
      <w:r w:rsidR="007B55A0">
        <w:t xml:space="preserve">the lenders prepays with the 3-month refinance prepays </w:t>
      </w:r>
      <w:r>
        <w:t>for all non-specified loans issued in the same month</w:t>
      </w:r>
      <w:r w:rsidR="007B55A0">
        <w:t xml:space="preserve"> and coupon</w:t>
      </w:r>
      <w:r>
        <w:t>.</w:t>
      </w:r>
      <w:r w:rsidR="00D579B8">
        <w:t xml:space="preserve"> </w:t>
      </w:r>
      <w:r w:rsidR="00E53294">
        <w:t>We recommend that lender</w:t>
      </w:r>
      <w:r w:rsidR="00A1075F">
        <w:t>s</w:t>
      </w:r>
      <w:r w:rsidR="00E53294">
        <w:t xml:space="preserve"> with </w:t>
      </w:r>
      <w:r w:rsidR="00E53294" w:rsidRPr="007B55A0">
        <w:rPr>
          <w:i/>
        </w:rPr>
        <w:t>outlier</w:t>
      </w:r>
      <w:r w:rsidR="00E53294">
        <w:t xml:space="preserve"> prepays </w:t>
      </w:r>
      <w:r w:rsidR="00A1075F">
        <w:lastRenderedPageBreak/>
        <w:t xml:space="preserve">for a given </w:t>
      </w:r>
      <w:r w:rsidR="00BF1F98">
        <w:t>issue month</w:t>
      </w:r>
      <w:r w:rsidR="00A1075F">
        <w:t xml:space="preserve"> and coupon are</w:t>
      </w:r>
      <w:r w:rsidR="00E53294">
        <w:t xml:space="preserve"> identified as follows: </w:t>
      </w:r>
      <w:r w:rsidR="00D579B8">
        <w:t>lender</w:t>
      </w:r>
      <w:r w:rsidR="00E53294">
        <w:t xml:space="preserve">s with a </w:t>
      </w:r>
      <w:r w:rsidR="00A1075F">
        <w:t xml:space="preserve">3-month </w:t>
      </w:r>
      <w:r w:rsidR="00E53294">
        <w:t xml:space="preserve">refinance SMM that is </w:t>
      </w:r>
      <w:r w:rsidR="007E3D0E">
        <w:t>multiples</w:t>
      </w:r>
      <w:r w:rsidR="00E53294">
        <w:t xml:space="preserve"> of </w:t>
      </w:r>
      <w:r w:rsidR="00BF1F98">
        <w:t xml:space="preserve">3-month refinance SMM of </w:t>
      </w:r>
      <w:r w:rsidR="00E53294">
        <w:t>the cohort and the refinance SMM of the cohort is above a threshold of 0.5</w:t>
      </w:r>
      <w:r w:rsidR="00D20C46">
        <w:t xml:space="preserve"> SMM</w:t>
      </w:r>
      <w:r w:rsidR="00441CE8">
        <w:t xml:space="preserve"> (i.e. ~6CPR)</w:t>
      </w:r>
      <w:r w:rsidR="00D20C46">
        <w:t>.</w:t>
      </w:r>
    </w:p>
    <w:p w14:paraId="38C0EB82" w14:textId="5260DC44" w:rsidR="00DB7B5D" w:rsidRDefault="00A1075F" w:rsidP="00C9266A">
      <w:pPr>
        <w:rPr>
          <w:b/>
          <w:u w:val="single"/>
        </w:rPr>
      </w:pPr>
      <w:r>
        <w:t xml:space="preserve">While there maybe many lenders with </w:t>
      </w:r>
      <w:r w:rsidRPr="00716747">
        <w:rPr>
          <w:i/>
        </w:rPr>
        <w:t>outlier</w:t>
      </w:r>
      <w:r>
        <w:t xml:space="preserve"> prepays we </w:t>
      </w:r>
      <w:r w:rsidR="00F81B23">
        <w:t>would recommend only</w:t>
      </w:r>
      <w:r>
        <w:t xml:space="preserve"> </w:t>
      </w:r>
      <w:r w:rsidR="00F81B23">
        <w:t>penalizing</w:t>
      </w:r>
      <w:r>
        <w:t xml:space="preserve"> those that are </w:t>
      </w:r>
      <w:r w:rsidR="00BF1F98">
        <w:t xml:space="preserve">also </w:t>
      </w:r>
      <w:r>
        <w:t xml:space="preserve">likely to be in the worst </w:t>
      </w:r>
      <w:r w:rsidR="00BF1F98">
        <w:t>quintile</w:t>
      </w:r>
      <w:r>
        <w:t xml:space="preserve"> of a given coupon. </w:t>
      </w:r>
      <w:r w:rsidR="00BF1F98">
        <w:t xml:space="preserve">Hence for a given coupon we </w:t>
      </w:r>
      <w:r w:rsidR="006B3B94">
        <w:t>bucket</w:t>
      </w:r>
      <w:r w:rsidR="00BF1F98">
        <w:t xml:space="preserve"> the lender prepays for each </w:t>
      </w:r>
      <w:r w:rsidR="006B3B94">
        <w:t>issue month</w:t>
      </w:r>
      <w:r w:rsidR="00BF1F98">
        <w:t xml:space="preserve"> across quintile buckets and pick the top 10 </w:t>
      </w:r>
      <w:r w:rsidR="00BF1F98" w:rsidRPr="00716747">
        <w:rPr>
          <w:i/>
        </w:rPr>
        <w:t>outlier</w:t>
      </w:r>
      <w:r w:rsidR="00BF1F98">
        <w:t xml:space="preserve"> </w:t>
      </w:r>
      <w:r w:rsidR="00D56EDD">
        <w:t>lenders</w:t>
      </w:r>
      <w:r w:rsidR="00BF1F98">
        <w:t xml:space="preserve"> by balance in the worst quintile</w:t>
      </w:r>
      <w:r w:rsidR="00441CE8">
        <w:t xml:space="preserve"> and give them a </w:t>
      </w:r>
      <w:r w:rsidR="00441CE8" w:rsidRPr="00F81B23">
        <w:rPr>
          <w:i/>
          <w:iCs/>
        </w:rPr>
        <w:t>fail</w:t>
      </w:r>
      <w:r w:rsidR="00441CE8">
        <w:t xml:space="preserve"> score for the month. While the others will receive a </w:t>
      </w:r>
      <w:r w:rsidR="00441CE8" w:rsidRPr="00F81B23">
        <w:rPr>
          <w:i/>
          <w:iCs/>
        </w:rPr>
        <w:t>pass</w:t>
      </w:r>
      <w:r w:rsidR="00441CE8">
        <w:t xml:space="preserve"> score</w:t>
      </w:r>
      <w:r w:rsidR="006B3B94">
        <w:t xml:space="preserve"> for the month</w:t>
      </w:r>
      <w:r w:rsidR="00441CE8">
        <w:t>.</w:t>
      </w:r>
      <w:r w:rsidR="007E3D0E">
        <w:t xml:space="preserve"> </w:t>
      </w:r>
      <w:r w:rsidR="00441CE8">
        <w:t xml:space="preserve">We would recommend </w:t>
      </w:r>
      <w:r w:rsidR="00F81B23">
        <w:t xml:space="preserve">that FHFA </w:t>
      </w:r>
      <w:r w:rsidR="00940EDF">
        <w:t>publish</w:t>
      </w:r>
      <w:r w:rsidR="00F81B23">
        <w:t xml:space="preserve"> </w:t>
      </w:r>
      <w:r w:rsidR="00940EDF">
        <w:t xml:space="preserve">the lender prepay score card </w:t>
      </w:r>
      <w:r w:rsidR="007E3D0E">
        <w:t>each month</w:t>
      </w:r>
      <w:r w:rsidR="00940EDF">
        <w:t>.</w:t>
      </w:r>
    </w:p>
    <w:p w14:paraId="674D040D" w14:textId="18C28E96" w:rsidR="00221392" w:rsidRDefault="00F81B23" w:rsidP="00C9266A">
      <w:r>
        <w:t>Pooling privileges for a lender are determined by their history of prepayment scores. O</w:t>
      </w:r>
      <w:r w:rsidR="00221392">
        <w:t>nly</w:t>
      </w:r>
      <w:r w:rsidR="00940EDF">
        <w:t xml:space="preserve"> lender</w:t>
      </w:r>
      <w:r>
        <w:t>s</w:t>
      </w:r>
      <w:r w:rsidR="00940EDF">
        <w:t xml:space="preserve"> </w:t>
      </w:r>
      <w:r w:rsidR="00221392">
        <w:t>who satisf</w:t>
      </w:r>
      <w:r w:rsidR="00716747">
        <w:t>y</w:t>
      </w:r>
      <w:r w:rsidR="00221392">
        <w:t xml:space="preserve"> the following two monthly prepayment score requirements (i.e. in good standing) can pool </w:t>
      </w:r>
      <w:r w:rsidR="00716747">
        <w:t xml:space="preserve">their loans </w:t>
      </w:r>
      <w:r w:rsidR="00221392">
        <w:t>in multi-</w:t>
      </w:r>
      <w:r>
        <w:t xml:space="preserve"> or single-issuer</w:t>
      </w:r>
      <w:r w:rsidR="00221392">
        <w:t xml:space="preserve"> </w:t>
      </w:r>
      <w:r w:rsidR="00716747">
        <w:t>non-specified</w:t>
      </w:r>
      <w:r w:rsidR="002A3101">
        <w:t xml:space="preserve"> </w:t>
      </w:r>
      <w:r w:rsidR="00C20506">
        <w:t xml:space="preserve">pools that are </w:t>
      </w:r>
      <w:r w:rsidR="00716747">
        <w:t>TBA deliverable</w:t>
      </w:r>
      <w:r w:rsidR="00221392">
        <w:t>:</w:t>
      </w:r>
    </w:p>
    <w:p w14:paraId="5AA5F34D" w14:textId="1BCA0CC7" w:rsidR="00221392" w:rsidRDefault="00221392" w:rsidP="00221392">
      <w:r>
        <w:t xml:space="preserve">1) </w:t>
      </w:r>
      <w:r w:rsidR="002A3101">
        <w:t xml:space="preserve">has no </w:t>
      </w:r>
      <w:r w:rsidR="002A3101" w:rsidRPr="002A3101">
        <w:rPr>
          <w:i/>
          <w:iCs/>
        </w:rPr>
        <w:t>fail</w:t>
      </w:r>
      <w:r w:rsidR="002A3101">
        <w:t xml:space="preserve"> scores i</w:t>
      </w:r>
      <w:r w:rsidR="008213F3">
        <w:t>n the past</w:t>
      </w:r>
      <w:r>
        <w:t xml:space="preserve"> 12-months; and</w:t>
      </w:r>
    </w:p>
    <w:p w14:paraId="3409BAD2" w14:textId="63C21556" w:rsidR="00221392" w:rsidRDefault="00221392" w:rsidP="00221392">
      <w:r>
        <w:t xml:space="preserve">2) at the most </w:t>
      </w:r>
      <w:r w:rsidR="00140789">
        <w:t xml:space="preserve">two </w:t>
      </w:r>
      <w:r w:rsidR="00140789" w:rsidRPr="002A3101">
        <w:rPr>
          <w:i/>
          <w:iCs/>
        </w:rPr>
        <w:t>fail</w:t>
      </w:r>
      <w:r w:rsidR="006B3B94">
        <w:rPr>
          <w:i/>
          <w:iCs/>
        </w:rPr>
        <w:t xml:space="preserve"> </w:t>
      </w:r>
      <w:r w:rsidR="006B3B94" w:rsidRPr="006B3B94">
        <w:rPr>
          <w:iCs/>
        </w:rPr>
        <w:t>score</w:t>
      </w:r>
      <w:r w:rsidR="00140789" w:rsidRPr="006B3B94">
        <w:rPr>
          <w:iCs/>
        </w:rPr>
        <w:t>s</w:t>
      </w:r>
      <w:r w:rsidR="00140789">
        <w:t xml:space="preserve"> in the</w:t>
      </w:r>
      <w:r>
        <w:t xml:space="preserve"> past 36-months.</w:t>
      </w:r>
    </w:p>
    <w:p w14:paraId="68B1DB63" w14:textId="0DBB464B" w:rsidR="001A000A" w:rsidRDefault="001A000A" w:rsidP="00C9266A">
      <w:r>
        <w:t xml:space="preserve">The two sets of criteria mentioned above will ensure repeat offenders are locked-out of the TBA market for a period of three years instead of one year for first time offenders. </w:t>
      </w:r>
    </w:p>
    <w:p w14:paraId="43BA21D2" w14:textId="68EF09DF" w:rsidR="001A000A" w:rsidRDefault="001A000A" w:rsidP="001A000A">
      <w:r>
        <w:t>The lenders who do not satisfy the above-mentioned criteria can only issue specified pools that are TBA deliverable and non-specified pools that are not TBA deliverable.</w:t>
      </w:r>
    </w:p>
    <w:p w14:paraId="235C1FA1" w14:textId="28AC5F60" w:rsidR="00221392" w:rsidRDefault="001A000A" w:rsidP="00C9266A">
      <w:r>
        <w:t>I</w:t>
      </w:r>
      <w:r w:rsidR="002A3101">
        <w:t xml:space="preserve">n multi-issuer </w:t>
      </w:r>
      <w:r w:rsidR="00716747">
        <w:t xml:space="preserve">non-specified </w:t>
      </w:r>
      <w:r w:rsidR="002A3101">
        <w:t>pools</w:t>
      </w:r>
      <w:r w:rsidR="00C20506">
        <w:t xml:space="preserve"> that are TBA deliverable</w:t>
      </w:r>
      <w:r w:rsidR="002A3101">
        <w:t xml:space="preserve">, </w:t>
      </w:r>
      <w:r w:rsidR="00221392">
        <w:t xml:space="preserve">no one lender can </w:t>
      </w:r>
      <w:r w:rsidR="00940EDF">
        <w:t xml:space="preserve">be more than 10% of the </w:t>
      </w:r>
      <w:r w:rsidR="006B3B94">
        <w:t>pool</w:t>
      </w:r>
      <w:r w:rsidR="00940EDF">
        <w:t xml:space="preserve"> and </w:t>
      </w:r>
      <w:r w:rsidR="006B3B94">
        <w:t xml:space="preserve">each lender </w:t>
      </w:r>
      <w:r w:rsidR="00221392">
        <w:t>must</w:t>
      </w:r>
      <w:r w:rsidR="00940EDF">
        <w:t xml:space="preserve"> contribute a minimum of </w:t>
      </w:r>
      <w:r w:rsidR="00221392">
        <w:t xml:space="preserve">the </w:t>
      </w:r>
      <w:r w:rsidR="00940EDF">
        <w:t xml:space="preserve">lower of 1% </w:t>
      </w:r>
      <w:r w:rsidR="00221392">
        <w:t>or</w:t>
      </w:r>
      <w:r w:rsidR="00940EDF">
        <w:t xml:space="preserve"> their </w:t>
      </w:r>
      <w:r w:rsidR="00221392">
        <w:t xml:space="preserve">entire monthly </w:t>
      </w:r>
      <w:r w:rsidR="00716747">
        <w:t xml:space="preserve">non-specified </w:t>
      </w:r>
      <w:r w:rsidR="00940EDF">
        <w:t>production.</w:t>
      </w:r>
    </w:p>
    <w:p w14:paraId="4FA8DBF3" w14:textId="5A68C3EF" w:rsidR="007E3D0E" w:rsidRDefault="00221392">
      <w:r>
        <w:t xml:space="preserve">Seller/servicers </w:t>
      </w:r>
      <w:r w:rsidR="00940EDF">
        <w:t xml:space="preserve">with </w:t>
      </w:r>
      <w:r w:rsidR="00716747">
        <w:t xml:space="preserve">non-specified </w:t>
      </w:r>
      <w:r w:rsidR="00940EDF">
        <w:t xml:space="preserve">originations </w:t>
      </w:r>
      <w:r w:rsidR="00140789">
        <w:t>more than</w:t>
      </w:r>
      <w:r w:rsidR="00940EDF">
        <w:t xml:space="preserve"> the </w:t>
      </w:r>
      <w:r>
        <w:t xml:space="preserve">minimum </w:t>
      </w:r>
      <w:r w:rsidR="00940EDF">
        <w:t xml:space="preserve">1% limit and </w:t>
      </w:r>
      <w:r>
        <w:t xml:space="preserve">in good standing </w:t>
      </w:r>
      <w:r w:rsidR="00940EDF">
        <w:t>can issue single</w:t>
      </w:r>
      <w:r w:rsidR="00716747">
        <w:t>-</w:t>
      </w:r>
      <w:r w:rsidR="00940EDF">
        <w:t>issuer non-spec</w:t>
      </w:r>
      <w:r w:rsidR="00C20506">
        <w:t>ified pools that are</w:t>
      </w:r>
      <w:r w:rsidR="00940EDF">
        <w:t xml:space="preserve"> </w:t>
      </w:r>
      <w:r w:rsidR="00716747">
        <w:t>TBA deliverable</w:t>
      </w:r>
      <w:r w:rsidR="00940EDF">
        <w:t>.</w:t>
      </w:r>
      <w:r w:rsidR="00140789">
        <w:t xml:space="preserve"> </w:t>
      </w:r>
    </w:p>
    <w:sectPr w:rsidR="007E3D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0F0780"/>
    <w:multiLevelType w:val="multilevel"/>
    <w:tmpl w:val="9BD6D0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708C69E9"/>
    <w:multiLevelType w:val="multilevel"/>
    <w:tmpl w:val="9BD6D0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EDF"/>
    <w:rsid w:val="00050D5E"/>
    <w:rsid w:val="000606FC"/>
    <w:rsid w:val="00095B5E"/>
    <w:rsid w:val="000C41A6"/>
    <w:rsid w:val="00105383"/>
    <w:rsid w:val="00130B6C"/>
    <w:rsid w:val="00140789"/>
    <w:rsid w:val="001A000A"/>
    <w:rsid w:val="001D545F"/>
    <w:rsid w:val="001E6CF8"/>
    <w:rsid w:val="002178F0"/>
    <w:rsid w:val="002212EE"/>
    <w:rsid w:val="00221392"/>
    <w:rsid w:val="002328D1"/>
    <w:rsid w:val="00257A35"/>
    <w:rsid w:val="0028475E"/>
    <w:rsid w:val="002A3101"/>
    <w:rsid w:val="002C5DCA"/>
    <w:rsid w:val="00333500"/>
    <w:rsid w:val="003C52C5"/>
    <w:rsid w:val="003E3DA4"/>
    <w:rsid w:val="003F44FD"/>
    <w:rsid w:val="004043C6"/>
    <w:rsid w:val="00441CE8"/>
    <w:rsid w:val="00457F43"/>
    <w:rsid w:val="00472A70"/>
    <w:rsid w:val="00505FC7"/>
    <w:rsid w:val="005216E8"/>
    <w:rsid w:val="00596A67"/>
    <w:rsid w:val="005C7F44"/>
    <w:rsid w:val="00603CB2"/>
    <w:rsid w:val="006109A7"/>
    <w:rsid w:val="00622809"/>
    <w:rsid w:val="006310F8"/>
    <w:rsid w:val="00653292"/>
    <w:rsid w:val="006723A4"/>
    <w:rsid w:val="00695852"/>
    <w:rsid w:val="006B3B94"/>
    <w:rsid w:val="006D6028"/>
    <w:rsid w:val="007146D3"/>
    <w:rsid w:val="00716747"/>
    <w:rsid w:val="007276C1"/>
    <w:rsid w:val="00783CB1"/>
    <w:rsid w:val="00791E0E"/>
    <w:rsid w:val="007B4B55"/>
    <w:rsid w:val="007B55A0"/>
    <w:rsid w:val="007B73B1"/>
    <w:rsid w:val="007E3D0E"/>
    <w:rsid w:val="008213F3"/>
    <w:rsid w:val="00823F5D"/>
    <w:rsid w:val="00844ED4"/>
    <w:rsid w:val="00885013"/>
    <w:rsid w:val="008C4FAF"/>
    <w:rsid w:val="00910AFF"/>
    <w:rsid w:val="00924700"/>
    <w:rsid w:val="00940EDF"/>
    <w:rsid w:val="00957DC8"/>
    <w:rsid w:val="009821CD"/>
    <w:rsid w:val="00A1075F"/>
    <w:rsid w:val="00A43F25"/>
    <w:rsid w:val="00A96D12"/>
    <w:rsid w:val="00AA598A"/>
    <w:rsid w:val="00AC3B0D"/>
    <w:rsid w:val="00AD2B54"/>
    <w:rsid w:val="00AD3C71"/>
    <w:rsid w:val="00B16AA1"/>
    <w:rsid w:val="00B239C1"/>
    <w:rsid w:val="00BF1F98"/>
    <w:rsid w:val="00BF3CB6"/>
    <w:rsid w:val="00C10168"/>
    <w:rsid w:val="00C20506"/>
    <w:rsid w:val="00C25A45"/>
    <w:rsid w:val="00C9266A"/>
    <w:rsid w:val="00C93FFC"/>
    <w:rsid w:val="00CF5364"/>
    <w:rsid w:val="00D10F54"/>
    <w:rsid w:val="00D20649"/>
    <w:rsid w:val="00D20C46"/>
    <w:rsid w:val="00D56EDD"/>
    <w:rsid w:val="00D579B8"/>
    <w:rsid w:val="00D6383D"/>
    <w:rsid w:val="00DB7B5D"/>
    <w:rsid w:val="00DE4B8A"/>
    <w:rsid w:val="00E07BC4"/>
    <w:rsid w:val="00E3346E"/>
    <w:rsid w:val="00E3542E"/>
    <w:rsid w:val="00E53294"/>
    <w:rsid w:val="00E8403F"/>
    <w:rsid w:val="00EC4B48"/>
    <w:rsid w:val="00EE3D96"/>
    <w:rsid w:val="00F81B23"/>
    <w:rsid w:val="00FB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4E671"/>
  <w15:chartTrackingRefBased/>
  <w15:docId w15:val="{4992C669-6DBD-40BB-8AC5-AAD178979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40ED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0EDF"/>
    <w:rPr>
      <w:rFonts w:ascii="Calibri" w:hAnsi="Calibri"/>
      <w:szCs w:val="21"/>
    </w:rPr>
  </w:style>
  <w:style w:type="character" w:styleId="Emphasis">
    <w:name w:val="Emphasis"/>
    <w:basedOn w:val="DefaultParagraphFont"/>
    <w:uiPriority w:val="20"/>
    <w:qFormat/>
    <w:rsid w:val="003C52C5"/>
    <w:rPr>
      <w:i/>
      <w:iCs/>
    </w:rPr>
  </w:style>
  <w:style w:type="paragraph" w:styleId="ListParagraph">
    <w:name w:val="List Paragraph"/>
    <w:basedOn w:val="Normal"/>
    <w:uiPriority w:val="34"/>
    <w:qFormat/>
    <w:rsid w:val="00A43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customXml" Target="../customXml/item3.xml"/><Relationship Id="rId5" Type="http://schemas.openxmlformats.org/officeDocument/2006/relationships/image" Target="media/image1.emf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136A09-204D-47C3-BFB2-9EB703276466}"/>
</file>

<file path=customXml/itemProps2.xml><?xml version="1.0" encoding="utf-8"?>
<ds:datastoreItem xmlns:ds="http://schemas.openxmlformats.org/officeDocument/2006/customXml" ds:itemID="{4237C2B8-D2B6-475B-8F3C-1C2A3D7C032A}"/>
</file>

<file path=customXml/itemProps3.xml><?xml version="1.0" encoding="utf-8"?>
<ds:datastoreItem xmlns:ds="http://schemas.openxmlformats.org/officeDocument/2006/customXml" ds:itemID="{32911796-2152-4AFD-A3F0-5186697127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Dhivya Krishna</dc:creator>
  <cp:keywords/>
  <dc:description/>
  <cp:lastModifiedBy>Dhivya Krishna</cp:lastModifiedBy>
  <cp:revision>7</cp:revision>
  <cp:lastPrinted>2020-01-16T23:29:00Z</cp:lastPrinted>
  <dcterms:created xsi:type="dcterms:W3CDTF">2020-01-21T18:18:00Z</dcterms:created>
  <dcterms:modified xsi:type="dcterms:W3CDTF">2020-01-22T02:34:00Z</dcterms:modified>
</cp:coreProperties>
</file>