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95EB1" w14:textId="5867A987" w:rsidR="00E471A6" w:rsidRPr="00C178C3" w:rsidRDefault="00CF3D5B" w:rsidP="00CF3D5B">
      <w:pPr>
        <w:spacing w:after="0"/>
        <w:jc w:val="center"/>
        <w:rPr>
          <w:b/>
          <w:bCs/>
          <w:i/>
          <w:iCs/>
        </w:rPr>
      </w:pPr>
      <w:r w:rsidRPr="00CF3D5B">
        <w:rPr>
          <w:b/>
          <w:bCs/>
        </w:rPr>
        <w:t>Response to FHFA</w:t>
      </w:r>
      <w:r w:rsidR="00C178C3">
        <w:rPr>
          <w:b/>
          <w:bCs/>
        </w:rPr>
        <w:t>’s</w:t>
      </w:r>
      <w:r w:rsidRPr="00CF3D5B">
        <w:rPr>
          <w:b/>
          <w:bCs/>
        </w:rPr>
        <w:t xml:space="preserve"> Request </w:t>
      </w:r>
      <w:r w:rsidR="003C1025">
        <w:rPr>
          <w:b/>
          <w:bCs/>
        </w:rPr>
        <w:t>f</w:t>
      </w:r>
      <w:r w:rsidRPr="00CF3D5B">
        <w:rPr>
          <w:b/>
          <w:bCs/>
        </w:rPr>
        <w:t>or Input on Proposed Pooling Practices Changes</w:t>
      </w:r>
      <w:r w:rsidR="000315F1">
        <w:rPr>
          <w:b/>
          <w:bCs/>
        </w:rPr>
        <w:t xml:space="preserve"> </w:t>
      </w:r>
      <w:r w:rsidR="00C178C3">
        <w:rPr>
          <w:b/>
          <w:bCs/>
        </w:rPr>
        <w:t xml:space="preserve">by </w:t>
      </w:r>
      <w:r w:rsidR="00C178C3" w:rsidRPr="00C178C3">
        <w:rPr>
          <w:b/>
          <w:bCs/>
          <w:i/>
          <w:iCs/>
        </w:rPr>
        <w:t>Mortgage Capital Trading, Inc.</w:t>
      </w:r>
    </w:p>
    <w:p w14:paraId="489A49D4" w14:textId="620F1C0F" w:rsidR="00CF3D5B" w:rsidRDefault="00CF3D5B" w:rsidP="00CF3D5B">
      <w:pPr>
        <w:spacing w:after="0"/>
        <w:jc w:val="center"/>
        <w:rPr>
          <w:b/>
          <w:bCs/>
        </w:rPr>
      </w:pPr>
    </w:p>
    <w:p w14:paraId="78B467AD" w14:textId="2A5A6C15" w:rsidR="00CF3D5B" w:rsidRDefault="00CF3D5B" w:rsidP="00CF3D5B">
      <w:pPr>
        <w:spacing w:after="0" w:line="480" w:lineRule="auto"/>
      </w:pPr>
      <w:r>
        <w:rPr>
          <w:b/>
          <w:bCs/>
        </w:rPr>
        <w:tab/>
      </w:r>
      <w:r>
        <w:t xml:space="preserve">The managers of Mortgage Capital Trading, Inc. (MCT) would like to thank the Federal Housing Finance Agency (FHFA) for the opportunity to provide input </w:t>
      </w:r>
      <w:r w:rsidR="00357236">
        <w:t xml:space="preserve">and comments on “Enterprise UMBS Pooling Practices: Request For Input,” which </w:t>
      </w:r>
      <w:r w:rsidR="00D1690B">
        <w:t xml:space="preserve">in November 2019 </w:t>
      </w:r>
      <w:r>
        <w:t>proposed changes to pooling practices for mortgage-backed securities issued by Fannie Mae and Freddie Mac</w:t>
      </w:r>
      <w:r w:rsidR="008E4E15">
        <w:t xml:space="preserve"> (</w:t>
      </w:r>
      <w:r w:rsidR="008E4E15" w:rsidRPr="00FC40FB">
        <w:t>collectively, the Enterprises</w:t>
      </w:r>
      <w:r w:rsidR="008E4E15">
        <w:t>)</w:t>
      </w:r>
      <w:r>
        <w:t>.  MCT is a capital markets advisory firm based in San Diego, California that provides hedging</w:t>
      </w:r>
      <w:r w:rsidR="008E4E15">
        <w:t xml:space="preserve">, loan sale </w:t>
      </w:r>
      <w:r>
        <w:t>and software services to mortgage originators</w:t>
      </w:r>
      <w:r w:rsidR="008E4E15">
        <w:t xml:space="preserve"> throughout the United States.</w:t>
      </w:r>
      <w:bookmarkStart w:id="0" w:name="_GoBack"/>
      <w:bookmarkEnd w:id="0"/>
    </w:p>
    <w:p w14:paraId="3A3C2F95" w14:textId="4B5BE4D2" w:rsidR="006A7588" w:rsidRDefault="008E4E15" w:rsidP="00CF3D5B">
      <w:pPr>
        <w:spacing w:after="0" w:line="480" w:lineRule="auto"/>
      </w:pPr>
      <w:r>
        <w:tab/>
        <w:t xml:space="preserve">MCT believes that </w:t>
      </w:r>
      <w:r w:rsidR="00DF5AFE">
        <w:t xml:space="preserve">significant </w:t>
      </w:r>
      <w:r>
        <w:t xml:space="preserve">changes to policies and practices </w:t>
      </w:r>
      <w:r w:rsidR="00DF5AFE">
        <w:t xml:space="preserve">for the </w:t>
      </w:r>
      <w:r w:rsidR="00DF5AFE">
        <w:t>mortgage and MBS market</w:t>
      </w:r>
      <w:r w:rsidR="00DF5AFE">
        <w:t>s</w:t>
      </w:r>
      <w:r w:rsidR="00DF5AFE">
        <w:t xml:space="preserve"> </w:t>
      </w:r>
      <w:r>
        <w:t xml:space="preserve">should be taken with abundant caution, given both the complexity of the </w:t>
      </w:r>
      <w:r w:rsidR="006F03A4">
        <w:t>mortgage sector</w:t>
      </w:r>
      <w:r>
        <w:t xml:space="preserve"> and </w:t>
      </w:r>
      <w:r w:rsidR="006F03A4">
        <w:t>its</w:t>
      </w:r>
      <w:r>
        <w:t xml:space="preserve"> importance to the housing market and the economy.  MCT’s management </w:t>
      </w:r>
      <w:r w:rsidR="006A7588">
        <w:t xml:space="preserve">supports the </w:t>
      </w:r>
      <w:r w:rsidR="006F03A4">
        <w:t>FHFA’s stated desire to minimize differences in the pricing and performance of the two Enterprises’ securities</w:t>
      </w:r>
      <w:r w:rsidR="006A7588">
        <w:t xml:space="preserve">, but will describe potential issues associated with the proposal that we believe could have negative implications for the mortgage and MBS markets.  In our view, </w:t>
      </w:r>
      <w:r w:rsidR="00EC3D9B">
        <w:t xml:space="preserve">any changes to the policies and operating procedures of the Enterprises should </w:t>
      </w:r>
      <w:r w:rsidR="00DF5AFE">
        <w:t xml:space="preserve">serve to </w:t>
      </w:r>
      <w:r w:rsidR="00EC3D9B">
        <w:t xml:space="preserve">increase </w:t>
      </w:r>
      <w:r w:rsidR="00DF5AFE">
        <w:t xml:space="preserve">and improve </w:t>
      </w:r>
      <w:r w:rsidR="00EC3D9B">
        <w:t xml:space="preserve">the liquidity and fungibility of the mortgage-backed securities market while </w:t>
      </w:r>
      <w:r w:rsidR="007865BA">
        <w:t xml:space="preserve">also </w:t>
      </w:r>
      <w:r w:rsidR="00EC3D9B">
        <w:t xml:space="preserve">fostering competition between Fannie Mae and Freddie Mac and encouraging </w:t>
      </w:r>
      <w:r w:rsidR="00E55769">
        <w:t xml:space="preserve">the creation of </w:t>
      </w:r>
      <w:r w:rsidR="00EC3D9B">
        <w:t>innovative new products and programs</w:t>
      </w:r>
      <w:r w:rsidR="00DF5AFE">
        <w:t xml:space="preserve"> that benefit consumers</w:t>
      </w:r>
      <w:r w:rsidR="00E55769">
        <w:t>.</w:t>
      </w:r>
    </w:p>
    <w:p w14:paraId="76282A0C" w14:textId="617A54C1" w:rsidR="00EC3D9B" w:rsidRPr="00F82729" w:rsidRDefault="00F779F5" w:rsidP="00CF3D5B">
      <w:pPr>
        <w:spacing w:after="0" w:line="480" w:lineRule="auto"/>
        <w:rPr>
          <w:b/>
          <w:bCs/>
        </w:rPr>
      </w:pPr>
      <w:r w:rsidRPr="00F82729">
        <w:rPr>
          <w:b/>
          <w:bCs/>
        </w:rPr>
        <w:t>Summary of Proposals</w:t>
      </w:r>
    </w:p>
    <w:p w14:paraId="2D1258DD" w14:textId="686A8B3D" w:rsidR="00F779F5" w:rsidRDefault="00F779F5" w:rsidP="00CF3D5B">
      <w:pPr>
        <w:spacing w:after="0" w:line="480" w:lineRule="auto"/>
      </w:pPr>
      <w:r>
        <w:tab/>
        <w:t>Before commenting on the proposed changes, we believe it will be helpful to outline our understanding of the FHFA’s proposal</w:t>
      </w:r>
      <w:r w:rsidR="00E50039">
        <w:t xml:space="preserve"> and request for input (“the RFI”)</w:t>
      </w:r>
      <w:r w:rsidR="00781841">
        <w:rPr>
          <w:rStyle w:val="FootnoteReference"/>
        </w:rPr>
        <w:footnoteReference w:id="1"/>
      </w:r>
      <w:r>
        <w:t>, which contains three major provisions.</w:t>
      </w:r>
    </w:p>
    <w:p w14:paraId="19D71675" w14:textId="3B3F3150" w:rsidR="00F779F5" w:rsidRDefault="00F779F5" w:rsidP="00BF411C">
      <w:pPr>
        <w:pStyle w:val="ListParagraph"/>
        <w:numPr>
          <w:ilvl w:val="0"/>
          <w:numId w:val="1"/>
        </w:numPr>
        <w:spacing w:after="0" w:line="480" w:lineRule="auto"/>
      </w:pPr>
      <w:r>
        <w:t>All seller servicers would be either “incentivized or required” to deliver the bulk of their production into “generic, multi-issuer pools formed by either Enterprise.</w:t>
      </w:r>
      <w:r w:rsidR="00E55769">
        <w:t>”</w:t>
      </w:r>
    </w:p>
    <w:p w14:paraId="2532A24F" w14:textId="771BD9A1" w:rsidR="00D459FB" w:rsidRDefault="00F779F5" w:rsidP="00BF411C">
      <w:pPr>
        <w:pStyle w:val="ListParagraph"/>
        <w:numPr>
          <w:ilvl w:val="0"/>
          <w:numId w:val="1"/>
        </w:numPr>
        <w:spacing w:after="0" w:line="480" w:lineRule="auto"/>
      </w:pPr>
      <w:r>
        <w:lastRenderedPageBreak/>
        <w:t xml:space="preserve">Both “specified pools” and other pools “with market pay-ups” could be created “under prescribed circumstances.” </w:t>
      </w:r>
    </w:p>
    <w:p w14:paraId="5C6CF9DD" w14:textId="11FC3020" w:rsidR="00771892" w:rsidRDefault="00D459FB" w:rsidP="00771892">
      <w:pPr>
        <w:pStyle w:val="ListParagraph"/>
        <w:numPr>
          <w:ilvl w:val="0"/>
          <w:numId w:val="1"/>
        </w:numPr>
        <w:spacing w:after="0" w:line="480" w:lineRule="auto"/>
      </w:pPr>
      <w:r>
        <w:t xml:space="preserve">Loans by seller/servicers whose production is deemed to exhibit anomalous prepayment behavior would be forced to </w:t>
      </w:r>
      <w:r w:rsidR="00F54406">
        <w:t>“</w:t>
      </w:r>
      <w:r>
        <w:t>deliver all or part of their production</w:t>
      </w:r>
      <w:r w:rsidR="00F54406">
        <w:t>”</w:t>
      </w:r>
      <w:r>
        <w:t xml:space="preserve"> into single lender pools</w:t>
      </w:r>
      <w:r w:rsidR="003A5763">
        <w:t xml:space="preserve"> that are not deliverable into TBAs</w:t>
      </w:r>
      <w:r w:rsidR="00771892">
        <w:t>.</w:t>
      </w:r>
    </w:p>
    <w:p w14:paraId="42982AA7" w14:textId="08251AF9" w:rsidR="00BF411C" w:rsidRDefault="00771892" w:rsidP="00771892">
      <w:pPr>
        <w:spacing w:after="0" w:line="480" w:lineRule="auto"/>
      </w:pPr>
      <w:r>
        <w:t xml:space="preserve">The proposal would apply to all loans pooled into securities issued </w:t>
      </w:r>
      <w:r w:rsidR="00FC48D3">
        <w:t xml:space="preserve">under the “Single Security Initiative” </w:t>
      </w:r>
      <w:r w:rsidR="00E57C0B">
        <w:t xml:space="preserve">(SSI) </w:t>
      </w:r>
      <w:r>
        <w:t>as “Univer</w:t>
      </w:r>
      <w:r w:rsidR="00C21E5F">
        <w:t>s</w:t>
      </w:r>
      <w:r>
        <w:t>al Mortgage-Backed Securities</w:t>
      </w:r>
      <w:r w:rsidR="00C21E5F">
        <w:t>”</w:t>
      </w:r>
      <w:r>
        <w:t xml:space="preserve"> (UMBS)</w:t>
      </w:r>
      <w:r w:rsidR="00F62D5E">
        <w:rPr>
          <w:rStyle w:val="FootnoteReference"/>
        </w:rPr>
        <w:footnoteReference w:id="2"/>
      </w:r>
      <w:r>
        <w:t xml:space="preserve"> </w:t>
      </w:r>
      <w:r w:rsidR="00C21E5F">
        <w:t xml:space="preserve">irrespective of whether they are comprised of loans </w:t>
      </w:r>
      <w:r w:rsidR="00FC48D3">
        <w:t xml:space="preserve">sold </w:t>
      </w:r>
      <w:r w:rsidR="00516FA0">
        <w:t xml:space="preserve">directly </w:t>
      </w:r>
      <w:r w:rsidR="00FC48D3">
        <w:t>to</w:t>
      </w:r>
      <w:r w:rsidR="00C21E5F">
        <w:t xml:space="preserve"> the Enterprises </w:t>
      </w:r>
      <w:r w:rsidR="00FC48D3">
        <w:t xml:space="preserve">through their </w:t>
      </w:r>
      <w:r w:rsidR="00C21E5F">
        <w:t xml:space="preserve">“cash windows” or are </w:t>
      </w:r>
      <w:r w:rsidR="00516FA0">
        <w:t xml:space="preserve">securitized </w:t>
      </w:r>
      <w:r w:rsidR="00930DE2">
        <w:t xml:space="preserve">through </w:t>
      </w:r>
      <w:r w:rsidR="00FC48D3">
        <w:t>“guarantor swap transaction</w:t>
      </w:r>
      <w:r w:rsidR="00930DE2">
        <w:t>s,</w:t>
      </w:r>
      <w:r w:rsidR="00516FA0">
        <w:t>”</w:t>
      </w:r>
      <w:r w:rsidR="00930DE2">
        <w:t xml:space="preserve"> i.e., by essentially swapping loans to Fannie Mae or Freddie Mac in exchange for UMBS.</w:t>
      </w:r>
    </w:p>
    <w:p w14:paraId="64B14E21" w14:textId="74588E73" w:rsidR="00686AC1" w:rsidRDefault="00686AC1" w:rsidP="00771892">
      <w:pPr>
        <w:spacing w:after="0" w:line="480" w:lineRule="auto"/>
      </w:pPr>
      <w:r>
        <w:tab/>
        <w:t xml:space="preserve">The proposal is intended to further </w:t>
      </w:r>
      <w:r w:rsidR="00433847">
        <w:t xml:space="preserve">implement </w:t>
      </w:r>
      <w:r>
        <w:t xml:space="preserve">the FHFA’s “Final Rule,” which outlined policies and procedures designed to improve the fungibility of securities issued under the UMBS </w:t>
      </w:r>
      <w:r w:rsidR="00AD1677">
        <w:t>framework</w:t>
      </w:r>
      <w:r w:rsidR="00433847">
        <w:t>,</w:t>
      </w:r>
      <w:r w:rsidR="00AD1677">
        <w:t xml:space="preserve"> as well as </w:t>
      </w:r>
      <w:r w:rsidR="00CF3CB0">
        <w:t>“</w:t>
      </w:r>
      <w:r w:rsidR="00AD1677">
        <w:t>align</w:t>
      </w:r>
      <w:r w:rsidR="00CF3CB0">
        <w:t>”</w:t>
      </w:r>
      <w:r w:rsidR="00AD1677">
        <w:t xml:space="preserve"> the </w:t>
      </w:r>
      <w:r w:rsidR="00244295">
        <w:t xml:space="preserve">cash flows and </w:t>
      </w:r>
      <w:r w:rsidR="00AD1677">
        <w:t>prepayment speeds of UMBS pools issued by Fannie and Freddie.</w:t>
      </w:r>
      <w:r w:rsidR="00FC48D3">
        <w:t xml:space="preserve">  In the FHFA’s view, a critical component to the long-term success of</w:t>
      </w:r>
      <w:r w:rsidR="00E57C0B">
        <w:t xml:space="preserve"> the SSI is that </w:t>
      </w:r>
      <w:r w:rsidR="00680EA8">
        <w:t xml:space="preserve">there </w:t>
      </w:r>
      <w:r w:rsidR="00433847">
        <w:t>should</w:t>
      </w:r>
      <w:r w:rsidR="00433847">
        <w:t xml:space="preserve"> </w:t>
      </w:r>
      <w:r w:rsidR="007B3482">
        <w:t xml:space="preserve">not be any </w:t>
      </w:r>
      <w:r w:rsidR="00680EA8">
        <w:t>systematic difference</w:t>
      </w:r>
      <w:r w:rsidR="007B3482">
        <w:t>s</w:t>
      </w:r>
      <w:r w:rsidR="00680EA8">
        <w:t xml:space="preserve"> </w:t>
      </w:r>
      <w:r w:rsidR="007B3482">
        <w:t xml:space="preserve">between </w:t>
      </w:r>
      <w:r w:rsidR="00680EA8">
        <w:t xml:space="preserve">the prepayment speeds and behavior of UMBS issued by Fannie Mae </w:t>
      </w:r>
      <w:r w:rsidR="007B3482">
        <w:t xml:space="preserve">and </w:t>
      </w:r>
      <w:r w:rsidR="00680EA8">
        <w:t>Freddie Mac</w:t>
      </w:r>
      <w:r w:rsidR="007B3482">
        <w:t>.</w:t>
      </w:r>
      <w:r w:rsidR="00CF3CB0">
        <w:t xml:space="preserve"> </w:t>
      </w:r>
      <w:r w:rsidR="007B3482">
        <w:t xml:space="preserve">This </w:t>
      </w:r>
      <w:r w:rsidR="00CF3CB0">
        <w:t xml:space="preserve">is why the Final Rule </w:t>
      </w:r>
      <w:r w:rsidR="007B3482">
        <w:t>emphasized</w:t>
      </w:r>
      <w:r w:rsidR="00CF3CB0">
        <w:t xml:space="preserve"> the “alignment” of </w:t>
      </w:r>
      <w:r w:rsidR="00433847">
        <w:t xml:space="preserve">the </w:t>
      </w:r>
      <w:r w:rsidR="00CF3CB0">
        <w:t>prepayment performance of pools issued by the two Enterprises</w:t>
      </w:r>
      <w:r w:rsidR="00680EA8">
        <w:t>.</w:t>
      </w:r>
      <w:r w:rsidR="0020436B">
        <w:t xml:space="preserve">  The Final Rule outlines both procedures to compare the prepayment speeds of pools issued by the different enterprises, as well as aligning the “programs, policies and practices” of the two enterprises in order to </w:t>
      </w:r>
      <w:r w:rsidR="0055312A">
        <w:t>minimize variations in the prepayments of the two Enterprises’ securities.</w:t>
      </w:r>
    </w:p>
    <w:p w14:paraId="1B56389C" w14:textId="4C16450E" w:rsidR="0055312A" w:rsidRPr="000A13E0" w:rsidRDefault="00CF3CB0" w:rsidP="00771892">
      <w:pPr>
        <w:spacing w:after="0" w:line="480" w:lineRule="auto"/>
        <w:rPr>
          <w:b/>
          <w:bCs/>
        </w:rPr>
      </w:pPr>
      <w:r>
        <w:rPr>
          <w:b/>
          <w:bCs/>
        </w:rPr>
        <w:t>Comments on t</w:t>
      </w:r>
      <w:r w:rsidR="000A13E0" w:rsidRPr="000A13E0">
        <w:rPr>
          <w:b/>
          <w:bCs/>
        </w:rPr>
        <w:t>he Proposal</w:t>
      </w:r>
    </w:p>
    <w:p w14:paraId="45442818" w14:textId="519CC145" w:rsidR="00D45F6F" w:rsidRDefault="000A13E0" w:rsidP="00771892">
      <w:pPr>
        <w:spacing w:after="0" w:line="480" w:lineRule="auto"/>
      </w:pPr>
      <w:r>
        <w:lastRenderedPageBreak/>
        <w:tab/>
        <w:t xml:space="preserve">Despite our support for the </w:t>
      </w:r>
      <w:r w:rsidR="00FE4C05">
        <w:t xml:space="preserve">above-stated </w:t>
      </w:r>
      <w:r>
        <w:t xml:space="preserve">objectives, we have </w:t>
      </w:r>
      <w:r w:rsidR="00D1608E">
        <w:t xml:space="preserve">identified </w:t>
      </w:r>
      <w:r>
        <w:t xml:space="preserve">issues with the proposal that make it problematic for the </w:t>
      </w:r>
      <w:r w:rsidR="00D1608E">
        <w:t>mortgage lending</w:t>
      </w:r>
      <w:r>
        <w:t xml:space="preserve"> community</w:t>
      </w:r>
      <w:r w:rsidR="00FE4C05">
        <w:t>,</w:t>
      </w:r>
      <w:r>
        <w:t xml:space="preserve"> </w:t>
      </w:r>
      <w:r w:rsidR="00D1608E">
        <w:t xml:space="preserve">along with </w:t>
      </w:r>
      <w:r>
        <w:t xml:space="preserve">market-makers and dealers in MBS products.  </w:t>
      </w:r>
      <w:r w:rsidR="00D45F6F">
        <w:t>Our concerns are outlined below for each element of the proposed changes.</w:t>
      </w:r>
    </w:p>
    <w:p w14:paraId="6E242555" w14:textId="393E68D8" w:rsidR="00D45F6F" w:rsidRPr="00D45F6F" w:rsidRDefault="00D45F6F" w:rsidP="00771892">
      <w:pPr>
        <w:spacing w:after="0" w:line="480" w:lineRule="auto"/>
        <w:rPr>
          <w:u w:val="single"/>
        </w:rPr>
      </w:pPr>
      <w:r w:rsidRPr="00D45F6F">
        <w:rPr>
          <w:u w:val="single"/>
        </w:rPr>
        <w:t>Delivering the “Vast Majority” of Production</w:t>
      </w:r>
      <w:r w:rsidR="007E0225">
        <w:rPr>
          <w:u w:val="single"/>
        </w:rPr>
        <w:t xml:space="preserve"> </w:t>
      </w:r>
      <w:r w:rsidR="003C6856">
        <w:rPr>
          <w:u w:val="single"/>
        </w:rPr>
        <w:t>i</w:t>
      </w:r>
      <w:r w:rsidR="007E0225">
        <w:rPr>
          <w:u w:val="single"/>
        </w:rPr>
        <w:t>nto Multi-Issuer Pools</w:t>
      </w:r>
    </w:p>
    <w:p w14:paraId="246F0EE9" w14:textId="2CBADE0A" w:rsidR="00E50039" w:rsidRDefault="00E50039" w:rsidP="00D45F6F">
      <w:pPr>
        <w:spacing w:after="0" w:line="480" w:lineRule="auto"/>
        <w:ind w:firstLine="720"/>
      </w:pPr>
      <w:r>
        <w:t>It’s not clear to us that this core aspect of the proposal is necessary, as we note that c</w:t>
      </w:r>
      <w:r w:rsidR="00D45F6F">
        <w:t xml:space="preserve">urrent issuance trends and data suggest that </w:t>
      </w:r>
      <w:r w:rsidR="000A13E0">
        <w:t xml:space="preserve">that </w:t>
      </w:r>
      <w:r w:rsidR="00D45F6F">
        <w:t xml:space="preserve">the proposed changes </w:t>
      </w:r>
      <w:r w:rsidR="001A6E84">
        <w:t xml:space="preserve">to </w:t>
      </w:r>
      <w:r w:rsidR="00D45F6F">
        <w:t>issuance composition</w:t>
      </w:r>
      <w:r w:rsidR="000A13E0">
        <w:t xml:space="preserve"> </w:t>
      </w:r>
      <w:r w:rsidR="00D45F6F">
        <w:t xml:space="preserve">have already </w:t>
      </w:r>
      <w:r w:rsidR="001A6E84">
        <w:t>been achieved</w:t>
      </w:r>
      <w:r w:rsidR="000A13E0">
        <w:t xml:space="preserve">.  For example, data and analysis published by Refinitiv indicates that the share of loans securitized in multi-lender pools by Fannie Mae and Freddie Mac grew from 58% in 2014 to 75% (year-to-date) in 2019.  </w:t>
      </w:r>
      <w:r w:rsidR="002A50BF">
        <w:t xml:space="preserve">If this trend holds, the percentage of loans in multi-issuer pools </w:t>
      </w:r>
      <w:r w:rsidR="00157E5E">
        <w:t xml:space="preserve">will be </w:t>
      </w:r>
      <w:r w:rsidR="002A50BF">
        <w:t xml:space="preserve">well within the 70-80% target </w:t>
      </w:r>
      <w:r w:rsidR="00157E5E">
        <w:t xml:space="preserve">outlined </w:t>
      </w:r>
      <w:r w:rsidR="002A50BF">
        <w:t xml:space="preserve">in the proposal.   </w:t>
      </w:r>
      <w:r w:rsidR="000A13E0">
        <w:t xml:space="preserve">The </w:t>
      </w:r>
      <w:r w:rsidR="00C37C13">
        <w:t>growth i</w:t>
      </w:r>
      <w:r w:rsidR="000A13E0">
        <w:t xml:space="preserve">n the share of </w:t>
      </w:r>
      <w:r w:rsidR="00C37C13">
        <w:t xml:space="preserve">multi-issuer </w:t>
      </w:r>
      <w:r w:rsidR="000A13E0">
        <w:t xml:space="preserve">pools </w:t>
      </w:r>
      <w:r w:rsidR="00C37C13">
        <w:t>is, we suspect, attributable to a number of factors</w:t>
      </w:r>
      <w:r>
        <w:t xml:space="preserve">, </w:t>
      </w:r>
      <w:r w:rsidR="00C37C13">
        <w:t>including</w:t>
      </w:r>
      <w:r>
        <w:t>:</w:t>
      </w:r>
    </w:p>
    <w:p w14:paraId="1DC735F0" w14:textId="77777777" w:rsidR="00E50039" w:rsidRDefault="00C37C13" w:rsidP="004F66AB">
      <w:pPr>
        <w:pStyle w:val="ListParagraph"/>
        <w:numPr>
          <w:ilvl w:val="0"/>
          <w:numId w:val="2"/>
        </w:numPr>
        <w:spacing w:after="0" w:line="480" w:lineRule="auto"/>
      </w:pPr>
      <w:r>
        <w:t xml:space="preserve">improvements </w:t>
      </w:r>
      <w:r w:rsidR="00E50039">
        <w:t>to</w:t>
      </w:r>
      <w:r>
        <w:t xml:space="preserve"> </w:t>
      </w:r>
      <w:r w:rsidR="00E50039">
        <w:t xml:space="preserve">generic loan </w:t>
      </w:r>
      <w:r>
        <w:t>prices offered by the Enterprises</w:t>
      </w:r>
      <w:r w:rsidR="00385085">
        <w:t xml:space="preserve"> </w:t>
      </w:r>
      <w:r w:rsidR="00E50039">
        <w:t>through their “cash windows;”</w:t>
      </w:r>
    </w:p>
    <w:p w14:paraId="16985CB7" w14:textId="6C011F12" w:rsidR="00E50039" w:rsidRDefault="00E50039" w:rsidP="004F66AB">
      <w:pPr>
        <w:pStyle w:val="ListParagraph"/>
        <w:numPr>
          <w:ilvl w:val="0"/>
          <w:numId w:val="2"/>
        </w:numPr>
        <w:spacing w:after="0" w:line="480" w:lineRule="auto"/>
      </w:pPr>
      <w:r>
        <w:t>the Enterprises’ willingness to offer improved pricing for loans</w:t>
      </w:r>
      <w:r w:rsidR="004F66AB">
        <w:t xml:space="preserve"> with</w:t>
      </w:r>
      <w:r>
        <w:t xml:space="preserve"> “specified attributes” </w:t>
      </w:r>
      <w:r w:rsidR="004F66AB">
        <w:t xml:space="preserve">such as smaller balances </w:t>
      </w:r>
      <w:r>
        <w:t>that command pay-ups in the MBS markets; and</w:t>
      </w:r>
    </w:p>
    <w:p w14:paraId="5613CC54" w14:textId="0922E5E0" w:rsidR="000A13E0" w:rsidRDefault="00C37C13" w:rsidP="004F66AB">
      <w:pPr>
        <w:pStyle w:val="ListParagraph"/>
        <w:numPr>
          <w:ilvl w:val="0"/>
          <w:numId w:val="2"/>
        </w:numPr>
        <w:spacing w:after="0" w:line="480" w:lineRule="auto"/>
      </w:pPr>
      <w:r>
        <w:t>industry consolidation</w:t>
      </w:r>
      <w:r w:rsidR="0064065F">
        <w:t>.</w:t>
      </w:r>
    </w:p>
    <w:p w14:paraId="0182279F" w14:textId="094E0539" w:rsidR="00385085" w:rsidRDefault="00385085" w:rsidP="00771892">
      <w:pPr>
        <w:spacing w:after="0" w:line="480" w:lineRule="auto"/>
      </w:pPr>
      <w:r>
        <w:tab/>
      </w:r>
      <w:r w:rsidR="00553F49">
        <w:t xml:space="preserve">We also believe that, while </w:t>
      </w:r>
      <w:r w:rsidR="006F5435">
        <w:t xml:space="preserve">the proposal would serve to improve the “fungibility” of UMBS pools within the </w:t>
      </w:r>
      <w:r w:rsidR="00E422D1">
        <w:t xml:space="preserve">population </w:t>
      </w:r>
      <w:r w:rsidR="006F5435">
        <w:t>of pools issued by each Enterprise</w:t>
      </w:r>
      <w:r w:rsidR="00D45F6F">
        <w:t xml:space="preserve">, it would not </w:t>
      </w:r>
      <w:r w:rsidR="00CF3CB0">
        <w:t xml:space="preserve">necessarily </w:t>
      </w:r>
      <w:r w:rsidR="006F5435">
        <w:t xml:space="preserve">improve the </w:t>
      </w:r>
      <w:r w:rsidR="00E422D1">
        <w:t xml:space="preserve">consistency </w:t>
      </w:r>
      <w:r w:rsidR="006F5435">
        <w:t xml:space="preserve">of </w:t>
      </w:r>
      <w:r w:rsidR="00E422D1">
        <w:t xml:space="preserve">prepayment speeds </w:t>
      </w:r>
      <w:r w:rsidR="00E422D1" w:rsidRPr="00E422D1">
        <w:rPr>
          <w:i/>
          <w:iCs/>
        </w:rPr>
        <w:t>between</w:t>
      </w:r>
      <w:r w:rsidR="00E422D1">
        <w:t xml:space="preserve"> </w:t>
      </w:r>
      <w:r w:rsidR="006F5435">
        <w:t>Fannie Mae and Freddie Mac</w:t>
      </w:r>
      <w:r w:rsidR="00E422D1">
        <w:t xml:space="preserve"> pools</w:t>
      </w:r>
      <w:r w:rsidR="00D45F6F">
        <w:t>, the clear intent of the FHFA’s Final Rule</w:t>
      </w:r>
      <w:r w:rsidR="006F5435">
        <w:t xml:space="preserve">.  </w:t>
      </w:r>
      <w:r w:rsidR="00AF62F9">
        <w:t>We agree that f</w:t>
      </w:r>
      <w:r w:rsidR="0038793E">
        <w:t xml:space="preserve">orcing the issuance of </w:t>
      </w:r>
      <w:r w:rsidR="006F5435">
        <w:t xml:space="preserve">larger pools would make it less likely that an investor would </w:t>
      </w:r>
      <w:r w:rsidR="00621727">
        <w:t xml:space="preserve">be delivered </w:t>
      </w:r>
      <w:r w:rsidR="006F5435">
        <w:t xml:space="preserve">pools </w:t>
      </w:r>
      <w:r w:rsidR="00AF62F9">
        <w:t xml:space="preserve">against TBA purchases that </w:t>
      </w:r>
      <w:r w:rsidR="00D45F6F">
        <w:t xml:space="preserve">exhibit </w:t>
      </w:r>
      <w:r w:rsidR="006F5435">
        <w:t xml:space="preserve">unfavorable </w:t>
      </w:r>
      <w:r w:rsidR="00D45F6F">
        <w:t xml:space="preserve">and </w:t>
      </w:r>
      <w:r w:rsidR="00AF62F9">
        <w:t xml:space="preserve">anomalous </w:t>
      </w:r>
      <w:r w:rsidR="006F5435">
        <w:t xml:space="preserve">prepayment </w:t>
      </w:r>
      <w:r w:rsidR="009D05DB">
        <w:t>behavior</w:t>
      </w:r>
      <w:r w:rsidR="00E422D1">
        <w:t xml:space="preserve">, and that </w:t>
      </w:r>
      <w:r w:rsidR="00CF3CB0">
        <w:t>there are potential differences between pools that might be mitigated through the creation of larger multi-lender pools.  (For example,</w:t>
      </w:r>
      <w:r w:rsidR="00E179EA">
        <w:t xml:space="preserve"> there may be originators whose production might </w:t>
      </w:r>
      <w:r w:rsidR="00621727">
        <w:t xml:space="preserve">be concentrated within a limited geographic footprint and thus </w:t>
      </w:r>
      <w:r w:rsidR="00E179EA">
        <w:t xml:space="preserve">exhibit </w:t>
      </w:r>
      <w:r w:rsidR="00621727">
        <w:t xml:space="preserve">atypical </w:t>
      </w:r>
      <w:r w:rsidR="00E179EA">
        <w:t xml:space="preserve">prepayment speeds if </w:t>
      </w:r>
      <w:r w:rsidR="00621727">
        <w:t>securitized</w:t>
      </w:r>
      <w:r w:rsidR="00E179EA">
        <w:t xml:space="preserve"> </w:t>
      </w:r>
      <w:r w:rsidR="00E422D1">
        <w:t xml:space="preserve">as </w:t>
      </w:r>
      <w:r w:rsidR="00E179EA">
        <w:t>single-issuer pools</w:t>
      </w:r>
      <w:r w:rsidR="00621727">
        <w:t xml:space="preserve">; the impact of their prepayment speeds </w:t>
      </w:r>
      <w:r w:rsidR="005516D1">
        <w:t xml:space="preserve">on the </w:t>
      </w:r>
      <w:r w:rsidR="005516D1">
        <w:lastRenderedPageBreak/>
        <w:t xml:space="preserve">performance </w:t>
      </w:r>
      <w:r w:rsidR="00621727">
        <w:t xml:space="preserve">of </w:t>
      </w:r>
      <w:r w:rsidR="005516D1">
        <w:t xml:space="preserve">larger </w:t>
      </w:r>
      <w:r w:rsidR="00E179EA">
        <w:t>multi-lender pools</w:t>
      </w:r>
      <w:r w:rsidR="005516D1">
        <w:t xml:space="preserve"> would be muted</w:t>
      </w:r>
      <w:r w:rsidR="00A67C7C">
        <w:t xml:space="preserve">.)  </w:t>
      </w:r>
      <w:r w:rsidR="00186BF0">
        <w:t>With respect to the alignment of Fannie and Freddie speeds, h</w:t>
      </w:r>
      <w:r w:rsidR="00AF62F9">
        <w:t xml:space="preserve">owever, </w:t>
      </w:r>
      <w:r w:rsidR="00A67C7C">
        <w:t xml:space="preserve">the proposal does not </w:t>
      </w:r>
      <w:r w:rsidR="00950E54">
        <w:t xml:space="preserve">address </w:t>
      </w:r>
      <w:r w:rsidR="00CF3CB0">
        <w:t xml:space="preserve">key </w:t>
      </w:r>
      <w:r w:rsidR="009D05DB">
        <w:t>factors</w:t>
      </w:r>
      <w:r w:rsidR="00186BF0">
        <w:t xml:space="preserve"> </w:t>
      </w:r>
      <w:r w:rsidR="000710A4">
        <w:t>that might result in materially different prepayment performance by the two Enterprises’ pools</w:t>
      </w:r>
      <w:r w:rsidR="00186BF0">
        <w:t>, including different policies and practices of lenders distributing their production through the two Enterprises</w:t>
      </w:r>
      <w:r w:rsidR="00A973CA">
        <w:t>; it also does not consider changes that</w:t>
      </w:r>
      <w:r w:rsidR="00C54182">
        <w:t xml:space="preserve"> would</w:t>
      </w:r>
      <w:r w:rsidR="00A973CA">
        <w:t xml:space="preserve"> </w:t>
      </w:r>
      <w:r w:rsidR="00C54182">
        <w:t>better align prepayment performance</w:t>
      </w:r>
      <w:r w:rsidR="00A973CA">
        <w:t>, such as cross-guarantees or co-mingling of Fannie and Freddie loans within “first level” pools</w:t>
      </w:r>
      <w:r w:rsidR="000710A4">
        <w:t>.</w:t>
      </w:r>
      <w:r w:rsidR="00AF62F9">
        <w:t xml:space="preserve"> </w:t>
      </w:r>
      <w:r w:rsidR="00B60298">
        <w:t xml:space="preserve">  </w:t>
      </w:r>
      <w:r w:rsidR="00186BF0">
        <w:t>(On page 8, t</w:t>
      </w:r>
      <w:r w:rsidR="00B60298">
        <w:t>he proposal notes that</w:t>
      </w:r>
      <w:r w:rsidR="00964F11">
        <w:t>, with respect to pooling practices,</w:t>
      </w:r>
      <w:r w:rsidR="00B60298">
        <w:t xml:space="preserve"> “the Enterprises may take different approaches, which may lead to divergences in prepayment behavior despite over</w:t>
      </w:r>
      <w:r w:rsidR="00964F11">
        <w:t>a</w:t>
      </w:r>
      <w:r w:rsidR="00B60298">
        <w:t>ll alignment across the br</w:t>
      </w:r>
      <w:r w:rsidR="00964F11">
        <w:t>o</w:t>
      </w:r>
      <w:r w:rsidR="00B60298">
        <w:t>ader cohorts</w:t>
      </w:r>
      <w:r w:rsidR="00964F11">
        <w:t>.”</w:t>
      </w:r>
      <w:r w:rsidR="00186BF0">
        <w:t>)</w:t>
      </w:r>
      <w:r w:rsidR="00964F11">
        <w:t xml:space="preserve">  </w:t>
      </w:r>
      <w:r w:rsidR="00186BF0">
        <w:t>In this context</w:t>
      </w:r>
      <w:r w:rsidR="00964F11">
        <w:t xml:space="preserve">, </w:t>
      </w:r>
      <w:r w:rsidR="00602E69">
        <w:t xml:space="preserve">we don’t believe that </w:t>
      </w:r>
      <w:r w:rsidR="00964F11">
        <w:t>the proposed solution of directing production into larger pools will</w:t>
      </w:r>
      <w:r w:rsidR="00602E69">
        <w:t xml:space="preserve">, </w:t>
      </w:r>
      <w:r w:rsidR="00602E69">
        <w:t>on its own</w:t>
      </w:r>
      <w:r w:rsidR="00602E69">
        <w:t>,</w:t>
      </w:r>
      <w:r w:rsidR="00964F11">
        <w:t xml:space="preserve"> </w:t>
      </w:r>
      <w:r w:rsidR="00186BF0">
        <w:t xml:space="preserve">result in further alignment </w:t>
      </w:r>
      <w:r w:rsidR="00E422D1">
        <w:t>of Fannie and Freddie speeds</w:t>
      </w:r>
      <w:r w:rsidR="00964F11">
        <w:t>.  Put differently, t</w:t>
      </w:r>
      <w:r w:rsidR="009D05DB">
        <w:t>he</w:t>
      </w:r>
      <w:r w:rsidR="00AF62F9">
        <w:t xml:space="preserve"> proposal conflates the “fungibility” of MBS with the “alignment” of prepayment speeds across the two enterprises, which in our view are </w:t>
      </w:r>
      <w:r w:rsidR="00CF3CB0">
        <w:t xml:space="preserve">related but </w:t>
      </w:r>
      <w:r w:rsidR="00E179EA">
        <w:t>separate</w:t>
      </w:r>
      <w:r w:rsidR="00AF62F9">
        <w:t xml:space="preserve"> considerations</w:t>
      </w:r>
      <w:r w:rsidR="00AF62F9" w:rsidRPr="009F4C6B">
        <w:t>.</w:t>
      </w:r>
      <w:r w:rsidR="00950A50" w:rsidRPr="009F4C6B">
        <w:rPr>
          <w:rStyle w:val="FootnoteReference"/>
        </w:rPr>
        <w:footnoteReference w:id="3"/>
      </w:r>
      <w:r w:rsidR="0013697A">
        <w:t xml:space="preserve">  </w:t>
      </w:r>
    </w:p>
    <w:p w14:paraId="0CB576A5" w14:textId="1C63D687" w:rsidR="00A0088B" w:rsidRPr="007E0225" w:rsidRDefault="007E0225" w:rsidP="009F4C6B">
      <w:pPr>
        <w:spacing w:after="0" w:line="480" w:lineRule="auto"/>
        <w:rPr>
          <w:u w:val="single"/>
        </w:rPr>
      </w:pPr>
      <w:r w:rsidRPr="007E0225">
        <w:rPr>
          <w:u w:val="single"/>
        </w:rPr>
        <w:t>Creat</w:t>
      </w:r>
      <w:r w:rsidR="00F54406">
        <w:rPr>
          <w:u w:val="single"/>
        </w:rPr>
        <w:t>ing</w:t>
      </w:r>
      <w:r w:rsidRPr="007E0225">
        <w:rPr>
          <w:u w:val="single"/>
        </w:rPr>
        <w:t xml:space="preserve"> Single-Issuer Specified Pools </w:t>
      </w:r>
      <w:r w:rsidR="00CD4787">
        <w:rPr>
          <w:u w:val="single"/>
        </w:rPr>
        <w:t>f</w:t>
      </w:r>
      <w:r w:rsidR="00E36083">
        <w:rPr>
          <w:u w:val="single"/>
        </w:rPr>
        <w:t>or Approved Categories</w:t>
      </w:r>
    </w:p>
    <w:p w14:paraId="032DBD3D" w14:textId="63CAD46E" w:rsidR="002A66F6" w:rsidRDefault="007E0225" w:rsidP="009F4C6B">
      <w:pPr>
        <w:spacing w:after="0" w:line="480" w:lineRule="auto"/>
      </w:pPr>
      <w:r>
        <w:tab/>
      </w:r>
      <w:r w:rsidR="00586DAF">
        <w:t xml:space="preserve">The proposal indicates that single-issuer specified pools would continue to be created for </w:t>
      </w:r>
      <w:r w:rsidR="00F87A38">
        <w:t xml:space="preserve">designated </w:t>
      </w:r>
      <w:r w:rsidR="00586DAF">
        <w:t>categories</w:t>
      </w:r>
      <w:r w:rsidR="002B7F78">
        <w:t xml:space="preserve"> and characteristics</w:t>
      </w:r>
      <w:r w:rsidR="00586DAF">
        <w:t xml:space="preserve">.  </w:t>
      </w:r>
      <w:r w:rsidR="00E36083">
        <w:t xml:space="preserve">The wording in the proposal reads that “[S]pecified pools and potentially other pools with market pay-ups (such as certain single-lender pools </w:t>
      </w:r>
      <w:r w:rsidR="00CD4787">
        <w:t>t</w:t>
      </w:r>
      <w:r w:rsidR="00E36083">
        <w:t xml:space="preserve">hat have particularly desirable characteristics) would continue to be allowed under prescribed circumstances…”  We read this to mean that single-issuer specified pools </w:t>
      </w:r>
      <w:r w:rsidR="002B7F78">
        <w:t>will</w:t>
      </w:r>
      <w:r w:rsidR="002B7F78">
        <w:t xml:space="preserve"> </w:t>
      </w:r>
      <w:r w:rsidR="00E36083">
        <w:t xml:space="preserve">only be created and traded </w:t>
      </w:r>
      <w:r w:rsidR="00CD4787">
        <w:t>subject to</w:t>
      </w:r>
      <w:r w:rsidR="00E36083">
        <w:t xml:space="preserve"> regulatory approval.  </w:t>
      </w:r>
    </w:p>
    <w:p w14:paraId="5589FA9A" w14:textId="24F7874C" w:rsidR="00E36083" w:rsidRDefault="002A66F6" w:rsidP="002A66F6">
      <w:pPr>
        <w:spacing w:after="0" w:line="480" w:lineRule="auto"/>
        <w:ind w:firstLine="720"/>
      </w:pPr>
      <w:r>
        <w:t xml:space="preserve">We </w:t>
      </w:r>
      <w:r w:rsidR="000F5611">
        <w:t xml:space="preserve">note </w:t>
      </w:r>
      <w:r>
        <w:t xml:space="preserve">several issues associated with attempting to codify the specified pool market in this fashion.  </w:t>
      </w:r>
      <w:r w:rsidR="00E36083">
        <w:t>First, w</w:t>
      </w:r>
      <w:r w:rsidR="00586DAF">
        <w:t xml:space="preserve">e believe that allowing specified pools to be traded only for pre-approved categories </w:t>
      </w:r>
      <w:r w:rsidR="00586DAF">
        <w:lastRenderedPageBreak/>
        <w:t xml:space="preserve">would seriously inhibit innovation and creativity in the </w:t>
      </w:r>
      <w:r w:rsidR="00035984">
        <w:t xml:space="preserve">MBS </w:t>
      </w:r>
      <w:r w:rsidR="00586DAF">
        <w:t xml:space="preserve">market.  Take, for example, </w:t>
      </w:r>
      <w:r w:rsidR="006C5F29">
        <w:t xml:space="preserve">so-called balance pools, i.e., </w:t>
      </w:r>
      <w:r w:rsidR="00586DAF">
        <w:t xml:space="preserve">pools comprised of loans with </w:t>
      </w:r>
      <w:r w:rsidR="006C5F29">
        <w:t xml:space="preserve">a range of </w:t>
      </w:r>
      <w:r w:rsidR="00586DAF">
        <w:t xml:space="preserve">maximum original loan balances.  Currently, specified balance categories </w:t>
      </w:r>
      <w:r w:rsidR="006C5F29">
        <w:t xml:space="preserve">traded in the MBS market </w:t>
      </w:r>
      <w:r w:rsidR="00586DAF">
        <w:t xml:space="preserve">include </w:t>
      </w:r>
      <w:r w:rsidR="006C5F29">
        <w:t xml:space="preserve">pools with </w:t>
      </w:r>
      <w:r w:rsidR="00586DAF">
        <w:t xml:space="preserve">maximum </w:t>
      </w:r>
      <w:r w:rsidR="006C5F29">
        <w:t xml:space="preserve">loan </w:t>
      </w:r>
      <w:r w:rsidR="00586DAF">
        <w:t xml:space="preserve">balances of $85,000, $110,000, $125,000, $150,000, and $175,000.  </w:t>
      </w:r>
      <w:r w:rsidR="00CE7485">
        <w:t xml:space="preserve">At some point, it may make sense to begin creating pools with </w:t>
      </w:r>
      <w:r w:rsidR="00035984">
        <w:t xml:space="preserve">other cutoffs (e.g., </w:t>
      </w:r>
      <w:r w:rsidR="00CE7485">
        <w:t>$200,000 maximum balances</w:t>
      </w:r>
      <w:r w:rsidR="00035984">
        <w:t>)</w:t>
      </w:r>
      <w:r w:rsidR="00CE7485">
        <w:t>, especially in light of recent increase</w:t>
      </w:r>
      <w:r w:rsidR="007958CA">
        <w:t>s</w:t>
      </w:r>
      <w:r w:rsidR="00CE7485">
        <w:t xml:space="preserve"> </w:t>
      </w:r>
      <w:r w:rsidR="007958CA">
        <w:t>to</w:t>
      </w:r>
      <w:r w:rsidR="00CE7485">
        <w:t xml:space="preserve"> the conforming loan limit</w:t>
      </w:r>
      <w:r w:rsidR="007958CA">
        <w:t>s</w:t>
      </w:r>
      <w:r w:rsidR="00CE7485">
        <w:t xml:space="preserve">.  </w:t>
      </w:r>
      <w:r w:rsidR="00CE7485" w:rsidRPr="00376B91">
        <w:rPr>
          <w:highlight w:val="yellow"/>
        </w:rPr>
        <w:t>(</w:t>
      </w:r>
      <w:r w:rsidR="00CE7485" w:rsidRPr="008A6273">
        <w:t xml:space="preserve">Consider that the current market structure </w:t>
      </w:r>
      <w:r w:rsidR="008A6273">
        <w:t xml:space="preserve">evolved </w:t>
      </w:r>
      <w:r w:rsidR="00CE7485" w:rsidRPr="008A6273">
        <w:t xml:space="preserve">when the conforming limits were much lower; </w:t>
      </w:r>
      <w:r w:rsidR="009A740D" w:rsidRPr="008A6273">
        <w:t>the 2020 limit of $510,</w:t>
      </w:r>
      <w:r w:rsidR="00035984">
        <w:t>4</w:t>
      </w:r>
      <w:r w:rsidR="00035984" w:rsidRPr="008A6273">
        <w:t xml:space="preserve">00 </w:t>
      </w:r>
      <w:r w:rsidR="009A740D" w:rsidRPr="008A6273">
        <w:t>is 22% higher than the $417,000 limit that prevailed as recently as 2016</w:t>
      </w:r>
      <w:r w:rsidR="00CE7485" w:rsidRPr="008A6273">
        <w:t>.)</w:t>
      </w:r>
      <w:r w:rsidR="00CE7485">
        <w:t xml:space="preserve">  </w:t>
      </w:r>
      <w:r w:rsidR="001E0324">
        <w:t xml:space="preserve">Other balance cutoffs might also develop, especially if the conforming limit continues to increase at the current pace.  </w:t>
      </w:r>
      <w:r w:rsidR="005A5D3E">
        <w:t xml:space="preserve">Market conditions may also favor the development of </w:t>
      </w:r>
      <w:r w:rsidR="00035984">
        <w:t xml:space="preserve">entirely </w:t>
      </w:r>
      <w:r w:rsidR="005A5D3E">
        <w:t>new categories, such as pools with low Gross WACs relative to their coupon rate.</w:t>
      </w:r>
      <w:r w:rsidR="000F5611">
        <w:t xml:space="preserve">  (Current pooling practices have pushed the spreads between pools’ GWACs and coupon rates to as much as 100 basis points or more, much greater than </w:t>
      </w:r>
      <w:r w:rsidR="00035984">
        <w:t xml:space="preserve">the </w:t>
      </w:r>
      <w:r w:rsidR="000F5611">
        <w:t xml:space="preserve">historical norms of 40-60 basis points.)  </w:t>
      </w:r>
    </w:p>
    <w:p w14:paraId="70F85AC7" w14:textId="31E7EC7E" w:rsidR="001E0324" w:rsidRDefault="001E0324" w:rsidP="009F4C6B">
      <w:pPr>
        <w:spacing w:after="0" w:line="480" w:lineRule="auto"/>
      </w:pPr>
      <w:r>
        <w:tab/>
      </w:r>
      <w:r w:rsidR="000F5611">
        <w:t xml:space="preserve">However, under the proposal it appears that new categories could </w:t>
      </w:r>
      <w:r w:rsidR="002E5F75">
        <w:t xml:space="preserve">not </w:t>
      </w:r>
      <w:r w:rsidR="00892763">
        <w:t xml:space="preserve">be </w:t>
      </w:r>
      <w:r w:rsidR="002E5F75">
        <w:t xml:space="preserve">developed </w:t>
      </w:r>
      <w:r w:rsidR="000F5611">
        <w:t>without the approval of a regulator or regulators.  In our view, t</w:t>
      </w:r>
      <w:r w:rsidR="00636049">
        <w:t xml:space="preserve">he requirement that </w:t>
      </w:r>
      <w:r w:rsidR="00F54406">
        <w:t xml:space="preserve">new </w:t>
      </w:r>
      <w:r w:rsidR="00636049">
        <w:t xml:space="preserve">specified pool characteristics be </w:t>
      </w:r>
      <w:r w:rsidR="002A66F6">
        <w:t xml:space="preserve">created only with </w:t>
      </w:r>
      <w:r w:rsidR="00636049">
        <w:t>regulator</w:t>
      </w:r>
      <w:r w:rsidR="002A66F6">
        <w:t>y approval</w:t>
      </w:r>
      <w:r w:rsidR="00636049">
        <w:t xml:space="preserve"> would create additional barriers to the already complex process </w:t>
      </w:r>
      <w:r w:rsidR="002E5F75">
        <w:t>of developing and marketing new categories</w:t>
      </w:r>
      <w:r w:rsidR="00636049">
        <w:t>.</w:t>
      </w:r>
      <w:r w:rsidR="001F2424">
        <w:t xml:space="preserve">   </w:t>
      </w:r>
      <w:r w:rsidR="000F5611">
        <w:t>W</w:t>
      </w:r>
      <w:r w:rsidR="001F2424">
        <w:t>hile the proposal does allow for pooling criteria to change over time, it is silent on how such changes would be proposed and approved.</w:t>
      </w:r>
      <w:r w:rsidR="000F5611">
        <w:t xml:space="preserve">  The proposal also overlooks the regulatory overlap in this sector of the market</w:t>
      </w:r>
      <w:r w:rsidR="002E5F75">
        <w:t xml:space="preserve">; while </w:t>
      </w:r>
      <w:r w:rsidR="000F5611">
        <w:t>the FHFA governs pool issuance by the Enterprises</w:t>
      </w:r>
      <w:r w:rsidR="002E5F75">
        <w:t>,</w:t>
      </w:r>
      <w:r w:rsidR="000F5611">
        <w:t xml:space="preserve"> SIFMA regulates trading </w:t>
      </w:r>
      <w:r w:rsidR="006B6B50">
        <w:t>and delivery practices</w:t>
      </w:r>
      <w:r w:rsidR="000F5611">
        <w:t xml:space="preserve"> and rules.  </w:t>
      </w:r>
      <w:r w:rsidR="00536B34">
        <w:t xml:space="preserve">Requiring the consent of multiple regulators in order to </w:t>
      </w:r>
      <w:r w:rsidR="00376B91">
        <w:t xml:space="preserve">alter </w:t>
      </w:r>
      <w:r w:rsidR="008855E0">
        <w:t>the structure</w:t>
      </w:r>
      <w:r w:rsidR="00376B91">
        <w:t xml:space="preserve"> of </w:t>
      </w:r>
      <w:r w:rsidR="008855E0">
        <w:t xml:space="preserve">the </w:t>
      </w:r>
      <w:r w:rsidR="00376B91">
        <w:t>specified pool</w:t>
      </w:r>
      <w:r w:rsidR="008855E0">
        <w:t xml:space="preserve"> market</w:t>
      </w:r>
      <w:r w:rsidR="00376B91">
        <w:t xml:space="preserve"> would, we expect, stifle innovation and make the market resistant to changes in issuance and trading practices.</w:t>
      </w:r>
      <w:r w:rsidR="006A3283">
        <w:t xml:space="preserve">  </w:t>
      </w:r>
      <w:r w:rsidR="004D63F5">
        <w:t>(</w:t>
      </w:r>
      <w:r w:rsidR="006A3283">
        <w:t>We also note that the benefits of specified pool trading are not limited to seller/servicers and trading desks; for example, the pay-ups received by originators for their smaller-balance loans are often passed on to consumers, a practice which supports low- and moderate-income housing.</w:t>
      </w:r>
      <w:r w:rsidR="004D63F5">
        <w:t>)</w:t>
      </w:r>
    </w:p>
    <w:p w14:paraId="6673691E" w14:textId="502D781E" w:rsidR="001F2424" w:rsidRPr="001264B9" w:rsidRDefault="00F54406" w:rsidP="009F4C6B">
      <w:pPr>
        <w:spacing w:after="0" w:line="480" w:lineRule="auto"/>
        <w:rPr>
          <w:u w:val="single"/>
        </w:rPr>
      </w:pPr>
      <w:r w:rsidRPr="001264B9">
        <w:rPr>
          <w:u w:val="single"/>
        </w:rPr>
        <w:lastRenderedPageBreak/>
        <w:t xml:space="preserve">Forcing Some Seller/Servicers </w:t>
      </w:r>
      <w:r w:rsidR="001264B9" w:rsidRPr="001264B9">
        <w:rPr>
          <w:u w:val="single"/>
        </w:rPr>
        <w:t>t</w:t>
      </w:r>
      <w:r w:rsidRPr="001264B9">
        <w:rPr>
          <w:u w:val="single"/>
        </w:rPr>
        <w:t xml:space="preserve">o Pool Production </w:t>
      </w:r>
      <w:r w:rsidR="00376B91">
        <w:rPr>
          <w:u w:val="single"/>
        </w:rPr>
        <w:t>i</w:t>
      </w:r>
      <w:r w:rsidRPr="001264B9">
        <w:rPr>
          <w:u w:val="single"/>
        </w:rPr>
        <w:t>nto Non-Deliverable Single-Issuer Pools</w:t>
      </w:r>
    </w:p>
    <w:p w14:paraId="7FA30F03" w14:textId="2660DC89" w:rsidR="00960AB1" w:rsidRDefault="001264B9" w:rsidP="009F4C6B">
      <w:pPr>
        <w:spacing w:after="0" w:line="480" w:lineRule="auto"/>
      </w:pPr>
      <w:r>
        <w:tab/>
      </w:r>
      <w:r w:rsidR="00960AB1">
        <w:t xml:space="preserve">This clause would force certain unfortunate seller-servicers to securitize </w:t>
      </w:r>
      <w:r w:rsidR="0091169A">
        <w:t>“</w:t>
      </w:r>
      <w:r w:rsidR="00960AB1">
        <w:t>all or part of their production</w:t>
      </w:r>
      <w:r w:rsidR="0091169A">
        <w:t>”</w:t>
      </w:r>
      <w:r w:rsidR="00960AB1">
        <w:t xml:space="preserve"> into single-issuer pools that would not be deliverable into TBAs.  Action would be taken “to address anomalies in prepayment speeds,” and</w:t>
      </w:r>
      <w:r w:rsidR="0051137A">
        <w:t>, as we see it,</w:t>
      </w:r>
      <w:r w:rsidR="00960AB1">
        <w:t xml:space="preserve"> might be based simply on the prepayment history of lenders’ loans</w:t>
      </w:r>
      <w:r w:rsidR="0051137A">
        <w:t xml:space="preserve">, although </w:t>
      </w:r>
      <w:r w:rsidR="00960AB1">
        <w:t>lenders “whose policies encourage borrowers to prepay significantly faster than average”</w:t>
      </w:r>
      <w:r w:rsidR="00C74F1E">
        <w:t xml:space="preserve"> may also be singled out for sanction.  </w:t>
      </w:r>
      <w:r w:rsidR="00960AB1">
        <w:t xml:space="preserve">Depending on how much of their production is directed to non-deliverable pools, lenders subject to these actions </w:t>
      </w:r>
      <w:r w:rsidR="00D7773D">
        <w:t xml:space="preserve">would </w:t>
      </w:r>
      <w:r w:rsidR="00F704F8">
        <w:t xml:space="preserve">be </w:t>
      </w:r>
      <w:r w:rsidR="00960AB1">
        <w:t xml:space="preserve">at a major competitive disadvantage, </w:t>
      </w:r>
      <w:r w:rsidR="00F704F8">
        <w:t xml:space="preserve">to the point where </w:t>
      </w:r>
      <w:r w:rsidR="0091169A">
        <w:t xml:space="preserve">their </w:t>
      </w:r>
      <w:r w:rsidR="00164DFE">
        <w:t>viability</w:t>
      </w:r>
      <w:r w:rsidR="0091169A">
        <w:t xml:space="preserve"> and solvency</w:t>
      </w:r>
      <w:r w:rsidR="00F704F8">
        <w:t xml:space="preserve"> could ultimately be threatened</w:t>
      </w:r>
      <w:r w:rsidR="00164DFE">
        <w:t>.</w:t>
      </w:r>
    </w:p>
    <w:p w14:paraId="38C677C5" w14:textId="13972192" w:rsidR="00F54406" w:rsidRDefault="001264B9" w:rsidP="00960AB1">
      <w:pPr>
        <w:spacing w:after="0" w:line="480" w:lineRule="auto"/>
        <w:ind w:firstLine="720"/>
      </w:pPr>
      <w:r>
        <w:t xml:space="preserve">This </w:t>
      </w:r>
      <w:r w:rsidR="00960AB1">
        <w:t xml:space="preserve">element of the </w:t>
      </w:r>
      <w:r>
        <w:t xml:space="preserve">proposal is, on its face, similar to punishments handed out by Ginnie Mae over the past few years for improper behaviors associated with the VA’s Interest Rate Reduction Refinance Loans (IRRRLs).  </w:t>
      </w:r>
      <w:r w:rsidR="0091169A">
        <w:t>Ginnie Mae’s actions meant that a number of</w:t>
      </w:r>
      <w:r>
        <w:t xml:space="preserve"> lenders were </w:t>
      </w:r>
      <w:r w:rsidR="005E378C">
        <w:t xml:space="preserve">temporarily </w:t>
      </w:r>
      <w:r>
        <w:t xml:space="preserve">prohibited from including their VA loans into pools deliverable into Ginnie Mae </w:t>
      </w:r>
      <w:r w:rsidR="00960AB1">
        <w:t xml:space="preserve">TBAs.  However, the </w:t>
      </w:r>
      <w:r w:rsidR="0091169A">
        <w:t>proposal to</w:t>
      </w:r>
      <w:r w:rsidR="00960AB1">
        <w:t xml:space="preserve"> forc</w:t>
      </w:r>
      <w:r w:rsidR="0091169A">
        <w:t>e</w:t>
      </w:r>
      <w:r w:rsidR="00960AB1">
        <w:t xml:space="preserve"> </w:t>
      </w:r>
      <w:r w:rsidR="0091169A">
        <w:t xml:space="preserve">offending </w:t>
      </w:r>
      <w:r w:rsidR="00960AB1">
        <w:t xml:space="preserve">lenders to securitize </w:t>
      </w:r>
      <w:r w:rsidR="0091169A">
        <w:t xml:space="preserve">potentially </w:t>
      </w:r>
      <w:r w:rsidR="00960AB1">
        <w:t xml:space="preserve">all their </w:t>
      </w:r>
      <w:r w:rsidR="005E378C">
        <w:t xml:space="preserve">conventional </w:t>
      </w:r>
      <w:r w:rsidR="00960AB1">
        <w:t xml:space="preserve">production into non-deliverable pools is much harsher; while Ginnie Mae’s punishment only extended to VA loans (which comprise at </w:t>
      </w:r>
      <w:r w:rsidR="0091169A">
        <w:t xml:space="preserve">most about </w:t>
      </w:r>
      <w:r w:rsidR="00960AB1">
        <w:t>half of the loans</w:t>
      </w:r>
      <w:r w:rsidR="0091169A">
        <w:t xml:space="preserve"> </w:t>
      </w:r>
      <w:r w:rsidR="00BD5252">
        <w:t xml:space="preserve">securitized </w:t>
      </w:r>
      <w:r w:rsidR="0091169A">
        <w:t xml:space="preserve">into Ginnie Mae </w:t>
      </w:r>
      <w:r w:rsidR="00BD5252">
        <w:t>pools</w:t>
      </w:r>
      <w:r w:rsidR="00960AB1">
        <w:t xml:space="preserve">), this proposal </w:t>
      </w:r>
      <w:r w:rsidR="000D7E21">
        <w:t>c</w:t>
      </w:r>
      <w:r w:rsidR="00960AB1">
        <w:t xml:space="preserve">ould effectively force </w:t>
      </w:r>
      <w:r w:rsidR="00960AB1" w:rsidRPr="00BD5252">
        <w:rPr>
          <w:u w:val="single"/>
        </w:rPr>
        <w:t>all</w:t>
      </w:r>
      <w:r w:rsidR="00960AB1">
        <w:t xml:space="preserve"> </w:t>
      </w:r>
      <w:r w:rsidR="005E378C">
        <w:t xml:space="preserve">of some </w:t>
      </w:r>
      <w:r w:rsidR="00960AB1">
        <w:t xml:space="preserve">lenders’ production into non-deliverable pools that would trade </w:t>
      </w:r>
      <w:r w:rsidR="0085730F">
        <w:t xml:space="preserve">at </w:t>
      </w:r>
      <w:r w:rsidR="00960AB1">
        <w:t>significant concession</w:t>
      </w:r>
      <w:r w:rsidR="0085730F">
        <w:t>s</w:t>
      </w:r>
      <w:r w:rsidR="00960AB1">
        <w:t xml:space="preserve"> to TBA prices.  </w:t>
      </w:r>
      <w:r w:rsidR="00FF33C0">
        <w:t>(</w:t>
      </w:r>
      <w:r w:rsidR="00BD5252">
        <w:t xml:space="preserve">We believe that such non-deliverable pools would trade at a concession </w:t>
      </w:r>
      <w:r w:rsidR="00FF33C0">
        <w:t>greater than</w:t>
      </w:r>
      <w:r w:rsidR="00BD5252">
        <w:t xml:space="preserve"> those </w:t>
      </w:r>
      <w:r w:rsidR="00FF33C0">
        <w:t xml:space="preserve">prevailing </w:t>
      </w:r>
      <w:r w:rsidR="00BD5252">
        <w:t xml:space="preserve">for </w:t>
      </w:r>
      <w:r w:rsidR="00FF33C0">
        <w:t>“</w:t>
      </w:r>
      <w:r w:rsidR="000D7E21">
        <w:t>high-balance pools</w:t>
      </w:r>
      <w:r w:rsidR="00BD5252">
        <w:t>,</w:t>
      </w:r>
      <w:r w:rsidR="00FF33C0">
        <w:t>”</w:t>
      </w:r>
      <w:r w:rsidR="00BD5252">
        <w:t xml:space="preserve"> i.e., non-deliverable pools </w:t>
      </w:r>
      <w:r w:rsidR="000D7E21">
        <w:t xml:space="preserve">backed by loans made in high-cost areas that have a maximum balance of 150% of the national conforming limit.  </w:t>
      </w:r>
      <w:r w:rsidR="00BD5252">
        <w:t>Due to their history of fast prepayment speeds, such</w:t>
      </w:r>
      <w:r w:rsidR="000D7E21">
        <w:t xml:space="preserve"> pools currently trade at concessions of at least three-quarters of a point</w:t>
      </w:r>
      <w:r w:rsidR="00BD5252">
        <w:t xml:space="preserve"> to TBAs</w:t>
      </w:r>
      <w:r w:rsidR="000D7E21">
        <w:t>.</w:t>
      </w:r>
      <w:r w:rsidR="00FF33C0">
        <w:t xml:space="preserve">  Given the relatively small </w:t>
      </w:r>
      <w:r w:rsidR="0085730F">
        <w:t>pool balances</w:t>
      </w:r>
      <w:r w:rsidR="00FF33C0">
        <w:t xml:space="preserve"> of the proposed non-deliverable </w:t>
      </w:r>
      <w:r w:rsidR="0085730F">
        <w:t>cohort</w:t>
      </w:r>
      <w:r w:rsidR="00FF33C0">
        <w:t>, the actual concession could be much larger—potentially, they could trade points behind TBAs.</w:t>
      </w:r>
      <w:r w:rsidR="000D7E21">
        <w:t>)</w:t>
      </w:r>
      <w:r w:rsidR="00804A8C">
        <w:t xml:space="preserve">  </w:t>
      </w:r>
      <w:r w:rsidR="002E710C">
        <w:t xml:space="preserve"> We also worry that these potentially crippling penalties would be directed </w:t>
      </w:r>
      <w:r w:rsidR="002E710C">
        <w:lastRenderedPageBreak/>
        <w:t>disproportionately against small- and mid-size originators</w:t>
      </w:r>
      <w:r w:rsidR="00E44E12">
        <w:t>, in part because their prepayment anomalies would be easier to identify</w:t>
      </w:r>
      <w:r w:rsidR="002E710C">
        <w:t>.</w:t>
      </w:r>
    </w:p>
    <w:p w14:paraId="4E0FCA37" w14:textId="42B800CC" w:rsidR="00F779F5" w:rsidRDefault="00D459FB" w:rsidP="00CF3D5B">
      <w:pPr>
        <w:spacing w:after="0" w:line="480" w:lineRule="auto"/>
      </w:pPr>
      <w:r>
        <w:t xml:space="preserve"> </w:t>
      </w:r>
      <w:r w:rsidR="00F779F5">
        <w:t xml:space="preserve"> </w:t>
      </w:r>
      <w:r w:rsidR="00E96FC0">
        <w:tab/>
      </w:r>
      <w:r w:rsidR="004802B0">
        <w:t xml:space="preserve">Moreover, we </w:t>
      </w:r>
      <w:r w:rsidR="00E96FC0">
        <w:t>don’t believe that the creation of a new non-deliverable category is beneficial to the housing finance system.  In addition to operational and logistical issues</w:t>
      </w:r>
      <w:r w:rsidR="00065B8C">
        <w:rPr>
          <w:rStyle w:val="FootnoteReference"/>
        </w:rPr>
        <w:footnoteReference w:id="4"/>
      </w:r>
      <w:r w:rsidR="00E96FC0">
        <w:t>, the</w:t>
      </w:r>
      <w:r w:rsidR="001D6565">
        <w:t xml:space="preserve">re is no natural home for </w:t>
      </w:r>
      <w:r w:rsidR="00E96FC0">
        <w:t xml:space="preserve">a class of </w:t>
      </w:r>
      <w:r w:rsidR="001D6565">
        <w:t xml:space="preserve">small orphan </w:t>
      </w:r>
      <w:r w:rsidR="00E96FC0">
        <w:t xml:space="preserve">pools </w:t>
      </w:r>
      <w:r w:rsidR="001D6565">
        <w:t xml:space="preserve">that prepay inordinately fast.  </w:t>
      </w:r>
      <w:r w:rsidR="004802B0">
        <w:t xml:space="preserve">We fear </w:t>
      </w:r>
      <w:r w:rsidR="00FF33C0">
        <w:t>that these pools w</w:t>
      </w:r>
      <w:r w:rsidR="004802B0">
        <w:t xml:space="preserve">ould ultimately </w:t>
      </w:r>
      <w:r w:rsidR="00FF33C0">
        <w:t xml:space="preserve">be marketed </w:t>
      </w:r>
      <w:r w:rsidR="004802B0">
        <w:t xml:space="preserve">by unscrupulous operators </w:t>
      </w:r>
      <w:r w:rsidR="00FF33C0">
        <w:t xml:space="preserve">to small unsophisticated investors enticed by ostensibly “cheap” </w:t>
      </w:r>
      <w:r w:rsidR="000E39D0">
        <w:t>prices</w:t>
      </w:r>
      <w:r w:rsidR="00FF33C0">
        <w:t xml:space="preserve"> that in fact offer little or no </w:t>
      </w:r>
      <w:r w:rsidR="000E39D0">
        <w:t xml:space="preserve">actual </w:t>
      </w:r>
      <w:r w:rsidR="00FF33C0">
        <w:t>value</w:t>
      </w:r>
      <w:r w:rsidR="000E39D0">
        <w:t>.</w:t>
      </w:r>
    </w:p>
    <w:p w14:paraId="548DF28D" w14:textId="48AD159A" w:rsidR="000E39D0" w:rsidRPr="000E39D0" w:rsidRDefault="000E39D0" w:rsidP="00CF3D5B">
      <w:pPr>
        <w:spacing w:after="0" w:line="480" w:lineRule="auto"/>
        <w:rPr>
          <w:b/>
          <w:bCs/>
        </w:rPr>
      </w:pPr>
      <w:r w:rsidRPr="000E39D0">
        <w:rPr>
          <w:b/>
          <w:bCs/>
        </w:rPr>
        <w:t>Additional Comments and Conclusions</w:t>
      </w:r>
    </w:p>
    <w:p w14:paraId="33227F80" w14:textId="53B51590" w:rsidR="000E39D0" w:rsidRDefault="000E39D0" w:rsidP="00CF3D5B">
      <w:pPr>
        <w:spacing w:after="0" w:line="480" w:lineRule="auto"/>
      </w:pPr>
      <w:r>
        <w:tab/>
      </w:r>
      <w:r w:rsidR="002621C1">
        <w:t>We believe that the current structure of the conventional MBS market is preferable to that proposed by the FHFA</w:t>
      </w:r>
      <w:r w:rsidR="00C474C5">
        <w:t xml:space="preserve"> in the RFI</w:t>
      </w:r>
      <w:r w:rsidR="002621C1">
        <w:t xml:space="preserve">.  It is interesting, in fact, that the </w:t>
      </w:r>
      <w:r w:rsidR="000D0BA8">
        <w:t>RFI</w:t>
      </w:r>
      <w:r w:rsidR="002621C1">
        <w:t xml:space="preserve"> explicitly states that adopting it “would result in pooling practices similar to those under the Ginnie Mae II program.” </w:t>
      </w:r>
      <w:r w:rsidR="000D0BA8">
        <w:t xml:space="preserve"> In our view,</w:t>
      </w:r>
      <w:r w:rsidR="002621C1">
        <w:t xml:space="preserve"> </w:t>
      </w:r>
      <w:r w:rsidR="000D0BA8">
        <w:t>the</w:t>
      </w:r>
      <w:r w:rsidR="002621C1">
        <w:t xml:space="preserve"> UMBS market is </w:t>
      </w:r>
      <w:r w:rsidR="00C474C5">
        <w:t xml:space="preserve">inherently </w:t>
      </w:r>
      <w:r w:rsidR="002621C1">
        <w:t>superior to th</w:t>
      </w:r>
      <w:r w:rsidR="000D0BA8">
        <w:t xml:space="preserve">e market </w:t>
      </w:r>
      <w:r w:rsidR="002621C1">
        <w:t xml:space="preserve">for Ginnie IIs.  </w:t>
      </w:r>
      <w:r w:rsidR="000D0BA8">
        <w:t>This is because s</w:t>
      </w:r>
      <w:r w:rsidR="002621C1">
        <w:t xml:space="preserve">ingle-issuer Ginnie II pools, including specified pools, are issued as “custom” pools, and as such are not deliverable into Ginnie II TBAs.  By contrast, most specified pool categories </w:t>
      </w:r>
      <w:r w:rsidR="00F732CF">
        <w:t xml:space="preserve">in the conventional market </w:t>
      </w:r>
      <w:r w:rsidR="002621C1">
        <w:t xml:space="preserve">are deliverable into </w:t>
      </w:r>
      <w:r w:rsidR="00F732CF">
        <w:t xml:space="preserve">UMBS </w:t>
      </w:r>
      <w:r w:rsidR="002621C1">
        <w:t>TBAs.  This means that</w:t>
      </w:r>
      <w:r w:rsidR="00C113FA">
        <w:t>,</w:t>
      </w:r>
      <w:r w:rsidR="002621C1">
        <w:t xml:space="preserve"> unlike </w:t>
      </w:r>
      <w:r w:rsidR="00F732CF">
        <w:t xml:space="preserve">UMBS </w:t>
      </w:r>
      <w:r w:rsidR="002621C1">
        <w:t xml:space="preserve">specified pools that </w:t>
      </w:r>
      <w:r w:rsidR="00C113FA">
        <w:t>should</w:t>
      </w:r>
      <w:r w:rsidR="00C113FA">
        <w:t xml:space="preserve"> </w:t>
      </w:r>
      <w:r w:rsidR="002621C1">
        <w:t xml:space="preserve">never trade at a concession to TBAs (since traders can simply deliver them into TBAs), single-issuer Ginnie II pools </w:t>
      </w:r>
      <w:r w:rsidR="00F732CF">
        <w:t>can</w:t>
      </w:r>
      <w:r w:rsidR="002621C1">
        <w:t xml:space="preserve"> trade significantly behind TBAs.  This could occur in higher-rate regimes where much of the market is trading at a discount</w:t>
      </w:r>
      <w:r w:rsidR="00D17979">
        <w:t xml:space="preserve">, and the perceived slower prepayments of specified pools </w:t>
      </w:r>
      <w:r w:rsidR="00F732CF">
        <w:t xml:space="preserve">is </w:t>
      </w:r>
      <w:r w:rsidR="00D17979">
        <w:t>disadvantageous</w:t>
      </w:r>
      <w:r w:rsidR="006258B3">
        <w:t>.  (</w:t>
      </w:r>
      <w:r w:rsidR="00F732CF">
        <w:t>In fact, this</w:t>
      </w:r>
      <w:r w:rsidR="006258B3">
        <w:t xml:space="preserve"> occurs in the conventional markets for non-deliverable products such as pools backed by loans with 105-125% LTVs</w:t>
      </w:r>
      <w:r w:rsidR="001319F4">
        <w:t>, which normally trade at a discount to similar-coupon TBAs when the TBA prices are below 101.)</w:t>
      </w:r>
    </w:p>
    <w:p w14:paraId="435C4FD5" w14:textId="648CEA44" w:rsidR="006258B3" w:rsidRDefault="006258B3" w:rsidP="00CF3D5B">
      <w:pPr>
        <w:spacing w:after="0" w:line="480" w:lineRule="auto"/>
      </w:pPr>
      <w:r>
        <w:lastRenderedPageBreak/>
        <w:tab/>
      </w:r>
      <w:r w:rsidR="00A06AFE">
        <w:t xml:space="preserve">We </w:t>
      </w:r>
      <w:r w:rsidR="00827B6C">
        <w:t xml:space="preserve">also </w:t>
      </w:r>
      <w:r w:rsidR="00A06AFE">
        <w:t>don’t believe that it is productive for the FHFA</w:t>
      </w:r>
      <w:r w:rsidR="00827B6C">
        <w:t>,</w:t>
      </w:r>
      <w:r w:rsidR="00A06AFE">
        <w:t xml:space="preserve"> or any other regulato</w:t>
      </w:r>
      <w:r w:rsidR="00827B6C">
        <w:t>r,</w:t>
      </w:r>
      <w:r w:rsidR="00A06AFE">
        <w:t xml:space="preserve"> to </w:t>
      </w:r>
      <w:r w:rsidR="00827B6C">
        <w:t>ascribe</w:t>
      </w:r>
      <w:r w:rsidR="00A06AFE">
        <w:t xml:space="preserve"> limits to the </w:t>
      </w:r>
      <w:r w:rsidR="00827B6C">
        <w:t>specified pool</w:t>
      </w:r>
      <w:r w:rsidR="00A06AFE">
        <w:t xml:space="preserve"> markets.  Historically, these markets have evolved and adapted on their own, and we see no reason that they won’t continue to do so.  </w:t>
      </w:r>
      <w:r w:rsidR="00434F55">
        <w:t>In fact, the Enterprises need to be cognizant of developments in the specified pool markets in order to maintain the trend favoring multiple-</w:t>
      </w:r>
      <w:r w:rsidR="00956DE3">
        <w:t>issuer pool production</w:t>
      </w:r>
      <w:r w:rsidR="00434F55">
        <w:t xml:space="preserve">.  </w:t>
      </w:r>
      <w:r w:rsidR="00827B6C">
        <w:t xml:space="preserve">We </w:t>
      </w:r>
      <w:r w:rsidR="00956DE3">
        <w:t>previously noted</w:t>
      </w:r>
      <w:r w:rsidR="00956DE3">
        <w:t xml:space="preserve"> </w:t>
      </w:r>
      <w:r w:rsidR="00827B6C">
        <w:t xml:space="preserve">that </w:t>
      </w:r>
      <w:r w:rsidR="00434F55">
        <w:t xml:space="preserve">the changes </w:t>
      </w:r>
      <w:r w:rsidR="00827B6C">
        <w:t xml:space="preserve">instituted </w:t>
      </w:r>
      <w:r w:rsidR="00434F55">
        <w:t xml:space="preserve">a few years ago </w:t>
      </w:r>
      <w:r w:rsidR="00956DE3">
        <w:t>to</w:t>
      </w:r>
      <w:r w:rsidR="00956DE3">
        <w:t xml:space="preserve"> </w:t>
      </w:r>
      <w:r w:rsidR="00434F55">
        <w:t xml:space="preserve">cash window pricing that saw Fannie and Freddie offer </w:t>
      </w:r>
      <w:r w:rsidR="00827B6C">
        <w:t xml:space="preserve">improved </w:t>
      </w:r>
      <w:r w:rsidR="00956DE3">
        <w:t>levels</w:t>
      </w:r>
      <w:r w:rsidR="00956DE3">
        <w:t xml:space="preserve"> </w:t>
      </w:r>
      <w:r w:rsidR="00434F55">
        <w:t xml:space="preserve">for </w:t>
      </w:r>
      <w:r w:rsidR="00827B6C">
        <w:t>loans with “</w:t>
      </w:r>
      <w:r w:rsidR="00434F55">
        <w:t>specified</w:t>
      </w:r>
      <w:r w:rsidR="00827B6C">
        <w:t>”</w:t>
      </w:r>
      <w:r w:rsidR="00434F55">
        <w:t xml:space="preserve"> c</w:t>
      </w:r>
      <w:r w:rsidR="00827B6C">
        <w:t>haracteristics</w:t>
      </w:r>
      <w:r w:rsidR="00434F55">
        <w:t xml:space="preserve"> was a major factor in pushing more issuance into multi-lender </w:t>
      </w:r>
      <w:r w:rsidR="00827B6C">
        <w:t xml:space="preserve">“cash” </w:t>
      </w:r>
      <w:r w:rsidR="00434F55">
        <w:t xml:space="preserve">pools.  To continue this trend, the Enterprises </w:t>
      </w:r>
      <w:r w:rsidR="00956DE3">
        <w:t xml:space="preserve">will </w:t>
      </w:r>
      <w:r w:rsidR="00434F55">
        <w:t xml:space="preserve">need to add </w:t>
      </w:r>
      <w:r w:rsidR="00827B6C">
        <w:t>additional</w:t>
      </w:r>
      <w:r w:rsidR="00434F55">
        <w:t xml:space="preserve"> </w:t>
      </w:r>
      <w:r w:rsidR="00827B6C">
        <w:t xml:space="preserve">loan </w:t>
      </w:r>
      <w:r w:rsidR="00434F55">
        <w:t>categories (such as new balance limits) as they develop.</w:t>
      </w:r>
      <w:r w:rsidR="005E1930">
        <w:rPr>
          <w:rStyle w:val="FootnoteReference"/>
        </w:rPr>
        <w:footnoteReference w:id="5"/>
      </w:r>
    </w:p>
    <w:p w14:paraId="196AFC96" w14:textId="0099D81E" w:rsidR="00930DE2" w:rsidRDefault="00434F55" w:rsidP="00CF3D5B">
      <w:pPr>
        <w:spacing w:after="0" w:line="480" w:lineRule="auto"/>
      </w:pPr>
      <w:r>
        <w:tab/>
      </w:r>
      <w:r w:rsidR="004D5643">
        <w:t>W</w:t>
      </w:r>
      <w:r w:rsidR="009E6392">
        <w:t xml:space="preserve">e reiterate our earlier conclusion that the proposal would not materially improve the alignment of prepayment speeds across the </w:t>
      </w:r>
      <w:r w:rsidR="005E1930">
        <w:t xml:space="preserve">two </w:t>
      </w:r>
      <w:r w:rsidR="009B3F32">
        <w:t>Enterprises</w:t>
      </w:r>
      <w:r w:rsidR="009E6392">
        <w:t xml:space="preserve">.  While the goal of creating more consistent prepayments is </w:t>
      </w:r>
      <w:r w:rsidR="009B3F32">
        <w:t xml:space="preserve">certainly </w:t>
      </w:r>
      <w:r w:rsidR="009E6392">
        <w:t>desirable</w:t>
      </w:r>
      <w:r w:rsidR="00621547">
        <w:t xml:space="preserve"> and achievable through the issuance of larger multi-issuer pools</w:t>
      </w:r>
      <w:r w:rsidR="009E6392">
        <w:t xml:space="preserve">, the proposed changes will not </w:t>
      </w:r>
      <w:r w:rsidR="00621547">
        <w:t>cause the</w:t>
      </w:r>
      <w:r w:rsidR="009E6392">
        <w:t xml:space="preserve"> speeds of the different Enterprises</w:t>
      </w:r>
      <w:r w:rsidR="009B3F32">
        <w:t>’ pools</w:t>
      </w:r>
      <w:r w:rsidR="00621547">
        <w:t xml:space="preserve"> to converge</w:t>
      </w:r>
      <w:r w:rsidR="0074072F">
        <w:t xml:space="preserve">.  The only aspect of the proposal that might impact the Enterprises’ relative prepayment performance would be to force fast lenders’ production </w:t>
      </w:r>
      <w:r w:rsidR="009B3F32">
        <w:t xml:space="preserve">out of the TBA population and </w:t>
      </w:r>
      <w:r w:rsidR="0074072F">
        <w:t xml:space="preserve">into non-deliverable pools.  However, </w:t>
      </w:r>
      <w:r w:rsidR="009B3F32">
        <w:t xml:space="preserve">we see the impact of this proposition on prepayment alignment as marginal at best; </w:t>
      </w:r>
      <w:r w:rsidR="00621547">
        <w:t xml:space="preserve">for example, </w:t>
      </w:r>
      <w:r w:rsidR="0074072F">
        <w:t xml:space="preserve">it’s unlikely that “bad” prepayment performance </w:t>
      </w:r>
      <w:r w:rsidR="00B36F38">
        <w:t xml:space="preserve">due to excess solicitation and other policies </w:t>
      </w:r>
      <w:r w:rsidR="009B3F32">
        <w:t>is</w:t>
      </w:r>
      <w:r w:rsidR="00B36F38">
        <w:t xml:space="preserve"> </w:t>
      </w:r>
      <w:r w:rsidR="00621547">
        <w:t>skewed toward one or the other Enterprise.</w:t>
      </w:r>
    </w:p>
    <w:p w14:paraId="4F6B3A13" w14:textId="7F9E9B63" w:rsidR="00F91105" w:rsidRDefault="00F91105" w:rsidP="00F91105">
      <w:pPr>
        <w:spacing w:after="0" w:line="480" w:lineRule="auto"/>
        <w:ind w:firstLine="720"/>
      </w:pPr>
      <w:bookmarkStart w:id="1" w:name="_Hlk26967358"/>
      <w:r>
        <w:t xml:space="preserve">Finally, we note that the fear of a multi-tiered UMBS market is the preeminent concern behind the FHFA’s focus on prepayment and cash flow alignment. The underlying issue is that, if investors think that the securities of one or the other Enterprise </w:t>
      </w:r>
      <w:r w:rsidR="00BD6019">
        <w:t xml:space="preserve">are </w:t>
      </w:r>
      <w:r>
        <w:t xml:space="preserve">“better,” they might begin to stipulate Fannie- or Freddie-only requirements in TBA trades, resulting in a fragmented market with seriously diminished liquidity.  In addition to the FHFA’s focus on prepayment and cash flow alignment, we believe that the </w:t>
      </w:r>
      <w:r>
        <w:lastRenderedPageBreak/>
        <w:t xml:space="preserve">issues of MBS liquidity and market integrity need to be considered by the FHFA as part of any initiative to remove the Enterprises from conservatorship. </w:t>
      </w:r>
      <w:bookmarkStart w:id="2" w:name="_Hlk27045151"/>
      <w:r>
        <w:t xml:space="preserve">In addition to the obvious issues associated with privatizing Fannie Mae and Freddie Mac and potentially eliminating their securities’ implied government backing, we believe that removing the Enterprises from conservatorship without instituting some form of government guarantee could inadvertently lead to an illiquid multi-tiered MBS market if the two Enterprises are perceived as having different degrees of creditworthiness.   </w:t>
      </w:r>
      <w:bookmarkEnd w:id="2"/>
      <w:r>
        <w:t xml:space="preserve">Without </w:t>
      </w:r>
      <w:r>
        <w:t>any</w:t>
      </w:r>
      <w:r>
        <w:t xml:space="preserve"> government guarantee, pools issued by Fannie and Freddie would trade differently if investors view them (and thus their pools) as representing different credit risks</w:t>
      </w:r>
      <w:r>
        <w:t>, resulting</w:t>
      </w:r>
      <w:r>
        <w:t xml:space="preserve"> in the fragmentation of the conventional MBS market and significantly impaired liquidity</w:t>
      </w:r>
      <w:r>
        <w:t xml:space="preserve"> for the sector</w:t>
      </w:r>
      <w:r>
        <w:t>.</w:t>
      </w:r>
    </w:p>
    <w:p w14:paraId="3AB602BB" w14:textId="754BCC84" w:rsidR="00F91105" w:rsidRDefault="00F91105" w:rsidP="00C178C3">
      <w:pPr>
        <w:spacing w:after="0" w:line="480" w:lineRule="auto"/>
        <w:ind w:firstLine="720"/>
      </w:pPr>
      <w:r>
        <w:t xml:space="preserve">While we acknowledge that the issue of government guarantees for conventional MBS is highly complex and contentious, it’s important for regulators to recognize the implications of removing the Enterprises from conservatorship on UMBS market </w:t>
      </w:r>
      <w:r w:rsidR="00C178C3">
        <w:t xml:space="preserve">liquidity </w:t>
      </w:r>
      <w:r>
        <w:t>and</w:t>
      </w:r>
      <w:r w:rsidR="00C178C3">
        <w:t>, in turn, how it might</w:t>
      </w:r>
      <w:r>
        <w:t xml:space="preserve"> ultimately </w:t>
      </w:r>
      <w:r w:rsidR="00C178C3">
        <w:t xml:space="preserve">impact </w:t>
      </w:r>
      <w:r>
        <w:t>the housing finance system.  In addition, solving the puzzle of how to create private entities whose securities are nonetheless perceived to</w:t>
      </w:r>
      <w:r>
        <w:t xml:space="preserve"> </w:t>
      </w:r>
      <w:r>
        <w:t>be free of credit risk will be a key element</w:t>
      </w:r>
      <w:r>
        <w:t xml:space="preserve"> </w:t>
      </w:r>
      <w:r>
        <w:t>of any initiative to allow new market participants to issue securities through the SSI framework.</w:t>
      </w:r>
      <w:bookmarkEnd w:id="1"/>
    </w:p>
    <w:p w14:paraId="5FB02241" w14:textId="7BD633D9" w:rsidR="009A7D39" w:rsidRDefault="009A7D39" w:rsidP="00F91105">
      <w:pPr>
        <w:spacing w:after="0" w:line="480" w:lineRule="auto"/>
      </w:pPr>
      <w:r>
        <w:t>------------------------------------------------------------</w:t>
      </w:r>
    </w:p>
    <w:p w14:paraId="7FF07A9F" w14:textId="5CAB70A7" w:rsidR="000315F1" w:rsidRDefault="00742056" w:rsidP="000315F1">
      <w:pPr>
        <w:spacing w:after="0" w:line="480" w:lineRule="auto"/>
      </w:pPr>
      <w:r>
        <w:t>Respectfully s</w:t>
      </w:r>
      <w:r w:rsidR="000315F1">
        <w:t xml:space="preserve">ubmitted </w:t>
      </w:r>
      <w:r w:rsidR="00A57F23">
        <w:t>by:</w:t>
      </w:r>
    </w:p>
    <w:p w14:paraId="6C2E2B6B" w14:textId="2F032ABF" w:rsidR="00A57F23" w:rsidRDefault="00A57F23" w:rsidP="000315F1">
      <w:pPr>
        <w:spacing w:after="0" w:line="480" w:lineRule="auto"/>
      </w:pPr>
      <w:r>
        <w:t>William Berliner, Director of Analytics</w:t>
      </w:r>
    </w:p>
    <w:p w14:paraId="278BA127" w14:textId="3517817B" w:rsidR="00A57F23" w:rsidRDefault="00A57F23" w:rsidP="000315F1">
      <w:pPr>
        <w:spacing w:after="0" w:line="480" w:lineRule="auto"/>
      </w:pPr>
      <w:r>
        <w:t>Mortgage Capital Trading, Inc.</w:t>
      </w:r>
    </w:p>
    <w:p w14:paraId="61CF27EC" w14:textId="3F9FDAC0" w:rsidR="00A57F23" w:rsidRDefault="00A57F23" w:rsidP="000315F1">
      <w:pPr>
        <w:spacing w:after="0" w:line="480" w:lineRule="auto"/>
      </w:pPr>
      <w:r>
        <w:t>350 10</w:t>
      </w:r>
      <w:r w:rsidRPr="00A57F23">
        <w:rPr>
          <w:vertAlign w:val="superscript"/>
        </w:rPr>
        <w:t>th</w:t>
      </w:r>
      <w:r>
        <w:t xml:space="preserve"> Avenue, Suite 850</w:t>
      </w:r>
    </w:p>
    <w:p w14:paraId="7297C4B3" w14:textId="6EE10894" w:rsidR="00A57F23" w:rsidRDefault="00A57F23" w:rsidP="000315F1">
      <w:pPr>
        <w:spacing w:after="0" w:line="480" w:lineRule="auto"/>
      </w:pPr>
      <w:r>
        <w:t>San Diego, CA 92101</w:t>
      </w:r>
    </w:p>
    <w:p w14:paraId="0D403422" w14:textId="0AF37E2D" w:rsidR="008E4E15" w:rsidRPr="00CF3D5B" w:rsidRDefault="006A7588" w:rsidP="00CF3D5B">
      <w:pPr>
        <w:spacing w:after="0" w:line="480" w:lineRule="auto"/>
      </w:pPr>
      <w:r>
        <w:t xml:space="preserve"> </w:t>
      </w:r>
    </w:p>
    <w:sectPr w:rsidR="008E4E15" w:rsidRPr="00CF3D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CB18" w14:textId="77777777" w:rsidR="00DE071D" w:rsidRDefault="00DE071D" w:rsidP="00781841">
      <w:pPr>
        <w:spacing w:after="0" w:line="240" w:lineRule="auto"/>
      </w:pPr>
      <w:r>
        <w:separator/>
      </w:r>
    </w:p>
  </w:endnote>
  <w:endnote w:type="continuationSeparator" w:id="0">
    <w:p w14:paraId="2A86B7BA" w14:textId="77777777" w:rsidR="00DE071D" w:rsidRDefault="00DE071D" w:rsidP="0078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120584"/>
      <w:docPartObj>
        <w:docPartGallery w:val="Page Numbers (Bottom of Page)"/>
        <w:docPartUnique/>
      </w:docPartObj>
    </w:sdtPr>
    <w:sdtEndPr>
      <w:rPr>
        <w:noProof/>
      </w:rPr>
    </w:sdtEndPr>
    <w:sdtContent>
      <w:p w14:paraId="5AE5CF0D" w14:textId="1A4C71A7" w:rsidR="00892763" w:rsidRDefault="008927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9D38E" w14:textId="77777777" w:rsidR="00892763" w:rsidRDefault="00892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C9D87" w14:textId="77777777" w:rsidR="00DE071D" w:rsidRDefault="00DE071D" w:rsidP="00781841">
      <w:pPr>
        <w:spacing w:after="0" w:line="240" w:lineRule="auto"/>
      </w:pPr>
      <w:r>
        <w:separator/>
      </w:r>
    </w:p>
  </w:footnote>
  <w:footnote w:type="continuationSeparator" w:id="0">
    <w:p w14:paraId="0361B0F6" w14:textId="77777777" w:rsidR="00DE071D" w:rsidRDefault="00DE071D" w:rsidP="00781841">
      <w:pPr>
        <w:spacing w:after="0" w:line="240" w:lineRule="auto"/>
      </w:pPr>
      <w:r>
        <w:continuationSeparator/>
      </w:r>
    </w:p>
  </w:footnote>
  <w:footnote w:id="1">
    <w:p w14:paraId="26320C43" w14:textId="77A51A07" w:rsidR="00892763" w:rsidRDefault="00892763">
      <w:pPr>
        <w:pStyle w:val="FootnoteText"/>
      </w:pPr>
      <w:r>
        <w:rPr>
          <w:rStyle w:val="FootnoteReference"/>
        </w:rPr>
        <w:footnoteRef/>
      </w:r>
      <w:r>
        <w:t xml:space="preserve"> Available at </w:t>
      </w:r>
      <w:r w:rsidRPr="00781841">
        <w:t>https://www.fhfa.gov/Media/PublicAffairs/PublicAffairsDocuments/Pooling_RFI.pdf</w:t>
      </w:r>
      <w:r>
        <w:t xml:space="preserve"> .  </w:t>
      </w:r>
    </w:p>
  </w:footnote>
  <w:footnote w:id="2">
    <w:p w14:paraId="7EE23C8D" w14:textId="6A872E54" w:rsidR="00892763" w:rsidRDefault="00892763">
      <w:pPr>
        <w:pStyle w:val="FootnoteText"/>
      </w:pPr>
      <w:r>
        <w:rPr>
          <w:rStyle w:val="FootnoteReference"/>
        </w:rPr>
        <w:footnoteRef/>
      </w:r>
      <w:r>
        <w:t xml:space="preserve"> A description of the Single Security Initiative, which was fully implemented in June of 2019, can be found at </w:t>
      </w:r>
      <w:r w:rsidRPr="00F62D5E">
        <w:t>https://www.fanniemae.com/resources/file/single-security/pdf/single-security-faqs.pdf</w:t>
      </w:r>
      <w:r>
        <w:t xml:space="preserve"> . </w:t>
      </w:r>
    </w:p>
  </w:footnote>
  <w:footnote w:id="3">
    <w:p w14:paraId="01E4652F" w14:textId="1100F9DE" w:rsidR="00892763" w:rsidRDefault="00892763">
      <w:pPr>
        <w:pStyle w:val="FootnoteText"/>
      </w:pPr>
      <w:r>
        <w:rPr>
          <w:rStyle w:val="FootnoteReference"/>
        </w:rPr>
        <w:footnoteRef/>
      </w:r>
      <w:r>
        <w:t xml:space="preserve">As an aside, we disagree with the </w:t>
      </w:r>
      <w:r w:rsidRPr="00B60298">
        <w:t xml:space="preserve">proposal’s statement on page 9 regarding changes to the cheapest-to-deliver (CTD) cohorts resulting from placing “fast” loans in large versus small pools.  As long as the pools containing the loans in question are deliverable into TBAs, the performance of the CTD population will not change based on how the loans are pooled.  What will change, however, is the likelihood that an investor will receive fast pools in their TBA deliveries.  Certainly, more consistent prepayment performance within each Enterprises’ production is a worthy goal, but that is not the objective of the Final Rule and </w:t>
      </w:r>
      <w:r>
        <w:t xml:space="preserve">thus </w:t>
      </w:r>
      <w:r w:rsidRPr="00B60298">
        <w:t>is not germane to the success of the SSI.</w:t>
      </w:r>
    </w:p>
  </w:footnote>
  <w:footnote w:id="4">
    <w:p w14:paraId="575DC91A" w14:textId="3BC2D1E6" w:rsidR="00892763" w:rsidRDefault="00892763">
      <w:pPr>
        <w:pStyle w:val="FootnoteText"/>
      </w:pPr>
      <w:r>
        <w:rPr>
          <w:rStyle w:val="FootnoteReference"/>
        </w:rPr>
        <w:footnoteRef/>
      </w:r>
      <w:r>
        <w:t xml:space="preserve"> </w:t>
      </w:r>
      <w:r w:rsidRPr="00065B8C">
        <w:t xml:space="preserve">It’s also unclear how this element of the proposal would work in practice.  If a lender whose production consistently exhibits abnormally prepayment speeds </w:t>
      </w:r>
      <w:r>
        <w:t xml:space="preserve">has agency approvals but is </w:t>
      </w:r>
      <w:r w:rsidRPr="00065B8C">
        <w:t>not approved for</w:t>
      </w:r>
      <w:r>
        <w:t xml:space="preserve"> securitization</w:t>
      </w:r>
      <w:r w:rsidRPr="00065B8C">
        <w:t xml:space="preserve">, would they </w:t>
      </w:r>
      <w:r w:rsidR="00C113FA">
        <w:t xml:space="preserve">then </w:t>
      </w:r>
      <w:r>
        <w:t xml:space="preserve">automatically be </w:t>
      </w:r>
      <w:r w:rsidRPr="00065B8C">
        <w:t>approved for securitization?</w:t>
      </w:r>
    </w:p>
  </w:footnote>
  <w:footnote w:id="5">
    <w:p w14:paraId="1027873E" w14:textId="2638FE8E" w:rsidR="005E1930" w:rsidRDefault="005E1930">
      <w:pPr>
        <w:pStyle w:val="FootnoteText"/>
      </w:pPr>
      <w:r>
        <w:rPr>
          <w:rStyle w:val="FootnoteReference"/>
        </w:rPr>
        <w:footnoteRef/>
      </w:r>
      <w:r>
        <w:t xml:space="preserve"> In fairness, we note that at least one Enterprise offers pricing for loans with maximum balances of $200,000, a category not quoted by many specified pool dealers.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5E7"/>
    <w:multiLevelType w:val="hybridMultilevel"/>
    <w:tmpl w:val="5B1E1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7060A4"/>
    <w:multiLevelType w:val="hybridMultilevel"/>
    <w:tmpl w:val="61044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DE"/>
    <w:rsid w:val="0000715D"/>
    <w:rsid w:val="000315F1"/>
    <w:rsid w:val="00035984"/>
    <w:rsid w:val="00065B8C"/>
    <w:rsid w:val="000710A4"/>
    <w:rsid w:val="000A13E0"/>
    <w:rsid w:val="000D0BA8"/>
    <w:rsid w:val="000D7E21"/>
    <w:rsid w:val="000E39D0"/>
    <w:rsid w:val="000F5611"/>
    <w:rsid w:val="001264B9"/>
    <w:rsid w:val="001319F4"/>
    <w:rsid w:val="0013697A"/>
    <w:rsid w:val="00157E5E"/>
    <w:rsid w:val="00164DFE"/>
    <w:rsid w:val="0017591D"/>
    <w:rsid w:val="00183D9B"/>
    <w:rsid w:val="00186BF0"/>
    <w:rsid w:val="00191AC5"/>
    <w:rsid w:val="001A6E84"/>
    <w:rsid w:val="001A7B2A"/>
    <w:rsid w:val="001D6565"/>
    <w:rsid w:val="001E0324"/>
    <w:rsid w:val="001E2913"/>
    <w:rsid w:val="001F2424"/>
    <w:rsid w:val="001F7A28"/>
    <w:rsid w:val="00203C50"/>
    <w:rsid w:val="0020436B"/>
    <w:rsid w:val="00244295"/>
    <w:rsid w:val="002621C1"/>
    <w:rsid w:val="00277313"/>
    <w:rsid w:val="002A50BF"/>
    <w:rsid w:val="002A5E0C"/>
    <w:rsid w:val="002A66F6"/>
    <w:rsid w:val="002B0A6C"/>
    <w:rsid w:val="002B7F78"/>
    <w:rsid w:val="002E5F75"/>
    <w:rsid w:val="002E710C"/>
    <w:rsid w:val="003471E7"/>
    <w:rsid w:val="00357236"/>
    <w:rsid w:val="003741CE"/>
    <w:rsid w:val="00376B91"/>
    <w:rsid w:val="00385085"/>
    <w:rsid w:val="0038793E"/>
    <w:rsid w:val="003A5763"/>
    <w:rsid w:val="003C1025"/>
    <w:rsid w:val="003C6856"/>
    <w:rsid w:val="003E085B"/>
    <w:rsid w:val="003E3D58"/>
    <w:rsid w:val="00433847"/>
    <w:rsid w:val="00434F55"/>
    <w:rsid w:val="004802B0"/>
    <w:rsid w:val="004A5A08"/>
    <w:rsid w:val="004A71A7"/>
    <w:rsid w:val="004D5643"/>
    <w:rsid w:val="004D63F5"/>
    <w:rsid w:val="004F46DE"/>
    <w:rsid w:val="004F66AB"/>
    <w:rsid w:val="0051137A"/>
    <w:rsid w:val="00516FA0"/>
    <w:rsid w:val="00536B34"/>
    <w:rsid w:val="0054782B"/>
    <w:rsid w:val="005516D1"/>
    <w:rsid w:val="0055312A"/>
    <w:rsid w:val="00553F49"/>
    <w:rsid w:val="00586DAF"/>
    <w:rsid w:val="005A5D3E"/>
    <w:rsid w:val="005E1930"/>
    <w:rsid w:val="005E378C"/>
    <w:rsid w:val="00602E69"/>
    <w:rsid w:val="00621547"/>
    <w:rsid w:val="00621727"/>
    <w:rsid w:val="006221A5"/>
    <w:rsid w:val="006258B3"/>
    <w:rsid w:val="00636049"/>
    <w:rsid w:val="0064065F"/>
    <w:rsid w:val="00655FC2"/>
    <w:rsid w:val="00680EA8"/>
    <w:rsid w:val="00686AC1"/>
    <w:rsid w:val="006A3283"/>
    <w:rsid w:val="006A7588"/>
    <w:rsid w:val="006B6B50"/>
    <w:rsid w:val="006C5F29"/>
    <w:rsid w:val="006F03A4"/>
    <w:rsid w:val="006F5435"/>
    <w:rsid w:val="00733FB9"/>
    <w:rsid w:val="0074072F"/>
    <w:rsid w:val="00742056"/>
    <w:rsid w:val="00771892"/>
    <w:rsid w:val="00777C7C"/>
    <w:rsid w:val="00781841"/>
    <w:rsid w:val="007865BA"/>
    <w:rsid w:val="007958CA"/>
    <w:rsid w:val="007B3482"/>
    <w:rsid w:val="007E0225"/>
    <w:rsid w:val="00803FDA"/>
    <w:rsid w:val="00804A8C"/>
    <w:rsid w:val="00820721"/>
    <w:rsid w:val="00824968"/>
    <w:rsid w:val="00827B6C"/>
    <w:rsid w:val="0084705C"/>
    <w:rsid w:val="0085730F"/>
    <w:rsid w:val="008855E0"/>
    <w:rsid w:val="00892763"/>
    <w:rsid w:val="008A1538"/>
    <w:rsid w:val="008A6273"/>
    <w:rsid w:val="008D51E0"/>
    <w:rsid w:val="008E4E15"/>
    <w:rsid w:val="008F1DAD"/>
    <w:rsid w:val="008F72CB"/>
    <w:rsid w:val="0091169A"/>
    <w:rsid w:val="00917981"/>
    <w:rsid w:val="00930DE2"/>
    <w:rsid w:val="00950A50"/>
    <w:rsid w:val="00950E54"/>
    <w:rsid w:val="00956DE3"/>
    <w:rsid w:val="00960AB1"/>
    <w:rsid w:val="00964F11"/>
    <w:rsid w:val="009805A7"/>
    <w:rsid w:val="009A740D"/>
    <w:rsid w:val="009A7D39"/>
    <w:rsid w:val="009B3F32"/>
    <w:rsid w:val="009D05DB"/>
    <w:rsid w:val="009D0BBF"/>
    <w:rsid w:val="009E15B4"/>
    <w:rsid w:val="009E6392"/>
    <w:rsid w:val="009F4C6B"/>
    <w:rsid w:val="00A0088B"/>
    <w:rsid w:val="00A06AFE"/>
    <w:rsid w:val="00A52940"/>
    <w:rsid w:val="00A57F23"/>
    <w:rsid w:val="00A67C7C"/>
    <w:rsid w:val="00A719C7"/>
    <w:rsid w:val="00A95A85"/>
    <w:rsid w:val="00A973CA"/>
    <w:rsid w:val="00AB6601"/>
    <w:rsid w:val="00AD1677"/>
    <w:rsid w:val="00AF62F9"/>
    <w:rsid w:val="00B36F38"/>
    <w:rsid w:val="00B507F7"/>
    <w:rsid w:val="00B60298"/>
    <w:rsid w:val="00B608B9"/>
    <w:rsid w:val="00BD5252"/>
    <w:rsid w:val="00BD6019"/>
    <w:rsid w:val="00BF411C"/>
    <w:rsid w:val="00C113FA"/>
    <w:rsid w:val="00C178C3"/>
    <w:rsid w:val="00C21E5F"/>
    <w:rsid w:val="00C2305E"/>
    <w:rsid w:val="00C37C13"/>
    <w:rsid w:val="00C474C5"/>
    <w:rsid w:val="00C54182"/>
    <w:rsid w:val="00C61500"/>
    <w:rsid w:val="00C74F1E"/>
    <w:rsid w:val="00C97F4E"/>
    <w:rsid w:val="00CC23A8"/>
    <w:rsid w:val="00CD4787"/>
    <w:rsid w:val="00CE7485"/>
    <w:rsid w:val="00CE7F74"/>
    <w:rsid w:val="00CF3CB0"/>
    <w:rsid w:val="00CF3D5B"/>
    <w:rsid w:val="00D0381E"/>
    <w:rsid w:val="00D13D81"/>
    <w:rsid w:val="00D1608E"/>
    <w:rsid w:val="00D1690B"/>
    <w:rsid w:val="00D17979"/>
    <w:rsid w:val="00D300F6"/>
    <w:rsid w:val="00D459FB"/>
    <w:rsid w:val="00D45F6F"/>
    <w:rsid w:val="00D67340"/>
    <w:rsid w:val="00D67827"/>
    <w:rsid w:val="00D7773D"/>
    <w:rsid w:val="00D971F5"/>
    <w:rsid w:val="00DA4C86"/>
    <w:rsid w:val="00DB7F57"/>
    <w:rsid w:val="00DE071D"/>
    <w:rsid w:val="00DF505D"/>
    <w:rsid w:val="00DF5AFE"/>
    <w:rsid w:val="00E00D91"/>
    <w:rsid w:val="00E10E03"/>
    <w:rsid w:val="00E179EA"/>
    <w:rsid w:val="00E235AB"/>
    <w:rsid w:val="00E36083"/>
    <w:rsid w:val="00E422D1"/>
    <w:rsid w:val="00E44E12"/>
    <w:rsid w:val="00E471A6"/>
    <w:rsid w:val="00E50039"/>
    <w:rsid w:val="00E55769"/>
    <w:rsid w:val="00E57C0B"/>
    <w:rsid w:val="00E60CD2"/>
    <w:rsid w:val="00E941F3"/>
    <w:rsid w:val="00E95B9A"/>
    <w:rsid w:val="00E96FC0"/>
    <w:rsid w:val="00EC3D9B"/>
    <w:rsid w:val="00EE1823"/>
    <w:rsid w:val="00F415A8"/>
    <w:rsid w:val="00F54406"/>
    <w:rsid w:val="00F62D5E"/>
    <w:rsid w:val="00F704F8"/>
    <w:rsid w:val="00F732CF"/>
    <w:rsid w:val="00F779F5"/>
    <w:rsid w:val="00F82729"/>
    <w:rsid w:val="00F87A38"/>
    <w:rsid w:val="00F91105"/>
    <w:rsid w:val="00FC40FB"/>
    <w:rsid w:val="00FC48D3"/>
    <w:rsid w:val="00FC5485"/>
    <w:rsid w:val="00FE4C05"/>
    <w:rsid w:val="00FF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5DDB"/>
  <w15:chartTrackingRefBased/>
  <w15:docId w15:val="{2EDC9CEC-DD0B-480A-89F4-B6A3C11C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1C"/>
    <w:pPr>
      <w:ind w:left="720"/>
      <w:contextualSpacing/>
    </w:pPr>
  </w:style>
  <w:style w:type="paragraph" w:styleId="FootnoteText">
    <w:name w:val="footnote text"/>
    <w:basedOn w:val="Normal"/>
    <w:link w:val="FootnoteTextChar"/>
    <w:uiPriority w:val="99"/>
    <w:semiHidden/>
    <w:unhideWhenUsed/>
    <w:rsid w:val="007818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841"/>
    <w:rPr>
      <w:sz w:val="20"/>
      <w:szCs w:val="20"/>
    </w:rPr>
  </w:style>
  <w:style w:type="character" w:styleId="FootnoteReference">
    <w:name w:val="footnote reference"/>
    <w:basedOn w:val="DefaultParagraphFont"/>
    <w:uiPriority w:val="99"/>
    <w:semiHidden/>
    <w:unhideWhenUsed/>
    <w:rsid w:val="00781841"/>
    <w:rPr>
      <w:vertAlign w:val="superscript"/>
    </w:rPr>
  </w:style>
  <w:style w:type="character" w:styleId="Hyperlink">
    <w:name w:val="Hyperlink"/>
    <w:basedOn w:val="DefaultParagraphFont"/>
    <w:uiPriority w:val="99"/>
    <w:unhideWhenUsed/>
    <w:rsid w:val="00781841"/>
    <w:rPr>
      <w:color w:val="0000FF"/>
      <w:u w:val="single"/>
    </w:rPr>
  </w:style>
  <w:style w:type="character" w:styleId="UnresolvedMention">
    <w:name w:val="Unresolved Mention"/>
    <w:basedOn w:val="DefaultParagraphFont"/>
    <w:uiPriority w:val="99"/>
    <w:semiHidden/>
    <w:unhideWhenUsed/>
    <w:rsid w:val="00781841"/>
    <w:rPr>
      <w:color w:val="605E5C"/>
      <w:shd w:val="clear" w:color="auto" w:fill="E1DFDD"/>
    </w:rPr>
  </w:style>
  <w:style w:type="paragraph" w:styleId="Header">
    <w:name w:val="header"/>
    <w:basedOn w:val="Normal"/>
    <w:link w:val="HeaderChar"/>
    <w:uiPriority w:val="99"/>
    <w:unhideWhenUsed/>
    <w:rsid w:val="00203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50"/>
  </w:style>
  <w:style w:type="paragraph" w:styleId="Footer">
    <w:name w:val="footer"/>
    <w:basedOn w:val="Normal"/>
    <w:link w:val="FooterChar"/>
    <w:uiPriority w:val="99"/>
    <w:unhideWhenUsed/>
    <w:rsid w:val="00203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50"/>
  </w:style>
  <w:style w:type="character" w:styleId="CommentReference">
    <w:name w:val="annotation reference"/>
    <w:basedOn w:val="DefaultParagraphFont"/>
    <w:uiPriority w:val="99"/>
    <w:semiHidden/>
    <w:unhideWhenUsed/>
    <w:rsid w:val="00E50039"/>
    <w:rPr>
      <w:sz w:val="16"/>
      <w:szCs w:val="16"/>
    </w:rPr>
  </w:style>
  <w:style w:type="paragraph" w:styleId="CommentText">
    <w:name w:val="annotation text"/>
    <w:basedOn w:val="Normal"/>
    <w:link w:val="CommentTextChar"/>
    <w:uiPriority w:val="99"/>
    <w:semiHidden/>
    <w:unhideWhenUsed/>
    <w:rsid w:val="00E50039"/>
    <w:pPr>
      <w:spacing w:line="240" w:lineRule="auto"/>
    </w:pPr>
    <w:rPr>
      <w:sz w:val="20"/>
      <w:szCs w:val="20"/>
    </w:rPr>
  </w:style>
  <w:style w:type="character" w:customStyle="1" w:styleId="CommentTextChar">
    <w:name w:val="Comment Text Char"/>
    <w:basedOn w:val="DefaultParagraphFont"/>
    <w:link w:val="CommentText"/>
    <w:uiPriority w:val="99"/>
    <w:semiHidden/>
    <w:rsid w:val="00E50039"/>
    <w:rPr>
      <w:sz w:val="20"/>
      <w:szCs w:val="20"/>
    </w:rPr>
  </w:style>
  <w:style w:type="paragraph" w:styleId="CommentSubject">
    <w:name w:val="annotation subject"/>
    <w:basedOn w:val="CommentText"/>
    <w:next w:val="CommentText"/>
    <w:link w:val="CommentSubjectChar"/>
    <w:uiPriority w:val="99"/>
    <w:semiHidden/>
    <w:unhideWhenUsed/>
    <w:rsid w:val="00E50039"/>
    <w:rPr>
      <w:b/>
      <w:bCs/>
    </w:rPr>
  </w:style>
  <w:style w:type="character" w:customStyle="1" w:styleId="CommentSubjectChar">
    <w:name w:val="Comment Subject Char"/>
    <w:basedOn w:val="CommentTextChar"/>
    <w:link w:val="CommentSubject"/>
    <w:uiPriority w:val="99"/>
    <w:semiHidden/>
    <w:rsid w:val="00E50039"/>
    <w:rPr>
      <w:b/>
      <w:bCs/>
      <w:sz w:val="20"/>
      <w:szCs w:val="20"/>
    </w:rPr>
  </w:style>
  <w:style w:type="paragraph" w:styleId="BalloonText">
    <w:name w:val="Balloon Text"/>
    <w:basedOn w:val="Normal"/>
    <w:link w:val="BalloonTextChar"/>
    <w:uiPriority w:val="99"/>
    <w:semiHidden/>
    <w:unhideWhenUsed/>
    <w:rsid w:val="00E5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84E48-27A2-4A4A-8776-E25131298080}">
  <ds:schemaRefs>
    <ds:schemaRef ds:uri="http://schemas.openxmlformats.org/officeDocument/2006/bibliography"/>
  </ds:schemaRefs>
</ds:datastoreItem>
</file>

<file path=customXml/itemProps2.xml><?xml version="1.0" encoding="utf-8"?>
<ds:datastoreItem xmlns:ds="http://schemas.openxmlformats.org/officeDocument/2006/customXml" ds:itemID="{5F8FBB4F-242B-447F-A5E9-D8B14176A991}"/>
</file>

<file path=customXml/itemProps3.xml><?xml version="1.0" encoding="utf-8"?>
<ds:datastoreItem xmlns:ds="http://schemas.openxmlformats.org/officeDocument/2006/customXml" ds:itemID="{F9945D66-C536-44A7-A6ED-146646D012B3}"/>
</file>

<file path=customXml/itemProps4.xml><?xml version="1.0" encoding="utf-8"?>
<ds:datastoreItem xmlns:ds="http://schemas.openxmlformats.org/officeDocument/2006/customXml" ds:itemID="{2A7EB189-B7AA-402D-B7AC-1EAD4ED83DFB}"/>
</file>

<file path=docProps/app.xml><?xml version="1.0" encoding="utf-8"?>
<Properties xmlns="http://schemas.openxmlformats.org/officeDocument/2006/extended-properties" xmlns:vt="http://schemas.openxmlformats.org/officeDocument/2006/docPropsVTypes">
  <Template>Normal.dotm</Template>
  <TotalTime>9</TotalTime>
  <Pages>9</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bberliner</dc:creator>
  <cp:keywords/>
  <dc:description/>
  <cp:lastModifiedBy>bberliner</cp:lastModifiedBy>
  <cp:revision>2</cp:revision>
  <dcterms:created xsi:type="dcterms:W3CDTF">2019-12-13T18:28:00Z</dcterms:created>
  <dcterms:modified xsi:type="dcterms:W3CDTF">2019-12-13T18:28:00Z</dcterms:modified>
</cp:coreProperties>
</file>