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4E5D" w:rsidRDefault="00514E5D" w:rsidP="00514E5D">
      <w:pPr>
        <w:rPr>
          <w:rFonts w:ascii="Century Gothic" w:hAnsi="Century Gothic"/>
          <w:color w:val="0000FF"/>
          <w:sz w:val="20"/>
          <w:szCs w:val="20"/>
        </w:rPr>
      </w:pPr>
    </w:p>
    <w:p w:rsidR="00514E5D" w:rsidRDefault="00514E5D" w:rsidP="00514E5D">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James Beech [mailto:jimbeech@directcorp.com]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Thursday, October 13, 2011 2:55 AM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#Servicing Compensation</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Option B - $10 fee for service is best</w:t>
      </w:r>
    </w:p>
    <w:p w:rsidR="00514E5D" w:rsidRDefault="00514E5D" w:rsidP="00514E5D"/>
    <w:p w:rsidR="00514E5D" w:rsidRDefault="00514E5D" w:rsidP="00514E5D">
      <w:pPr>
        <w:rPr>
          <w:rFonts w:ascii="Arial" w:hAnsi="Arial" w:cs="Arial"/>
          <w:sz w:val="20"/>
          <w:szCs w:val="20"/>
        </w:rPr>
      </w:pPr>
      <w:r>
        <w:rPr>
          <w:rFonts w:ascii="Arial" w:hAnsi="Arial" w:cs="Arial"/>
          <w:b/>
          <w:bCs/>
          <w:sz w:val="20"/>
          <w:szCs w:val="20"/>
        </w:rPr>
        <w:t>Regarding:</w:t>
      </w:r>
      <w:r>
        <w:rPr>
          <w:rFonts w:ascii="Arial" w:hAnsi="Arial" w:cs="Arial"/>
          <w:sz w:val="20"/>
          <w:szCs w:val="20"/>
        </w:rPr>
        <w:t xml:space="preserve"> I’m in favor of Option B, flat fee for service - the new servicing proposal</w:t>
      </w:r>
    </w:p>
    <w:p w:rsidR="00514E5D" w:rsidRDefault="00514E5D" w:rsidP="00514E5D">
      <w:pPr>
        <w:rPr>
          <w:rFonts w:ascii="Arial" w:hAnsi="Arial" w:cs="Arial"/>
          <w:b/>
          <w:bCs/>
          <w:sz w:val="20"/>
          <w:szCs w:val="20"/>
        </w:rPr>
      </w:pPr>
      <w:r>
        <w:rPr>
          <w:rFonts w:ascii="Arial" w:hAnsi="Arial" w:cs="Arial"/>
          <w:b/>
          <w:bCs/>
          <w:sz w:val="20"/>
          <w:szCs w:val="20"/>
        </w:rPr>
        <w:t>Date:</w:t>
      </w:r>
      <w:r>
        <w:rPr>
          <w:rFonts w:ascii="Arial" w:hAnsi="Arial" w:cs="Arial"/>
          <w:sz w:val="20"/>
          <w:szCs w:val="20"/>
        </w:rPr>
        <w:t xml:space="preserve"> October 13, 2011</w:t>
      </w:r>
    </w:p>
    <w:p w:rsidR="00514E5D" w:rsidRDefault="00514E5D" w:rsidP="00514E5D">
      <w:pPr>
        <w:rPr>
          <w:rFonts w:ascii="Arial" w:hAnsi="Arial" w:cs="Arial"/>
          <w:sz w:val="20"/>
          <w:szCs w:val="20"/>
        </w:rPr>
      </w:pPr>
    </w:p>
    <w:p w:rsidR="00514E5D" w:rsidRDefault="00514E5D" w:rsidP="00514E5D">
      <w:pPr>
        <w:rPr>
          <w:rFonts w:ascii="Arial" w:hAnsi="Arial" w:cs="Arial"/>
          <w:b/>
          <w:bCs/>
          <w:sz w:val="20"/>
          <w:szCs w:val="20"/>
        </w:rPr>
      </w:pPr>
      <w:r>
        <w:rPr>
          <w:rFonts w:ascii="Arial" w:hAnsi="Arial" w:cs="Arial"/>
          <w:b/>
          <w:bCs/>
          <w:sz w:val="20"/>
          <w:szCs w:val="20"/>
        </w:rPr>
        <w:t>To FHFA and to whom it may concern,</w:t>
      </w:r>
    </w:p>
    <w:p w:rsidR="00514E5D" w:rsidRDefault="00514E5D" w:rsidP="00514E5D">
      <w:pPr>
        <w:rPr>
          <w:rFonts w:ascii="Arial" w:hAnsi="Arial" w:cs="Arial"/>
          <w:sz w:val="20"/>
          <w:szCs w:val="20"/>
        </w:rPr>
      </w:pPr>
      <w:r>
        <w:rPr>
          <w:rFonts w:ascii="Arial" w:hAnsi="Arial" w:cs="Arial"/>
          <w:sz w:val="20"/>
          <w:szCs w:val="20"/>
        </w:rPr>
        <w:t>I would like to add my support for Option B – The $10 flat fee for service option. As suggested in the “Alternative Mortgage</w:t>
      </w:r>
    </w:p>
    <w:p w:rsidR="00514E5D" w:rsidRDefault="00514E5D" w:rsidP="00514E5D">
      <w:pPr>
        <w:rPr>
          <w:rFonts w:ascii="Arial" w:hAnsi="Arial" w:cs="Arial"/>
          <w:sz w:val="20"/>
          <w:szCs w:val="20"/>
        </w:rPr>
      </w:pPr>
      <w:r>
        <w:rPr>
          <w:rFonts w:ascii="Arial" w:hAnsi="Arial" w:cs="Arial"/>
          <w:sz w:val="20"/>
          <w:szCs w:val="20"/>
        </w:rPr>
        <w:t>Servicing Compensation” proposal, I agree that this option will allow our smaller mortgage bank and servicing company the ability to service more loans - and in turn offer even lower rates for our borrowers. Further, we will be rewarded for our ongoing commitment into improving our internal controls. This new servicing proposal will increase our ability to lower the cost for our borrowers. Currently, today’s servicing values are often made at the whim of the largest banks, and whenever their servicing is valued at unjustified levels (to gain a competitive advantage - at unpredictable times and various locations), we are unfairly held back from servicing and providing a more personalized “hands on” type of service that a smaller servicer like us can provide to the consumer. I also think it’s in the best interest of the borrower, the mortgage industry, and the nation to have more servicers provide more “hands on” service to borrowers – the type of service that the large servicers have not provided so far. There should be many servicers to service many borrowers. Certainly, the flat fee for service proposal removes any motivation that a large “Top 5” bank has to value their servicing at an unjustified level, and requires that they have to compete on a level playing field with the rest of us.</w:t>
      </w:r>
    </w:p>
    <w:p w:rsidR="00514E5D" w:rsidRDefault="00514E5D" w:rsidP="00514E5D">
      <w:pPr>
        <w:rPr>
          <w:rFonts w:ascii="Arial" w:hAnsi="Arial" w:cs="Arial"/>
          <w:sz w:val="20"/>
          <w:szCs w:val="20"/>
        </w:rPr>
      </w:pPr>
    </w:p>
    <w:p w:rsidR="00514E5D" w:rsidRDefault="00514E5D" w:rsidP="00514E5D">
      <w:pPr>
        <w:rPr>
          <w:rFonts w:ascii="Arial" w:hAnsi="Arial" w:cs="Arial"/>
          <w:sz w:val="20"/>
          <w:szCs w:val="20"/>
        </w:rPr>
      </w:pPr>
      <w:r>
        <w:rPr>
          <w:rFonts w:ascii="Arial" w:hAnsi="Arial" w:cs="Arial"/>
          <w:sz w:val="20"/>
          <w:szCs w:val="20"/>
        </w:rPr>
        <w:t>Thanks for your consideration and receipt of my comments. Please make this new servicing compensation standard happen sooner rather than later. Please feel free to contact me should there be any question or further clarification desired to my comments.</w:t>
      </w:r>
    </w:p>
    <w:p w:rsidR="00514E5D" w:rsidRDefault="00514E5D" w:rsidP="00514E5D">
      <w:pPr>
        <w:rPr>
          <w:rFonts w:ascii="Arial" w:hAnsi="Arial" w:cs="Arial"/>
          <w:sz w:val="20"/>
          <w:szCs w:val="20"/>
        </w:rPr>
      </w:pPr>
    </w:p>
    <w:p w:rsidR="00514E5D" w:rsidRDefault="00514E5D" w:rsidP="00514E5D">
      <w:pPr>
        <w:rPr>
          <w:rFonts w:ascii="Arial" w:hAnsi="Arial" w:cs="Arial"/>
          <w:sz w:val="20"/>
          <w:szCs w:val="20"/>
        </w:rPr>
      </w:pPr>
      <w:r>
        <w:rPr>
          <w:rFonts w:ascii="Arial" w:hAnsi="Arial" w:cs="Arial"/>
          <w:sz w:val="20"/>
          <w:szCs w:val="20"/>
        </w:rPr>
        <w:t>Respectfully,</w:t>
      </w:r>
    </w:p>
    <w:p w:rsidR="00514E5D" w:rsidRDefault="00514E5D" w:rsidP="00514E5D">
      <w:pPr>
        <w:rPr>
          <w:rFonts w:ascii="Arial" w:hAnsi="Arial" w:cs="Arial"/>
          <w:sz w:val="20"/>
          <w:szCs w:val="20"/>
        </w:rPr>
      </w:pPr>
    </w:p>
    <w:p w:rsidR="00514E5D" w:rsidRDefault="00514E5D" w:rsidP="00514E5D">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Arial" w:eastAsia="Times New Roman" w:hAnsi="Arial" w:cs="Arial"/>
          <w:b/>
          <w:bCs/>
        </w:rPr>
        <w:t>James</w:t>
      </w:r>
      <w:r>
        <w:rPr>
          <w:rFonts w:ascii="Times New Roman" w:eastAsia="Times New Roman" w:hAnsi="Times New Roman" w:cs="Times New Roman"/>
          <w:sz w:val="24"/>
          <w:szCs w:val="24"/>
        </w:rPr>
        <w:t> </w:t>
      </w:r>
      <w:r>
        <w:rPr>
          <w:rFonts w:ascii="Arial" w:eastAsia="Times New Roman" w:hAnsi="Arial" w:cs="Arial"/>
          <w:b/>
          <w:bCs/>
        </w:rPr>
        <w:t>Beech</w:t>
      </w:r>
      <w:r>
        <w:rPr>
          <w:rFonts w:ascii="Times New Roman" w:eastAsia="Times New Roman" w:hAnsi="Times New Roman" w:cs="Times New Roman"/>
          <w:sz w:val="24"/>
          <w:szCs w:val="24"/>
        </w:rPr>
        <w:br/>
      </w:r>
      <w:r>
        <w:rPr>
          <w:rFonts w:ascii="Arial" w:eastAsia="Times New Roman" w:hAnsi="Arial" w:cs="Arial"/>
          <w:sz w:val="20"/>
          <w:szCs w:val="20"/>
        </w:rPr>
        <w:t>CEO</w:t>
      </w:r>
      <w:r>
        <w:rPr>
          <w:rFonts w:ascii="Times New Roman" w:eastAsia="Times New Roman" w:hAnsi="Times New Roman" w:cs="Times New Roman"/>
          <w:sz w:val="24"/>
          <w:szCs w:val="24"/>
        </w:rPr>
        <w:br/>
      </w:r>
      <w:r>
        <w:rPr>
          <w:rFonts w:ascii="Arial" w:eastAsia="Times New Roman" w:hAnsi="Arial" w:cs="Arial"/>
          <w:sz w:val="20"/>
          <w:szCs w:val="20"/>
        </w:rPr>
        <w:t>Direct Mortgage, Corp.</w:t>
      </w:r>
      <w:r>
        <w:rPr>
          <w:rFonts w:ascii="Arial" w:eastAsia="Times New Roman" w:hAnsi="Arial" w:cs="Arial"/>
          <w:sz w:val="20"/>
          <w:szCs w:val="20"/>
        </w:rPr>
        <w:br/>
      </w:r>
      <w:r>
        <w:rPr>
          <w:rFonts w:ascii="Arial" w:eastAsia="Times New Roman" w:hAnsi="Arial" w:cs="Arial"/>
          <w:sz w:val="18"/>
          <w:szCs w:val="18"/>
        </w:rPr>
        <w:t>(801) 924-1888 direct dial</w:t>
      </w:r>
      <w:r>
        <w:rPr>
          <w:rFonts w:ascii="Arial" w:eastAsia="Times New Roman" w:hAnsi="Arial" w:cs="Arial"/>
          <w:sz w:val="18"/>
          <w:szCs w:val="18"/>
        </w:rPr>
        <w:br/>
        <w:t>(801) 924-2300 main</w:t>
      </w:r>
      <w:r>
        <w:rPr>
          <w:rFonts w:ascii="Arial" w:eastAsia="Times New Roman" w:hAnsi="Arial" w:cs="Arial"/>
          <w:sz w:val="18"/>
          <w:szCs w:val="18"/>
        </w:rPr>
        <w:br/>
      </w:r>
      <w:hyperlink r:id="rId7" w:tooltip="Click to send email to James Beech" w:history="1">
        <w:r>
          <w:rPr>
            <w:rStyle w:val="Hyperlink"/>
            <w:rFonts w:ascii="Arial" w:eastAsia="Times New Roman" w:hAnsi="Arial" w:cs="Arial"/>
            <w:sz w:val="18"/>
            <w:szCs w:val="18"/>
          </w:rPr>
          <w:t>JimBeech@DirectCorp.com</w:t>
        </w:r>
      </w:hyperlink>
      <w:r>
        <w:rPr>
          <w:rFonts w:ascii="Times New Roman" w:eastAsia="Times New Roman" w:hAnsi="Times New Roman" w:cs="Times New Roman"/>
          <w:sz w:val="24"/>
          <w:szCs w:val="24"/>
        </w:rPr>
        <w:br/>
      </w:r>
      <w:r>
        <w:rPr>
          <w:rFonts w:ascii="Arial" w:eastAsia="Times New Roman" w:hAnsi="Arial" w:cs="Arial"/>
          <w:sz w:val="18"/>
          <w:szCs w:val="18"/>
        </w:rPr>
        <w:t>NMLS Originator ID# 10115</w:t>
      </w:r>
      <w:r>
        <w:rPr>
          <w:rFonts w:ascii="Arial" w:eastAsia="Times New Roman" w:hAnsi="Arial" w:cs="Arial"/>
          <w:sz w:val="18"/>
          <w:szCs w:val="18"/>
        </w:rPr>
        <w:br/>
        <w:t>Company ID# 9612</w:t>
      </w:r>
    </w:p>
    <w:p w:rsidR="00514E5D" w:rsidRDefault="00514E5D" w:rsidP="00514E5D">
      <w:pPr>
        <w:pStyle w:val="75463893-28fe-43e6-9ec0-9775f3776dcc"/>
        <w:spacing w:after="240"/>
        <w:rPr>
          <w:rFonts w:ascii="Rockwell" w:hAnsi="Rockwell"/>
          <w:sz w:val="20"/>
          <w:szCs w:val="20"/>
        </w:rPr>
      </w:pPr>
      <w:r>
        <w:rPr>
          <w:rFonts w:ascii="Rockwell" w:hAnsi="Rockwell"/>
          <w:sz w:val="20"/>
          <w:szCs w:val="20"/>
        </w:rPr>
        <w:t>The Best Loans. The Best Brokers. Go Direct.</w:t>
      </w:r>
      <w:r>
        <w:rPr>
          <w:rFonts w:ascii="Rockwell" w:hAnsi="Rockwell"/>
          <w:sz w:val="20"/>
          <w:szCs w:val="20"/>
        </w:rPr>
        <w:br/>
      </w:r>
      <w:r>
        <w:rPr>
          <w:rFonts w:ascii="Rockwell" w:hAnsi="Rockwell"/>
          <w:noProof/>
          <w:sz w:val="20"/>
          <w:szCs w:val="20"/>
        </w:rPr>
        <w:drawing>
          <wp:inline distT="0" distB="0" distL="0" distR="0">
            <wp:extent cx="1362075" cy="504825"/>
            <wp:effectExtent l="0" t="0" r="9525" b="9525"/>
            <wp:docPr id="1" name="Picture 1" descr="http://www.directcorp.com/images/Logo-Corporate-really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 descr="http://www.directcorp.com/images/Logo-Corporate-reallysmal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75" cy="504825"/>
                    </a:xfrm>
                    <a:prstGeom prst="rect">
                      <a:avLst/>
                    </a:prstGeom>
                    <a:noFill/>
                    <a:ln>
                      <a:noFill/>
                    </a:ln>
                  </pic:spPr>
                </pic:pic>
              </a:graphicData>
            </a:graphic>
          </wp:inline>
        </w:drawing>
      </w:r>
      <w:r>
        <w:rPr>
          <w:rFonts w:ascii="Rockwell" w:hAnsi="Rockwell"/>
          <w:sz w:val="20"/>
          <w:szCs w:val="20"/>
        </w:rPr>
        <w:br w:type="textWrapping" w:clear="left"/>
      </w:r>
      <w:hyperlink r:id="rId9" w:history="1">
        <w:r>
          <w:rPr>
            <w:rStyle w:val="Hyperlink"/>
            <w:rFonts w:ascii="Rockwell" w:hAnsi="Rockwell"/>
            <w:sz w:val="20"/>
            <w:szCs w:val="20"/>
          </w:rPr>
          <w:t>www.DirectCorp.com</w:t>
        </w:r>
      </w:hyperlink>
    </w:p>
    <w:p w:rsidR="00181A07" w:rsidRDefault="00514E5D" w:rsidP="00514E5D">
      <w:r>
        <w:rPr>
          <w:rFonts w:ascii="Times New Roman" w:eastAsia="Times New Roman" w:hAnsi="Times New Roman" w:cs="Times New Roman"/>
          <w:sz w:val="24"/>
          <w:szCs w:val="24"/>
        </w:rPr>
        <w:br/>
      </w:r>
    </w:p>
    <w:sectPr w:rsidR="00181A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E5D"/>
    <w:rsid w:val="00181A07"/>
    <w:rsid w:val="00494BB2"/>
    <w:rsid w:val="00514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FB46AA-57D5-4DCD-A735-1D5E3481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E5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4E5D"/>
    <w:rPr>
      <w:color w:val="0000FF"/>
      <w:u w:val="single"/>
    </w:rPr>
  </w:style>
  <w:style w:type="paragraph" w:customStyle="1" w:styleId="75463893-28fe-43e6-9ec0-9775f3776dcc">
    <w:name w:val="75463893-28fe-43e6-9ec0-9775f3776dcc"/>
    <w:basedOn w:val="Normal"/>
    <w:rsid w:val="00514E5D"/>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14E5D"/>
    <w:rPr>
      <w:rFonts w:ascii="Tahoma" w:hAnsi="Tahoma" w:cs="Tahoma"/>
      <w:sz w:val="16"/>
      <w:szCs w:val="16"/>
    </w:rPr>
  </w:style>
  <w:style w:type="character" w:customStyle="1" w:styleId="BalloonTextChar">
    <w:name w:val="Balloon Text Char"/>
    <w:basedOn w:val="DefaultParagraphFont"/>
    <w:link w:val="BalloonText"/>
    <w:uiPriority w:val="99"/>
    <w:semiHidden/>
    <w:rsid w:val="00514E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30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hyperlink" Target="mailto:JimBeech@DirectCorp.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DirectCor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endEmailAlert xmlns="946b7fcb-b6b4-4ef2-be73-dba3a580ace5">true</SendEmailAler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D5C3E8A69B90418B67DAA4BF623A1A" ma:contentTypeVersion="3" ma:contentTypeDescription="Create a new document." ma:contentTypeScope="" ma:versionID="9b3835b994b74cf459107ac6de6647d2">
  <xsd:schema xmlns:xsd="http://www.w3.org/2001/XMLSchema" xmlns:xs="http://www.w3.org/2001/XMLSchema" xmlns:p="http://schemas.microsoft.com/office/2006/metadata/properties" xmlns:ns1="http://schemas.microsoft.com/sharepoint/v3" xmlns:ns2="946b7fcb-b6b4-4ef2-be73-dba3a580ace5" xmlns:ns3="054c2eff-e66d-4d5e-80b6-2379bad19f6c" targetNamespace="http://schemas.microsoft.com/office/2006/metadata/properties" ma:root="true" ma:fieldsID="26695461ba5e994570bdb47766ce7fe4" ns1:_="" ns2:_="" ns3:_="">
    <xsd:import namespace="http://schemas.microsoft.com/sharepoint/v3"/>
    <xsd:import namespace="946b7fcb-b6b4-4ef2-be73-dba3a580ace5"/>
    <xsd:import namespace="054c2eff-e66d-4d5e-80b6-2379bad19f6c"/>
    <xsd:element name="properties">
      <xsd:complexType>
        <xsd:sequence>
          <xsd:element name="documentManagement">
            <xsd:complexType>
              <xsd:all>
                <xsd:element ref="ns1:PublishingStartDate" minOccurs="0"/>
                <xsd:element ref="ns1:PublishingExpirationDate" minOccurs="0"/>
                <xsd:element ref="ns2:SendEmailAler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6b7fcb-b6b4-4ef2-be73-dba3a580ace5" elementFormDefault="qualified">
    <xsd:import namespace="http://schemas.microsoft.com/office/2006/documentManagement/types"/>
    <xsd:import namespace="http://schemas.microsoft.com/office/infopath/2007/PartnerControls"/>
    <xsd:element name="SendEmailAlert" ma:index="10" nillable="true" ma:displayName="SendEmailAlert" ma:default="1" ma:description="A flag to control the Email Alerts for the page. If set to true, an email alert will be sent out provided the Email Alerts feature is turned on." ma:internalName="SendEmailAler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4c2eff-e66d-4d5e-80b6-2379bad19f6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D1EFFF-4346-4383-9D1B-F3A023FC7D5D}">
  <ds:schemaRefs>
    <ds:schemaRef ds:uri="http://schemas.microsoft.com/office/2006/metadata/properties"/>
    <ds:schemaRef ds:uri="http://schemas.microsoft.com/office/infopath/2007/PartnerControls"/>
    <ds:schemaRef ds:uri="http://schemas.microsoft.com/sharepoint/v3"/>
    <ds:schemaRef ds:uri="946b7fcb-b6b4-4ef2-be73-dba3a580ace5"/>
  </ds:schemaRefs>
</ds:datastoreItem>
</file>

<file path=customXml/itemProps2.xml><?xml version="1.0" encoding="utf-8"?>
<ds:datastoreItem xmlns:ds="http://schemas.openxmlformats.org/officeDocument/2006/customXml" ds:itemID="{81BDAD8D-AB80-4EBE-85CA-6790DC6FAAC7}">
  <ds:schemaRefs>
    <ds:schemaRef ds:uri="http://schemas.microsoft.com/sharepoint/v3/contenttype/forms"/>
  </ds:schemaRefs>
</ds:datastoreItem>
</file>

<file path=customXml/itemProps3.xml><?xml version="1.0" encoding="utf-8"?>
<ds:datastoreItem xmlns:ds="http://schemas.openxmlformats.org/officeDocument/2006/customXml" ds:itemID="{1C0CC0FA-801E-48CC-A28E-E9978F308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6b7fcb-b6b4-4ef2-be73-dba3a580ace5"/>
    <ds:schemaRef ds:uri="054c2eff-e66d-4d5e-80b6-2379bad19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2018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Federal Housing Finance Agency</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Lakroune, Amy</dc:creator>
  <cp:lastModifiedBy>William Ulloa</cp:lastModifiedBy>
  <cp:revision>2</cp:revision>
  <dcterms:created xsi:type="dcterms:W3CDTF">2023-04-18T13:56:00Z</dcterms:created>
  <dcterms:modified xsi:type="dcterms:W3CDTF">2023-04-18T13:56:00Z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0x010100A2D5C3E8A69B90418B67DAA4BF623A1A</vt:lpwstr>
  </property>
</Properties>
</file>