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58D" w:rsidRDefault="008F558D" w:rsidP="008F558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Dan Fisk [mailto:dfisk@university-lending.com]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07, 2011 10:43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w:t>
      </w:r>
    </w:p>
    <w:p w:rsidR="008F558D" w:rsidRDefault="008F558D" w:rsidP="008F558D"/>
    <w:p w:rsidR="008F558D" w:rsidRDefault="008F558D" w:rsidP="008F558D">
      <w:pPr>
        <w:pStyle w:val="NormalWeb"/>
        <w:spacing w:before="0" w:beforeAutospacing="0" w:after="0" w:afterAutospacing="0"/>
      </w:pPr>
      <w:r>
        <w:t>December 7, 2011</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Mr. Edward DeMarco</w:t>
      </w:r>
    </w:p>
    <w:p w:rsidR="008F558D" w:rsidRDefault="008F558D" w:rsidP="008F558D">
      <w:pPr>
        <w:pStyle w:val="NormalWeb"/>
        <w:spacing w:before="0" w:beforeAutospacing="0" w:after="0" w:afterAutospacing="0"/>
      </w:pPr>
      <w:r>
        <w:t>Acting Director</w:t>
      </w:r>
    </w:p>
    <w:p w:rsidR="008F558D" w:rsidRDefault="008F558D" w:rsidP="008F558D">
      <w:pPr>
        <w:pStyle w:val="NormalWeb"/>
        <w:spacing w:before="0" w:beforeAutospacing="0" w:after="0" w:afterAutospacing="0"/>
      </w:pPr>
      <w:r>
        <w:t>Federal Housing Finance Agency</w:t>
      </w:r>
    </w:p>
    <w:p w:rsidR="008F558D" w:rsidRDefault="008F558D" w:rsidP="008F558D">
      <w:pPr>
        <w:pStyle w:val="NormalWeb"/>
        <w:spacing w:before="0" w:beforeAutospacing="0" w:after="0" w:afterAutospacing="0"/>
      </w:pPr>
      <w:r>
        <w:t>1700 G Street, NW, 4th Floor</w:t>
      </w:r>
    </w:p>
    <w:p w:rsidR="008F558D" w:rsidRDefault="008F558D" w:rsidP="008F558D">
      <w:pPr>
        <w:pStyle w:val="NormalWeb"/>
        <w:spacing w:before="0" w:beforeAutospacing="0" w:after="0" w:afterAutospacing="0"/>
      </w:pPr>
      <w:r>
        <w:t>Washington, DC 20552</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1) What are the impacts of these proposals on the competitive landscape in origination and servicing markets, service to borrowers, and efficiency in secondary markets?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Fee for Service should be the structure for agency servicing going forward.</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We would like the MINIMUM service fee required to be retained to be as low as possible, and be a fixed dollar amount, say $10 per loan per month.  Other institutions may opt to retain higher amounts and that is fine that they opt for “excess servicing fee income”.</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2) What are the benefits and/or the impediments to your business model of having a capitalized MSR asset?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We will be able to compete on a more level playing field for mortgage origination business.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a)      Does a capitalized MSR impede competition in the servicing and origination market?</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Yes. We cannot hold a large amount of servicing rights since they are volatile and Wall Street hates volatility.  Volatility in earnings makes our bank an unattractive investment.  Since we </w:t>
      </w:r>
      <w:r>
        <w:lastRenderedPageBreak/>
        <w:t>have to sell most of the servicing rights we generate, these tend to accumulate at mega bank servicing</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b)      Does the impact vary across various business and interest rate cycles?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No.  The volatility of earnings caused by the ongoing mark to market of MSRs is bad, whether its income or loss volatility is bad.</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c)      Does the impact vary across size of servicers and originators?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d)     Would greater transparency in MSR valuation improve the competitive landscape?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No.  Valuing MSRs is itself the problem that we need to fix.</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e)      What is the impact of a potential reduction in tax Safe Harbor?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This has no important to us.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f)       Should the servicer be required to hold a capitalized MSR asset (effectively be an IO investor) as a condition of performing servicing activities?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3) Should a lender’s excess IO remain contractually attached to the MSR, or would seller/servicers prefer to have the excess IO be a separate stand alone asset (unencumbered by the Enterprises)?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We feel that the excess IO could remain contractually attached to the MSR or be sold at any time.  Maximum flexibility is best.</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a)      Does the impact from market-based pricing of the excess IO vary across size of servicers and originators?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w:t>
      </w:r>
      <w:r>
        <w:lastRenderedPageBreak/>
        <w:t>prevent these mega bank entities that use accounting fudges now to generate fake earnings, and solve this problem.</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b)      Does contractually separating the excess IO from the MSR create more liquidity and price transparency?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No I don’t see why that would.</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c)      Is the flexibility to separate the operational activities (servicing) from the financial management activities (investing in and managing MSR/IO exposure), as outlined in the Fee for Service proposal, beneficial or harmful to the industry?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This would greatly benefit smaller institutions and over time greatly degrade the market share of the mega banks, which is a very good thing and a social good.</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4) Would these proposals encourage greater investment in non-performing loan operations or abilities in a benign market cycle?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a)      How does this impact the alignment between guarantor and servicer interests?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It helped a lot to align interests.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b)      Would this improve service to borrowers?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5) What would be the impact of the proposals on the TBA market if there were no MSR capitalization?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I believe that many more loans would be securitized by smaller and midsized institutions and the TBA market would therefore become much more liquid and tradeable.</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a) To what degree might the net tangible benefit test and other suggested provisions help mitigate any potential negative impact on the TBA market? No opinion.</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b) What additional steps can we take to assure continued liquidity in the TBA market? No opinion.</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 xml:space="preserve">6) Should any of the following provisions that were proposed in the fee for service proposal be considered independent of any other changes to servicing compensation structure? </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b) A net tangible benefit test for streamlined refinances Yes.  Anything that helps people struggling to refi to lower rates is a good thing.</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c) Restriction of the amount of excess IO in a given pool No, maximum flexibility is good.</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d) Limitation of P&amp;I advance requirements Yes, this would help smaller players reduce risk in a blow out depressionary environment.</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rsidR="008F558D" w:rsidRDefault="008F558D" w:rsidP="008F558D">
      <w:pPr>
        <w:pStyle w:val="NormalWeb"/>
        <w:spacing w:before="0" w:beforeAutospacing="0" w:after="0" w:afterAutospacing="0"/>
      </w:pPr>
      <w:r>
        <w:t> </w:t>
      </w:r>
    </w:p>
    <w:p w:rsidR="008F558D" w:rsidRDefault="008F558D" w:rsidP="008F558D">
      <w:pPr>
        <w:pStyle w:val="NormalWeb"/>
        <w:spacing w:before="0" w:beforeAutospacing="0" w:after="0" w:afterAutospacing="0"/>
      </w:pPr>
      <w:r>
        <w:t>Sincerely,</w:t>
      </w:r>
      <w:r>
        <w:br w:type="textWrapping" w:clear="all"/>
      </w:r>
      <w:r>
        <w:br/>
        <w:t xml:space="preserve">-- </w:t>
      </w:r>
    </w:p>
    <w:p w:rsidR="008F558D" w:rsidRDefault="008F558D" w:rsidP="008F558D">
      <w:pPr>
        <w:pStyle w:val="NormalWeb"/>
        <w:spacing w:before="0" w:beforeAutospacing="0" w:after="0" w:afterAutospacing="0"/>
      </w:pPr>
      <w:r>
        <w:rPr>
          <w:rFonts w:ascii="Calibri" w:hAnsi="Calibri" w:cs="Calibri"/>
          <w:b/>
          <w:bCs/>
        </w:rPr>
        <w:t>Dan Fisk</w:t>
      </w:r>
      <w:r>
        <w:br/>
      </w:r>
      <w:r>
        <w:rPr>
          <w:rFonts w:ascii="Calibri" w:hAnsi="Calibri" w:cs="Calibri"/>
        </w:rPr>
        <w:t>V.P. Residential Lending</w:t>
      </w:r>
      <w:r>
        <w:rPr>
          <w:rFonts w:ascii="Calibri" w:hAnsi="Calibri" w:cs="Calibri"/>
        </w:rPr>
        <w:br/>
        <w:t>734.741.5858 ext. 233 Office</w:t>
      </w:r>
      <w:r>
        <w:rPr>
          <w:rFonts w:ascii="Calibri" w:hAnsi="Calibri" w:cs="Calibri"/>
        </w:rPr>
        <w:br/>
      </w:r>
      <w:r>
        <w:rPr>
          <w:rFonts w:ascii="Calibri" w:hAnsi="Calibri" w:cs="Calibri"/>
          <w:b/>
          <w:bCs/>
        </w:rPr>
        <w:t>517.914.1871 Cell</w:t>
      </w:r>
    </w:p>
    <w:p w:rsidR="008F558D" w:rsidRDefault="008F558D" w:rsidP="008F558D">
      <w:pPr>
        <w:pStyle w:val="NormalWeb"/>
        <w:spacing w:before="0" w:beforeAutospacing="0" w:after="0" w:afterAutospacing="0"/>
      </w:pPr>
      <w:r>
        <w:rPr>
          <w:rFonts w:ascii="Calibri" w:hAnsi="Calibri" w:cs="Calibri"/>
          <w:sz w:val="18"/>
          <w:szCs w:val="18"/>
        </w:rPr>
        <w:t>NMLS #533513</w:t>
      </w:r>
      <w:r>
        <w:rPr>
          <w:rFonts w:ascii="Calibri" w:hAnsi="Calibri" w:cs="Calibri"/>
          <w:sz w:val="18"/>
          <w:szCs w:val="18"/>
        </w:rPr>
        <w:br/>
        <w:t>University Lending Group a division of:</w:t>
      </w:r>
      <w:r>
        <w:br/>
      </w:r>
      <w:r>
        <w:rPr>
          <w:rFonts w:ascii="Calibri" w:hAnsi="Calibri" w:cs="Calibri"/>
          <w:b/>
          <w:bCs/>
        </w:rPr>
        <w:t>University Bank</w:t>
      </w:r>
      <w:r>
        <w:rPr>
          <w:rFonts w:ascii="Calibri" w:hAnsi="Calibri" w:cs="Calibri"/>
          <w:b/>
          <w:bCs/>
        </w:rPr>
        <w:br/>
        <w:t>2015 Washtenaw Ave.</w:t>
      </w:r>
      <w:r>
        <w:rPr>
          <w:rFonts w:ascii="Calibri" w:hAnsi="Calibri" w:cs="Calibri"/>
          <w:b/>
          <w:bCs/>
        </w:rPr>
        <w:br/>
        <w:t>Ann Arbor, MI 48104</w:t>
      </w: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8D"/>
    <w:rsid w:val="00181A07"/>
    <w:rsid w:val="008F558D"/>
    <w:rsid w:val="00F6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1884D-F274-4B22-9DE9-83FAF533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5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4BF546E1-8029-47E3-B7A8-67F818EBF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43D45-6D20-429C-BFC1-65F502EA152A}">
  <ds:schemaRefs>
    <ds:schemaRef ds:uri="http://schemas.microsoft.com/sharepoint/v3/contenttype/forms"/>
  </ds:schemaRefs>
</ds:datastoreItem>
</file>

<file path=customXml/itemProps3.xml><?xml version="1.0" encoding="utf-8"?>
<ds:datastoreItem xmlns:ds="http://schemas.openxmlformats.org/officeDocument/2006/customXml" ds:itemID="{E6E347B1-F130-4186-9E31-D0FFA7A6BCE4}">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2023-04-18T17:23:00Z</dcterms:created>
  <dcterms:modified xsi:type="dcterms:W3CDTF">2023-04-18T17:23:00Z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