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B8" w:rsidRDefault="00AF55B8" w:rsidP="00AF55B8">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Anna </w:t>
      </w:r>
      <w:proofErr w:type="spellStart"/>
      <w:r>
        <w:rPr>
          <w:rFonts w:ascii="Tahoma" w:eastAsia="Times New Roman" w:hAnsi="Tahoma" w:cs="Tahoma"/>
          <w:sz w:val="20"/>
          <w:szCs w:val="20"/>
        </w:rPr>
        <w:t>Albin</w:t>
      </w:r>
      <w:proofErr w:type="spellEnd"/>
      <w:r>
        <w:rPr>
          <w:rFonts w:ascii="Tahoma" w:eastAsia="Times New Roman" w:hAnsi="Tahoma" w:cs="Tahoma"/>
          <w:sz w:val="20"/>
          <w:szCs w:val="20"/>
        </w:rPr>
        <w:t xml:space="preserve"> [mailto:aalbin@university-lending.com]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Request for Consideration</w:t>
      </w:r>
    </w:p>
    <w:p w:rsidR="00AF55B8" w:rsidRDefault="00AF55B8" w:rsidP="00AF55B8"/>
    <w:p w:rsidR="00AF55B8" w:rsidRDefault="00AF55B8" w:rsidP="00AF55B8">
      <w:r>
        <w:rPr>
          <w:color w:val="000000"/>
        </w:rPr>
        <w:t>December 14, 2011</w:t>
      </w:r>
    </w:p>
    <w:p w:rsidR="00AF55B8" w:rsidRDefault="00AF55B8" w:rsidP="00AF55B8">
      <w:r>
        <w:rPr>
          <w:color w:val="1F497D"/>
        </w:rPr>
        <w:t> </w:t>
      </w:r>
    </w:p>
    <w:p w:rsidR="00AF55B8" w:rsidRDefault="00AF55B8" w:rsidP="00AF55B8">
      <w:r>
        <w:t> </w:t>
      </w:r>
    </w:p>
    <w:p w:rsidR="00AF55B8" w:rsidRDefault="00AF55B8" w:rsidP="00AF55B8">
      <w:r>
        <w:t>Mr. Edward DeMarco</w:t>
      </w:r>
    </w:p>
    <w:p w:rsidR="00AF55B8" w:rsidRDefault="00AF55B8" w:rsidP="00AF55B8">
      <w:r>
        <w:t>Acting Director</w:t>
      </w:r>
    </w:p>
    <w:p w:rsidR="00AF55B8" w:rsidRDefault="00AF55B8" w:rsidP="00AF55B8">
      <w:r>
        <w:t>Federal Housing Finance Agency</w:t>
      </w:r>
    </w:p>
    <w:p w:rsidR="00AF55B8" w:rsidRDefault="00AF55B8" w:rsidP="00AF55B8">
      <w:r>
        <w:t>1700 G Street, NW, 4th Floor</w:t>
      </w:r>
    </w:p>
    <w:p w:rsidR="00AF55B8" w:rsidRDefault="00AF55B8" w:rsidP="00AF55B8">
      <w:r>
        <w:t>Washington, DC 20552</w:t>
      </w:r>
    </w:p>
    <w:p w:rsidR="00AF55B8" w:rsidRDefault="00AF55B8" w:rsidP="00AF55B8">
      <w:r>
        <w:rPr>
          <w:color w:val="1F497D"/>
        </w:rPr>
        <w:t> </w:t>
      </w:r>
    </w:p>
    <w:p w:rsidR="00AF55B8" w:rsidRDefault="00AF55B8" w:rsidP="00AF55B8">
      <w:r>
        <w:rPr>
          <w:color w:val="1F497D"/>
        </w:rPr>
        <w:t> </w:t>
      </w:r>
    </w:p>
    <w:p w:rsidR="00AF55B8" w:rsidRDefault="00AF55B8" w:rsidP="00AF55B8">
      <w:r>
        <w:rPr>
          <w:color w:val="1F497D"/>
        </w:rPr>
        <w:t> </w:t>
      </w:r>
    </w:p>
    <w:p w:rsidR="00AF55B8" w:rsidRDefault="00AF55B8" w:rsidP="00AF55B8">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AF55B8" w:rsidRDefault="00AF55B8" w:rsidP="00AF55B8">
      <w:r>
        <w:rPr>
          <w:rFonts w:ascii="Times New Roman" w:hAnsi="Times New Roman" w:cs="Times New Roman"/>
          <w:color w:val="000000"/>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1) What are the impacts of these proposals on the competitive landscape in origination and servicing markets, service to borrowers, and efficiency in secondary markets? </w:t>
      </w:r>
    </w:p>
    <w:p w:rsidR="00AF55B8" w:rsidRDefault="00AF55B8" w:rsidP="00AF55B8">
      <w:r>
        <w:rPr>
          <w:rFonts w:ascii="Times New Roman" w:hAnsi="Times New Roman" w:cs="Times New Roman"/>
          <w:color w:val="000000"/>
          <w:sz w:val="24"/>
          <w:szCs w:val="24"/>
        </w:rPr>
        <w:t> </w:t>
      </w:r>
    </w:p>
    <w:p w:rsidR="00AF55B8" w:rsidRDefault="00AF55B8" w:rsidP="00AF55B8">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AF55B8" w:rsidRDefault="00AF55B8" w:rsidP="00AF55B8">
      <w:r>
        <w:rPr>
          <w:rFonts w:ascii="Times New Roman" w:hAnsi="Times New Roman" w:cs="Times New Roman"/>
          <w:color w:val="000000"/>
          <w:sz w:val="24"/>
          <w:szCs w:val="24"/>
        </w:rPr>
        <w:t> </w:t>
      </w:r>
    </w:p>
    <w:p w:rsidR="00AF55B8" w:rsidRDefault="00AF55B8" w:rsidP="00AF55B8">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AF55B8" w:rsidRDefault="00AF55B8" w:rsidP="00AF55B8">
      <w:r>
        <w:rPr>
          <w:rFonts w:ascii="Times New Roman" w:hAnsi="Times New Roman" w:cs="Times New Roman"/>
          <w:color w:val="000000"/>
          <w:sz w:val="24"/>
          <w:szCs w:val="24"/>
        </w:rPr>
        <w:t> </w:t>
      </w:r>
    </w:p>
    <w:p w:rsidR="00AF55B8" w:rsidRDefault="00AF55B8" w:rsidP="00AF55B8">
      <w:r>
        <w:rPr>
          <w:rFonts w:ascii="Times New Roman" w:hAnsi="Times New Roman" w:cs="Times New Roman"/>
          <w:color w:val="000000"/>
          <w:sz w:val="24"/>
          <w:szCs w:val="24"/>
        </w:rPr>
        <w:t>Fee for Service should be the structure for agency servicing going forward.</w:t>
      </w:r>
    </w:p>
    <w:p w:rsidR="00AF55B8" w:rsidRDefault="00AF55B8" w:rsidP="00AF55B8">
      <w:r>
        <w:rPr>
          <w:rFonts w:ascii="Times New Roman" w:hAnsi="Times New Roman" w:cs="Times New Roman"/>
          <w:color w:val="000000"/>
          <w:sz w:val="24"/>
          <w:szCs w:val="24"/>
        </w:rPr>
        <w:t> </w:t>
      </w:r>
    </w:p>
    <w:p w:rsidR="00AF55B8" w:rsidRDefault="00AF55B8" w:rsidP="00AF55B8">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AF55B8" w:rsidRDefault="00AF55B8" w:rsidP="00AF55B8">
      <w:r>
        <w:rPr>
          <w:rFonts w:ascii="Times New Roman" w:hAnsi="Times New Roman" w:cs="Times New Roman"/>
          <w:color w:val="000000"/>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2) What are the benefits and/or the impediments to your business model of having a capitalized MSR asset?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We will be able to compete on a more level playing field for mortgage origination business.</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Does a capitalized MSR impede competition in the servicing and origination market?</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various business and interest rate cycles?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No.  The volatility of earnings caused by the ongoing mark to market of MSRs is bad, whether its income or loss volatility is bad.</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size of servicers and originators?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greater transparency in MSR valuation improve the competitive landscape?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No.  Valuing MSRs is itself the problem that we need to fix.</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What is the impact of a potential reduction in tax Safe Harbor?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This has no important to us.</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Should the servicer be required to hold a capitalized MSR asset (effectively be an IO investor) as a condition of performing servicing activities?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AF55B8" w:rsidRDefault="00AF55B8" w:rsidP="00AF55B8">
      <w:r>
        <w:rPr>
          <w:rFonts w:ascii="Times New Roman" w:hAnsi="Times New Roman" w:cs="Times New Roman"/>
          <w:color w:val="000000"/>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3) Should a lender’s excess IO remain contractually attached to the MSR, or would seller/servicers prefer to have the excess IO </w:t>
      </w:r>
      <w:proofErr w:type="gramStart"/>
      <w:r>
        <w:rPr>
          <w:rFonts w:ascii="Times New Roman" w:hAnsi="Times New Roman" w:cs="Times New Roman"/>
          <w:sz w:val="24"/>
          <w:szCs w:val="24"/>
          <w:u w:val="single"/>
        </w:rPr>
        <w:t>be</w:t>
      </w:r>
      <w:proofErr w:type="gramEnd"/>
      <w:r>
        <w:rPr>
          <w:rFonts w:ascii="Times New Roman" w:hAnsi="Times New Roman" w:cs="Times New Roman"/>
          <w:sz w:val="24"/>
          <w:szCs w:val="24"/>
          <w:u w:val="single"/>
        </w:rPr>
        <w:t xml:space="preserve"> a separate </w:t>
      </w:r>
      <w:proofErr w:type="spellStart"/>
      <w:r>
        <w:rPr>
          <w:rFonts w:ascii="Times New Roman" w:hAnsi="Times New Roman" w:cs="Times New Roman"/>
          <w:sz w:val="24"/>
          <w:szCs w:val="24"/>
          <w:u w:val="single"/>
        </w:rPr>
        <w:t>stand alone</w:t>
      </w:r>
      <w:proofErr w:type="spellEnd"/>
      <w:r>
        <w:rPr>
          <w:rFonts w:ascii="Times New Roman" w:hAnsi="Times New Roman" w:cs="Times New Roman"/>
          <w:sz w:val="24"/>
          <w:szCs w:val="24"/>
          <w:u w:val="single"/>
        </w:rPr>
        <w:t xml:space="preserve"> asset (unencumbered by the Enterprises)?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We feel that the excess IO could remain contractually attached to the MSR or be sold at any time.  Maximum flexibility is best.</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from market-based pricing of the excess IO vary across size of servicers and originators?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contractually separating the excess IO from the MSR create more liquidity and price transparency?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No I don’t see why that would.</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Is the flexibility to separate the operational activities (servicing) from the financial management activities (investing in and managing MSR/IO exposure), as outlined in the Fee for Service proposal, beneficial or harmful to the industry?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 xml:space="preserve">This would greatly benefit smaller institutions and over time greatly degrade the market share of the mega banks,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very good thing and a social good.</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4) Would these proposals encourage greater investment in non-performing loan operations or abilities in a benign market cycle?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conditions (like now) and few programs during boom times.</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How does this impact the alignment between guarantor and servicer interests?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It helped a lot to align interests.</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this improve service to borrowers? </w:t>
      </w:r>
    </w:p>
    <w:p w:rsidR="00AF55B8" w:rsidRDefault="00AF55B8" w:rsidP="00AF55B8">
      <w:pPr>
        <w:autoSpaceDE w:val="0"/>
        <w:autoSpaceDN w:val="0"/>
        <w:ind w:left="720"/>
      </w:pPr>
      <w:r>
        <w:rPr>
          <w:rFonts w:ascii="Times New Roman" w:hAnsi="Times New Roman" w:cs="Times New Roman"/>
          <w:sz w:val="24"/>
          <w:szCs w:val="24"/>
        </w:rPr>
        <w:t> </w:t>
      </w:r>
    </w:p>
    <w:p w:rsidR="00AF55B8" w:rsidRDefault="00AF55B8" w:rsidP="00AF55B8">
      <w:pPr>
        <w:autoSpaceDE w:val="0"/>
        <w:autoSpaceDN w:val="0"/>
        <w:ind w:left="720"/>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AF55B8" w:rsidRDefault="00AF55B8" w:rsidP="00AF55B8">
      <w:r>
        <w:rPr>
          <w:rFonts w:ascii="Times New Roman" w:hAnsi="Times New Roman" w:cs="Times New Roman"/>
          <w:color w:val="000000"/>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5) What would be the impact of the proposals on the TBA market if there were no MSR capitalization?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 xml:space="preserve">I believe that many more loans would be securitized by smaller and midsized institutions and the TBA market would therefore become much more liquid and </w:t>
      </w:r>
      <w:proofErr w:type="spellStart"/>
      <w:r>
        <w:rPr>
          <w:rFonts w:ascii="Times New Roman" w:hAnsi="Times New Roman" w:cs="Times New Roman"/>
          <w:sz w:val="24"/>
          <w:szCs w:val="24"/>
        </w:rPr>
        <w:t>tradeable</w:t>
      </w:r>
      <w:proofErr w:type="spellEnd"/>
      <w:r>
        <w:rPr>
          <w:rFonts w:ascii="Times New Roman" w:hAnsi="Times New Roman" w:cs="Times New Roman"/>
          <w:sz w:val="24"/>
          <w:szCs w:val="24"/>
        </w:rPr>
        <w:t>.</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lastRenderedPageBreak/>
        <w:t>a) To what degree might the net tangible benefit test and other suggested provisions help mitigate any potential negative impact on the TBA market? No opinion.</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b) What additional steps can we take to assure continued liquidity in the TBA market? No opinion.</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u w:val="single"/>
        </w:rPr>
        <w:t xml:space="preserve">6) Should any of the following provisions that were proposed in the fee for service proposal be considered independent of any other changes to servicing compensation structure? </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 xml:space="preserve">a) Bifurcation of selling and servicing representations and warranties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Imposing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 xml:space="preserve"> with additional reps and warranties would tend to decrease competition in that line of business which would not be good as you would again end up with a few mega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 xml:space="preserve">b) A net tangible benefit test for streamlined refinances Yes.  Anything that helps people struggling to </w:t>
      </w:r>
      <w:proofErr w:type="spellStart"/>
      <w:r>
        <w:rPr>
          <w:rFonts w:ascii="Times New Roman" w:hAnsi="Times New Roman" w:cs="Times New Roman"/>
          <w:sz w:val="24"/>
          <w:szCs w:val="24"/>
        </w:rPr>
        <w:t>refi</w:t>
      </w:r>
      <w:proofErr w:type="spellEnd"/>
      <w:r>
        <w:rPr>
          <w:rFonts w:ascii="Times New Roman" w:hAnsi="Times New Roman" w:cs="Times New Roman"/>
          <w:sz w:val="24"/>
          <w:szCs w:val="24"/>
        </w:rPr>
        <w:t xml:space="preserve"> to lower rates is a good thing.</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c) Restriction of the amount of excess IO in a given pool No, maximum flexibility is good.</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 xml:space="preserve">d) Limitation of P&amp;I advance requirements Yes, this would help smaller players reduce risk in a </w:t>
      </w:r>
      <w:proofErr w:type="spellStart"/>
      <w:r>
        <w:rPr>
          <w:rFonts w:ascii="Times New Roman" w:hAnsi="Times New Roman" w:cs="Times New Roman"/>
          <w:sz w:val="24"/>
          <w:szCs w:val="24"/>
        </w:rPr>
        <w:t>blow 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rFonts w:ascii="Times New Roman" w:hAnsi="Times New Roman" w:cs="Times New Roman"/>
          <w:sz w:val="24"/>
          <w:szCs w:val="24"/>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AF55B8" w:rsidRDefault="00AF55B8" w:rsidP="00AF55B8">
      <w:pPr>
        <w:autoSpaceDE w:val="0"/>
        <w:autoSpaceDN w:val="0"/>
      </w:pPr>
      <w:r>
        <w:rPr>
          <w:rFonts w:ascii="Times New Roman" w:hAnsi="Times New Roman" w:cs="Times New Roman"/>
          <w:sz w:val="24"/>
          <w:szCs w:val="24"/>
        </w:rPr>
        <w:t> </w:t>
      </w:r>
    </w:p>
    <w:p w:rsidR="00AF55B8" w:rsidRDefault="00AF55B8" w:rsidP="00AF55B8">
      <w:pPr>
        <w:autoSpaceDE w:val="0"/>
        <w:autoSpaceDN w:val="0"/>
      </w:pPr>
      <w:r>
        <w:rPr>
          <w:color w:val="000000"/>
        </w:rPr>
        <w:t>Sincerely,</w:t>
      </w:r>
    </w:p>
    <w:p w:rsidR="00AF55B8" w:rsidRDefault="00AF55B8" w:rsidP="00AF55B8">
      <w:r>
        <w:t> </w:t>
      </w:r>
    </w:p>
    <w:p w:rsidR="00AF55B8" w:rsidRDefault="00AF55B8" w:rsidP="00AF55B8">
      <w:r>
        <w:t> </w:t>
      </w:r>
    </w:p>
    <w:p w:rsidR="00AF55B8" w:rsidRDefault="00AF55B8" w:rsidP="00AF55B8">
      <w:r>
        <w:rPr>
          <w:rFonts w:ascii="Georgia" w:hAnsi="Georgia"/>
          <w:b/>
          <w:bCs/>
          <w:i/>
          <w:iCs/>
          <w:color w:val="0000FF"/>
          <w:sz w:val="27"/>
          <w:szCs w:val="27"/>
        </w:rPr>
        <w:t xml:space="preserve">Anna </w:t>
      </w:r>
      <w:proofErr w:type="spellStart"/>
      <w:r>
        <w:rPr>
          <w:rFonts w:ascii="Georgia" w:hAnsi="Georgia"/>
          <w:b/>
          <w:bCs/>
          <w:i/>
          <w:iCs/>
          <w:color w:val="0000FF"/>
          <w:sz w:val="27"/>
          <w:szCs w:val="27"/>
        </w:rPr>
        <w:t>Albin</w:t>
      </w:r>
      <w:proofErr w:type="spellEnd"/>
    </w:p>
    <w:p w:rsidR="00AF55B8" w:rsidRDefault="00AF55B8" w:rsidP="00AF55B8">
      <w:r>
        <w:rPr>
          <w:rFonts w:ascii="Georgia" w:hAnsi="Georgia"/>
          <w:color w:val="000000"/>
          <w:sz w:val="24"/>
          <w:szCs w:val="24"/>
        </w:rPr>
        <w:t>Mortgage Origination Specialist</w:t>
      </w:r>
      <w:r>
        <w:rPr>
          <w:rFonts w:ascii="Georgia" w:hAnsi="Georgia"/>
          <w:color w:val="000000"/>
          <w:sz w:val="24"/>
          <w:szCs w:val="24"/>
        </w:rPr>
        <w:br/>
        <w:t>NMLS # 518466</w:t>
      </w:r>
    </w:p>
    <w:p w:rsidR="00AF55B8" w:rsidRDefault="00AF55B8" w:rsidP="00AF55B8">
      <w:r>
        <w:rPr>
          <w:rFonts w:ascii="Georgia" w:hAnsi="Georgia"/>
          <w:color w:val="000000"/>
          <w:sz w:val="24"/>
          <w:szCs w:val="24"/>
        </w:rPr>
        <w:t>185 Brooks St. SE, #C101</w:t>
      </w:r>
    </w:p>
    <w:p w:rsidR="00AF55B8" w:rsidRDefault="00AF55B8" w:rsidP="00AF55B8">
      <w:r>
        <w:rPr>
          <w:rFonts w:ascii="Georgia" w:hAnsi="Georgia"/>
          <w:color w:val="000000"/>
          <w:sz w:val="24"/>
          <w:szCs w:val="24"/>
        </w:rPr>
        <w:t>Fort Walton Beach, FL  32548</w:t>
      </w:r>
    </w:p>
    <w:p w:rsidR="00AF55B8" w:rsidRDefault="00AF55B8" w:rsidP="00AF55B8">
      <w:r>
        <w:rPr>
          <w:rFonts w:ascii="Georgia" w:hAnsi="Georgia"/>
          <w:color w:val="000000"/>
          <w:sz w:val="24"/>
          <w:szCs w:val="24"/>
        </w:rPr>
        <w:t>Phone:</w:t>
      </w:r>
      <w:r>
        <w:rPr>
          <w:rFonts w:ascii="Georgia" w:hAnsi="Georgia"/>
          <w:sz w:val="24"/>
          <w:szCs w:val="24"/>
        </w:rPr>
        <w:t xml:space="preserve">  </w:t>
      </w:r>
      <w:hyperlink r:id="rId5" w:tgtFrame="_blank" w:history="1">
        <w:r>
          <w:rPr>
            <w:rStyle w:val="Hyperlink"/>
            <w:rFonts w:ascii="Georgia" w:hAnsi="Georgia"/>
            <w:sz w:val="24"/>
            <w:szCs w:val="24"/>
          </w:rPr>
          <w:t>850-586-7070</w:t>
        </w:r>
      </w:hyperlink>
      <w:r>
        <w:rPr>
          <w:rFonts w:ascii="Georgia" w:hAnsi="Georgia"/>
          <w:sz w:val="24"/>
          <w:szCs w:val="24"/>
        </w:rPr>
        <w:br/>
      </w:r>
      <w:r>
        <w:rPr>
          <w:rFonts w:ascii="Georgia" w:hAnsi="Georgia"/>
          <w:color w:val="000000"/>
          <w:sz w:val="24"/>
          <w:szCs w:val="24"/>
        </w:rPr>
        <w:t>Fax:</w:t>
      </w:r>
      <w:r>
        <w:rPr>
          <w:rFonts w:ascii="Georgia" w:hAnsi="Georgia"/>
          <w:sz w:val="24"/>
          <w:szCs w:val="24"/>
        </w:rPr>
        <w:t xml:space="preserve">  </w:t>
      </w:r>
      <w:hyperlink r:id="rId6" w:tgtFrame="_blank" w:history="1">
        <w:r>
          <w:rPr>
            <w:rStyle w:val="Hyperlink"/>
            <w:rFonts w:ascii="Georgia" w:hAnsi="Georgia"/>
            <w:sz w:val="24"/>
            <w:szCs w:val="24"/>
          </w:rPr>
          <w:t>855-586-7900</w:t>
        </w:r>
      </w:hyperlink>
    </w:p>
    <w:p w:rsidR="00AF55B8" w:rsidRDefault="00AF55B8" w:rsidP="00AF55B8">
      <w:r>
        <w:rPr>
          <w:rFonts w:ascii="Georgia" w:hAnsi="Georgia"/>
          <w:color w:val="000000"/>
          <w:sz w:val="24"/>
          <w:szCs w:val="24"/>
        </w:rPr>
        <w:t>Email:</w:t>
      </w:r>
      <w:r>
        <w:rPr>
          <w:rFonts w:ascii="Georgia" w:hAnsi="Georgia"/>
          <w:sz w:val="24"/>
          <w:szCs w:val="24"/>
        </w:rPr>
        <w:t xml:space="preserve">  </w:t>
      </w:r>
      <w:hyperlink r:id="rId7" w:tgtFrame="_blank" w:history="1">
        <w:r>
          <w:rPr>
            <w:rStyle w:val="Hyperlink"/>
            <w:rFonts w:ascii="Georgia" w:hAnsi="Georgia"/>
            <w:sz w:val="24"/>
            <w:szCs w:val="24"/>
          </w:rPr>
          <w:t>aalbin@university-lending.com</w:t>
        </w:r>
      </w:hyperlink>
      <w:r>
        <w:rPr>
          <w:rFonts w:ascii="Georgia" w:hAnsi="Georgia"/>
          <w:sz w:val="24"/>
          <w:szCs w:val="24"/>
        </w:rPr>
        <w:t xml:space="preserve"> </w:t>
      </w:r>
    </w:p>
    <w:p w:rsidR="00AF55B8" w:rsidRDefault="00AF55B8" w:rsidP="00AF55B8">
      <w:r>
        <w:rPr>
          <w:rFonts w:ascii="Times New Roman" w:hAnsi="Times New Roman" w:cs="Times New Roman"/>
          <w:sz w:val="24"/>
          <w:szCs w:val="24"/>
        </w:rPr>
        <w:t> </w:t>
      </w:r>
    </w:p>
    <w:p w:rsidR="00AF55B8" w:rsidRDefault="00AF55B8" w:rsidP="00AF55B8">
      <w:r>
        <w:rPr>
          <w:rFonts w:ascii="Georgia" w:hAnsi="Georgia"/>
          <w:b/>
          <w:bCs/>
          <w:color w:val="000000"/>
          <w:sz w:val="24"/>
          <w:szCs w:val="24"/>
        </w:rPr>
        <w:t>University Lending Group</w:t>
      </w:r>
    </w:p>
    <w:p w:rsidR="00AF55B8" w:rsidRDefault="00AF55B8" w:rsidP="00AF55B8">
      <w:proofErr w:type="gramStart"/>
      <w:r>
        <w:rPr>
          <w:rFonts w:ascii="Segoe Script" w:hAnsi="Segoe Script"/>
          <w:color w:val="000000"/>
          <w:sz w:val="24"/>
          <w:szCs w:val="24"/>
        </w:rPr>
        <w:t>“The smart choice for mortgages!”</w:t>
      </w:r>
      <w:proofErr w:type="gramEnd"/>
    </w:p>
    <w:p w:rsidR="00AF55B8" w:rsidRDefault="00AF55B8" w:rsidP="00AF55B8">
      <w:r>
        <w:rPr>
          <w:rFonts w:ascii="Webdings" w:hAnsi="Webdings"/>
          <w:color w:val="008000"/>
          <w:sz w:val="36"/>
          <w:szCs w:val="36"/>
        </w:rPr>
        <w:t></w:t>
      </w:r>
      <w:r>
        <w:rPr>
          <w:rFonts w:ascii="Webdings" w:hAnsi="Webdings"/>
          <w:color w:val="008000"/>
          <w:sz w:val="36"/>
          <w:szCs w:val="36"/>
        </w:rPr>
        <w:t></w:t>
      </w:r>
      <w:r>
        <w:rPr>
          <w:rFonts w:ascii="Times New Roman" w:hAnsi="Times New Roman" w:cs="Times New Roman"/>
          <w:i/>
          <w:iCs/>
          <w:color w:val="009900"/>
          <w:sz w:val="15"/>
          <w:szCs w:val="15"/>
        </w:rPr>
        <w:t>Please consider the environment before printing this e-mail.</w:t>
      </w:r>
    </w:p>
    <w:p w:rsidR="00AF55B8" w:rsidRDefault="00AF55B8" w:rsidP="00AF55B8">
      <w:r>
        <w:t>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B8"/>
    <w:rsid w:val="004714D4"/>
    <w:rsid w:val="00AF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bin@university-lending.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855-586-7900" TargetMode="External"/><Relationship Id="rId11" Type="http://schemas.openxmlformats.org/officeDocument/2006/relationships/customXml" Target="../customXml/item2.xml"/><Relationship Id="rId5" Type="http://schemas.openxmlformats.org/officeDocument/2006/relationships/hyperlink" Target="tel:850-586-707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8B160465-6C68-4007-8A1D-2795834BA916}"/>
</file>

<file path=customXml/itemProps2.xml><?xml version="1.0" encoding="utf-8"?>
<ds:datastoreItem xmlns:ds="http://schemas.openxmlformats.org/officeDocument/2006/customXml" ds:itemID="{D9A8DD78-BE9B-4182-A589-188BDF4C4BE3}"/>
</file>

<file path=customXml/itemProps3.xml><?xml version="1.0" encoding="utf-8"?>
<ds:datastoreItem xmlns:ds="http://schemas.openxmlformats.org/officeDocument/2006/customXml" ds:itemID="{1640A84D-05E9-40B1-BB22-0A837CD0E633}"/>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2011-12-22T22:12:00Z</dcterms:created>
  <dcterms:modified xsi:type="dcterms:W3CDTF">2011-12-22T22:12:00Z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